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5CA" w:rsidRPr="00FF45CA" w:rsidRDefault="00FF45CA" w:rsidP="00FF45CA">
      <w:pPr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</w:rPr>
      </w:pPr>
      <w:r w:rsidRPr="00FF45CA">
        <w:rPr>
          <w:rFonts w:ascii="Helvetica" w:eastAsia="Times New Roman" w:hAnsi="Helvetica" w:cs="Helvetica"/>
          <w:b/>
          <w:bCs/>
          <w:kern w:val="36"/>
          <w:sz w:val="48"/>
          <w:szCs w:val="48"/>
        </w:rPr>
        <w:t>Address Plan (4 AS)</w:t>
      </w:r>
    </w:p>
    <w:p w:rsidR="00FF45CA" w:rsidRPr="00FF45CA" w:rsidRDefault="00FF45CA" w:rsidP="00FF45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5CA">
        <w:rPr>
          <w:rFonts w:ascii="Times New Roman" w:eastAsia="Times New Roman" w:hAnsi="Times New Roman" w:cs="Times New Roman"/>
          <w:sz w:val="24"/>
          <w:szCs w:val="24"/>
        </w:rPr>
        <w:t>BGP Deployment Workshop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Introduction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This document describes the IP address plan we will use for the workshop exercises using the four AS lab topology.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Background about the address space used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The IPv4 address space used in these exercises is from subnets of 100.64.0.0/10 which is an </w:t>
      </w:r>
      <w:hyperlink r:id="rId5" w:history="1">
        <w:r w:rsidRPr="00FF45CA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IPv4 Shared Address</w:t>
        </w:r>
      </w:hyperlink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block. 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Note that 2001:DB8::/32 is the </w:t>
      </w:r>
      <w:hyperlink r:id="rId6" w:history="1">
        <w:r w:rsidRPr="00FF45CA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IPv6 Documentation Address</w:t>
        </w:r>
      </w:hyperlink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block. 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And finally note that the 2001:10::/28 address block has been listed in the </w:t>
      </w:r>
      <w:hyperlink r:id="rId7" w:history="1">
        <w:r w:rsidRPr="00FF45CA">
          <w:rPr>
            <w:rFonts w:ascii="Verdana" w:eastAsia="Times New Roman" w:hAnsi="Verdana" w:cs="Times New Roman"/>
            <w:color w:val="0000FF"/>
            <w:sz w:val="27"/>
            <w:szCs w:val="27"/>
            <w:u w:val="single"/>
          </w:rPr>
          <w:t>IANA special registry</w:t>
        </w:r>
      </w:hyperlink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for future use. 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It must not be routed on the Internet.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If using these labs as inspiration for your own infrastructure design, please replace all instances of private, documentation, and unassigned address space with your own address blocks.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Address Allocations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The labs that introduce EBGP and implement BGP policies split the physical lab topology into 4 Autonomous Systems. Note the following tables carefully, making sure you are using the correct resources for your router and your AS.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Allocation Tables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The following table shows the address blocks assigned to each AS:</w:t>
      </w:r>
    </w:p>
    <w:tbl>
      <w:tblPr>
        <w:tblW w:w="0" w:type="auto"/>
        <w:tblBorders>
          <w:top w:val="single" w:sz="18" w:space="0" w:color="000000"/>
          <w:bottom w:val="single" w:sz="1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165"/>
        <w:gridCol w:w="3165"/>
      </w:tblGrid>
      <w:tr w:rsidR="00FF45CA" w:rsidRPr="00FF45CA" w:rsidTr="00FF45CA">
        <w:trPr>
          <w:tblHeader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AS Number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IPv4 Address block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IPv6 Address block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100.68.1.0/24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2001:DB8:1::/48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100.68.2.0/24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2001:DB8:2::/48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100.68.3.0/24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2001:DB8:3::/48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100.68.4.0/24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2001:DB8:4::/48</w:t>
            </w:r>
          </w:p>
        </w:tc>
      </w:tr>
    </w:tbl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and from these address blocks we will subdivide as follows:</w:t>
      </w:r>
    </w:p>
    <w:tbl>
      <w:tblPr>
        <w:tblW w:w="0" w:type="auto"/>
        <w:tblBorders>
          <w:top w:val="single" w:sz="18" w:space="0" w:color="000000"/>
          <w:bottom w:val="single" w:sz="1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091"/>
        <w:gridCol w:w="2546"/>
        <w:gridCol w:w="2914"/>
      </w:tblGrid>
      <w:tr w:rsidR="00FF45CA" w:rsidRPr="00FF45CA" w:rsidTr="00FF45CA">
        <w:trPr>
          <w:tblHeader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AS Number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IPv4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Loopbacks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100.68.1.248/29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2001:DB8:1:0::/64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Point-to-Points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100.68.1.0/29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Loopbacks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100.68.2.248/29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2001:DB8:2:0::/64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Point-to-Points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100.68.2.0/29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Loopbacks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100.68.3.248/29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2001:DB8:3:0::/64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Point-to-Points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100.68.3.0/29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64504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Loopbacks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100.68.4.248/29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2001:DB8:4:0::/64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Point-to-Points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100.68.4.0/29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2001:DB8:4::/56</w:t>
            </w:r>
          </w:p>
        </w:tc>
      </w:tr>
    </w:tbl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From these high level assignments, we assign the Loopback addresses and the customer subnets used for each router as shown in the following table:</w:t>
      </w:r>
    </w:p>
    <w:tbl>
      <w:tblPr>
        <w:tblW w:w="0" w:type="auto"/>
        <w:tblBorders>
          <w:top w:val="single" w:sz="18" w:space="0" w:color="000000"/>
          <w:bottom w:val="single" w:sz="1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94"/>
        <w:gridCol w:w="1888"/>
        <w:gridCol w:w="1926"/>
        <w:gridCol w:w="2624"/>
      </w:tblGrid>
      <w:tr w:rsidR="00FF45CA" w:rsidRPr="00FF45CA" w:rsidTr="00FF45CA">
        <w:trPr>
          <w:tblHeader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lastRenderedPageBreak/>
              <w:t>Router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IPv4 Loopback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IPv6 Loopback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Customer IPv4 Subnet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EEEEEE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b/>
                <w:bCs/>
                <w:color w:val="000000"/>
                <w:sz w:val="27"/>
                <w:szCs w:val="27"/>
              </w:rPr>
              <w:t>Customer IPv6 Subnet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100.68.1.251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100.68.1.32/28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2001:DB8:1:100::/56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100.68.1.252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100.68.1.48/28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2001:DB8:1:200::/56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100.68.1.253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2001:DB8:1::3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100.68.1.64/28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2001:DB8:1:300::/56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100.68.2.251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100.68.2.32/28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2001:DB8:2:100::/56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Router5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100.68.2.252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100.68.2.48/28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2001:DB8:2:200::/56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Router6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100.68.2.253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100.68.2.64/28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2001:DB8:2:300::/56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Router7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100.68.2.254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2001:DB8:2::4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100.68.2.80/28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2001:DB8:2:400::/56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100.68.3.251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100.68.3.32/28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2001:DB8:3:100::/56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Router9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100.68.3.252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100.68.3.48/28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2001:DB8:3:200::/56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Router10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100.68.3.253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2001:DB8:3::3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100.68.3.64/28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2001:DB8:3:300::/56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100.68.4.251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2001:DB8:4::1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100.68.4.32/28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2001:DB8:4:100::/56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100.68.4.252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2001:DB8:4::2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100.68.4.48/28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2001:DB8:4:200::/56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100.68.4.253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2001:DB8:4::3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100.68.4.64/28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2001:DB8:4:300::/56</w:t>
            </w:r>
          </w:p>
        </w:tc>
      </w:tr>
      <w:tr w:rsidR="00FF45CA" w:rsidRPr="00FF45CA" w:rsidTr="00FF45CA"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Router14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100.68.4.254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2001:DB8:4::4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100.68.4.80/28</w:t>
            </w:r>
          </w:p>
        </w:tc>
        <w:tc>
          <w:tcPr>
            <w:tcW w:w="0" w:type="auto"/>
            <w:tcMar>
              <w:top w:w="48" w:type="dxa"/>
              <w:left w:w="120" w:type="dxa"/>
              <w:bottom w:w="48" w:type="dxa"/>
              <w:right w:w="120" w:type="dxa"/>
            </w:tcMar>
            <w:vAlign w:val="bottom"/>
            <w:hideMark/>
          </w:tcPr>
          <w:p w:rsidR="00FF45CA" w:rsidRPr="00FF45CA" w:rsidRDefault="00FF45CA" w:rsidP="00FF45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FF45C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2001:DB8:4:400::/56</w:t>
            </w:r>
          </w:p>
        </w:tc>
      </w:tr>
    </w:tbl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For the IPv4 loopbacks, we have reserved 100.68.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X</w:t>
      </w: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.248/29; and for the IPv6 loopbacks we have reserved 2001:DB8: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X</w:t>
      </w: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:0::/64, where </w:t>
      </w:r>
      <w:r w:rsidRPr="00FF45CA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X</w:t>
      </w: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is the group number.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IPv6 address space is plentiful and industry practice is to reserve a single /64 for all the loopback interface addresses in the network. IPv4 is very scarce, so we have to be more/very cautious.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Link Addressing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Point-to-point links used in operational networks today are addressed as follows (as was covered in the presentations):</w:t>
      </w:r>
    </w:p>
    <w:p w:rsidR="00FF45CA" w:rsidRPr="00FF45CA" w:rsidRDefault="00FF45CA" w:rsidP="00FF45CA">
      <w:pPr>
        <w:numPr>
          <w:ilvl w:val="0"/>
          <w:numId w:val="1"/>
        </w:numPr>
        <w:spacing w:before="240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IPv4 - a /31 is used for the point-to-point link address (although several network operators are using unnumbered interfaces)</w:t>
      </w:r>
    </w:p>
    <w:p w:rsidR="00FF45CA" w:rsidRPr="00FF45CA" w:rsidRDefault="00FF45CA" w:rsidP="00FF45CA">
      <w:pPr>
        <w:numPr>
          <w:ilvl w:val="0"/>
          <w:numId w:val="1"/>
        </w:numPr>
        <w:spacing w:before="240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IPv6 - a whole /64 is reserved for the point-to-point link, but the actual assignment itself is a /127 for the link address (and again unnumbered/link-local addressing can be used instead)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IPv4 Link Addressing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t>The following diagram shows the IPv4 addressing of the point-to-point links as implemented in the lab topology. Each IPv4 point-to-point link is a /31 subnet.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873240" cy="7833360"/>
            <wp:effectExtent l="0" t="0" r="3810" b="0"/>
            <wp:docPr id="2" name="Picture 2" descr="https://nsrc.org/workshops/2025/mnnog7/nsrc-mnnog7-bgp/networking/bgp-deploy/diagrams/ebgp-addressing-ip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src.org/workshops/2025/mnnog7/nsrc-mnnog7-bgp/networking/bgp-deploy/diagrams/ebgp-addressing-ipv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5CA" w:rsidRPr="00FF45CA" w:rsidRDefault="00FF45CA" w:rsidP="00FF45CA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F45C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IPv6 Link Addressing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The following diagram shows the IPv6 addressing of the point-to-point links as implemented in the lab topology. Each IPv6 point-to-point link is a /127 subnet out of a /64.</w:t>
      </w:r>
    </w:p>
    <w:p w:rsidR="00FF45CA" w:rsidRPr="00FF45CA" w:rsidRDefault="00FF45CA" w:rsidP="00FF45C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FF45CA">
        <w:rPr>
          <w:rFonts w:ascii="Verdana" w:eastAsia="Times New Roman" w:hAnsi="Verdana" w:cs="Times New Roman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6995160" cy="7833360"/>
            <wp:effectExtent l="0" t="0" r="0" b="0"/>
            <wp:docPr id="1" name="Picture 1" descr="https://nsrc.org/workshops/2025/mnnog7/nsrc-mnnog7-bgp/networking/bgp-deploy/diagrams/ebgp-addressing-ipv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nsrc.org/workshops/2025/mnnog7/nsrc-mnnog7-bgp/networking/bgp-deploy/diagrams/ebgp-addressing-ipv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3D7" w:rsidRDefault="000573D7">
      <w:bookmarkStart w:id="0" w:name="_GoBack"/>
      <w:bookmarkEnd w:id="0"/>
    </w:p>
    <w:sectPr w:rsidR="0005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465A0"/>
    <w:multiLevelType w:val="multilevel"/>
    <w:tmpl w:val="CA9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5CA"/>
    <w:rsid w:val="000573D7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32E10-5FED-4713-BF06-02CF4B4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5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45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4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45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45C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uthor">
    <w:name w:val="author"/>
    <w:basedOn w:val="Normal"/>
    <w:rsid w:val="00FF4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4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45C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F4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iana.org/assignments/iana-ipv6-special-registry/iana-ipv6-special-registry.x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ietf.org/html/rfc384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ols.ietf.org/html/rfc659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Javkhlantugs Boldbaatar</dc:creator>
  <cp:keywords/>
  <dc:description/>
  <cp:lastModifiedBy>Javkhlantugs Boldbaatar</cp:lastModifiedBy>
  <cp:revision>1</cp:revision>
  <dcterms:created xsi:type="dcterms:W3CDTF">2025-09-30T06:45:00Z</dcterms:created>
  <dcterms:modified xsi:type="dcterms:W3CDTF">2025-09-30T06:46:00Z</dcterms:modified>
</cp:coreProperties>
</file>