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PACTO DE SOCIOS</w:t>
      </w:r>
    </w:p>
    <w:p>
      <w:pPr>
        <w:pStyle w:val="BodyText"/>
      </w:pPr>
      <w:r>
        <w:rPr>
          <w:b/>
        </w:rPr>
        <w:t xml:space="preserve">SINCRÉTICO EXPERIENCIAS CULTURALES, S.A. DE C.V.</w:t>
      </w:r>
    </w:p>
    <w:p>
      <w:pPr>
        <w:pStyle w:val="BodyText"/>
      </w:pPr>
      <w:r>
        <w:rPr>
          <w:i/>
        </w:rPr>
        <w:t xml:space="preserve">(Denominación social provisional — pendiente de constitución definitiva)</w:t>
      </w:r>
    </w:p>
    <w:p>
      <w:pPr>
        <w:pStyle w:val="BodyText"/>
      </w:pPr>
      <w:r>
        <w:rPr>
          <w:b/>
        </w:rPr>
        <w:t xml:space="preserve">Versión 1.0 · [FECHA PENDIENTE DE FIRMA]</w:t>
      </w:r>
    </w:p>
    <w:p>
      <w:r>
        <w:pict>
          <v:rect style="width:0;height:1.5pt" o:hralign="center" o:hrstd="t" o:hr="t"/>
        </w:pict>
      </w:r>
    </w:p>
    <w:p>
      <w:pPr>
        <w:pStyle w:val="FirstParagraph"/>
      </w:pPr>
      <w:r>
        <w:rPr>
          <w:b/>
        </w:rPr>
        <w:t xml:space="preserve">DECLARACIONES</w:t>
      </w:r>
    </w:p>
    <w:p>
      <w:pPr>
        <w:pStyle w:val="BodyText"/>
      </w:pPr>
      <w:r>
        <w:rPr>
          <w:b/>
        </w:rPr>
        <w:t xml:space="preserve">I. Declaran los socios:</w:t>
      </w:r>
    </w:p>
    <w:p>
      <w:pPr>
        <w:pStyle w:val="BodyText"/>
      </w:pPr>
      <w:r>
        <w:t xml:space="preserve">Que comparecen a la celebración del presente Pacto de Socios (el</w:t>
      </w:r>
      <w:r>
        <w:t xml:space="preserve"> </w:t>
      </w:r>
      <w:r>
        <w:t xml:space="preserve">“</w:t>
      </w:r>
      <w:r>
        <w:t xml:space="preserve">Pacto</w:t>
      </w:r>
      <w:r>
        <w:t xml:space="preserve">”</w:t>
      </w:r>
      <w:r>
        <w:t xml:space="preserve">), ya sea por propio derecho o debidamente representados, los siguientes accionistas de SINCRÉTICO EXPERIENCIAS CULTURALES, S.A. DE C.V. (la</w:t>
      </w:r>
      <w:r>
        <w:t xml:space="preserve"> </w:t>
      </w:r>
      <w:r>
        <w:t xml:space="preserve">“</w:t>
      </w:r>
      <w:r>
        <w:t xml:space="preserve">Sociedad</w:t>
      </w:r>
      <w:r>
        <w:t xml:space="preserve">”</w:t>
      </w:r>
      <w:r>
        <w:t xml:space="preserve">), quienes manifiestan contar con la capacidad legal suficiente para obligarse en los términos del presente instrumento:</w:t>
      </w:r>
    </w:p>
    <w:p>
      <w:pPr>
        <w:pStyle w:val="BodyText"/>
      </w:pPr>
      <w:r>
        <w:rPr>
          <w:b/>
        </w:rPr>
        <w:t xml:space="preserve">A) Personas Morales</w:t>
      </w:r>
    </w:p>
    <w:p>
      <w:pPr>
        <w:numPr>
          <w:ilvl w:val="0"/>
          <w:numId w:val="1001"/>
        </w:numPr>
      </w:pPr>
      <w:r>
        <w:rPr>
          <w:b/>
        </w:rPr>
        <w:t xml:space="preserve">CASA PEPE HBR (Socios de Hostal Boutique República de Uruguay, S.A. de C.V.)</w:t>
      </w:r>
      <w:r>
        <w:t xml:space="preserve"> </w:t>
      </w:r>
      <w:r>
        <w:t xml:space="preserve">— Participación:</w:t>
      </w:r>
      <w:r>
        <w:t xml:space="preserve"> </w:t>
      </w:r>
      <w:r>
        <w:rPr>
          <w:b/>
        </w:rPr>
        <w:t xml:space="preserve">51%</w:t>
      </w:r>
      <w:r>
        <w:br/>
      </w:r>
      <w:r>
        <w:t xml:space="preserve">RFC: [PENDIENTE]</w:t>
      </w:r>
      <w:r>
        <w:br/>
      </w:r>
      <w:r>
        <w:t xml:space="preserve">Debidamente representada por el señor</w:t>
      </w:r>
      <w:r>
        <w:t xml:space="preserve"> </w:t>
      </w:r>
      <w:r>
        <w:rPr>
          <w:b/>
        </w:rPr>
        <w:t xml:space="preserve">Javier Puente García</w:t>
      </w:r>
      <w:r>
        <w:t xml:space="preserve">, quien comparece en su carácter de representante legal.</w:t>
      </w:r>
      <w:r>
        <w:br/>
      </w:r>
      <w:r>
        <w:t xml:space="preserve">Aportación: marca, propiedad intelectual, modelo de negocio, dirección general y operación de la Sociedad.</w:t>
      </w:r>
    </w:p>
    <w:p>
      <w:pPr>
        <w:numPr>
          <w:ilvl w:val="0"/>
          <w:numId w:val="1001"/>
        </w:numPr>
      </w:pPr>
      <w:r>
        <w:rPr>
          <w:b/>
        </w:rPr>
        <w:t xml:space="preserve">[SOCIO HOTELERO 1 — RAZÓN SOCIAL PENDIENTE]</w:t>
      </w:r>
      <w:r>
        <w:t xml:space="preserve"> </w:t>
      </w:r>
      <w:r>
        <w:t xml:space="preserve">— Participación:</w:t>
      </w:r>
      <w:r>
        <w:t xml:space="preserve"> </w:t>
      </w:r>
      <w:r>
        <w:rPr>
          <w:b/>
        </w:rPr>
        <w:t xml:space="preserve">15%</w:t>
      </w:r>
      <w:r>
        <w:br/>
      </w:r>
      <w:r>
        <w:t xml:space="preserve">RFC: [PENDIENTE]</w:t>
      </w:r>
      <w:r>
        <w:br/>
      </w:r>
      <w:r>
        <w:t xml:space="preserve">Debidamente representada por el señor</w:t>
      </w:r>
      <w:r>
        <w:t xml:space="preserve"> </w:t>
      </w:r>
      <w:r>
        <w:rPr>
          <w:b/>
        </w:rPr>
        <w:t xml:space="preserve">[NOMBRE PENDIENTE]</w:t>
      </w:r>
      <w:r>
        <w:t xml:space="preserve">, quien comparece en su carácter de representante legal.</w:t>
      </w:r>
      <w:r>
        <w:br/>
      </w:r>
      <w:r>
        <w:t xml:space="preserve">Aportación:</w:t>
      </w:r>
      <w:r>
        <w:t xml:space="preserve"> </w:t>
      </w:r>
      <w:r>
        <w:rPr>
          <w:b/>
        </w:rPr>
        <w:t xml:space="preserve">$750,000.00 M.N.</w:t>
      </w:r>
      <w:r>
        <w:t xml:space="preserve"> </w:t>
      </w:r>
      <w:r>
        <w:t xml:space="preserve">en efectivo.</w:t>
      </w:r>
    </w:p>
    <w:p>
      <w:pPr>
        <w:numPr>
          <w:ilvl w:val="0"/>
          <w:numId w:val="1001"/>
        </w:numPr>
      </w:pPr>
      <w:r>
        <w:rPr>
          <w:b/>
        </w:rPr>
        <w:t xml:space="preserve">[SOCIO HOTELERO 2 — RAZÓN SOCIAL PENDIENTE]</w:t>
      </w:r>
      <w:r>
        <w:t xml:space="preserve"> </w:t>
      </w:r>
      <w:r>
        <w:t xml:space="preserve">— Participación:</w:t>
      </w:r>
      <w:r>
        <w:t xml:space="preserve"> </w:t>
      </w:r>
      <w:r>
        <w:rPr>
          <w:b/>
        </w:rPr>
        <w:t xml:space="preserve">10%</w:t>
      </w:r>
      <w:r>
        <w:br/>
      </w:r>
      <w:r>
        <w:t xml:space="preserve">RFC: [PENDIENTE]</w:t>
      </w:r>
      <w:r>
        <w:br/>
      </w:r>
      <w:r>
        <w:t xml:space="preserve">Debidamente representada por el señor</w:t>
      </w:r>
      <w:r>
        <w:t xml:space="preserve"> </w:t>
      </w:r>
      <w:r>
        <w:rPr>
          <w:b/>
        </w:rPr>
        <w:t xml:space="preserve">[NOMBRE PENDIENTE]</w:t>
      </w:r>
      <w:r>
        <w:t xml:space="preserve">, quien comparece en su carácter de representante legal.</w:t>
      </w:r>
      <w:r>
        <w:br/>
      </w:r>
      <w:r>
        <w:t xml:space="preserve">Aportación:</w:t>
      </w:r>
      <w:r>
        <w:t xml:space="preserve"> </w:t>
      </w:r>
      <w:r>
        <w:rPr>
          <w:b/>
        </w:rPr>
        <w:t xml:space="preserve">$500,000.00 M.N.</w:t>
      </w:r>
      <w:r>
        <w:t xml:space="preserve"> </w:t>
      </w:r>
      <w:r>
        <w:t xml:space="preserve">en efectivo.</w:t>
      </w:r>
    </w:p>
    <w:p>
      <w:pPr>
        <w:numPr>
          <w:ilvl w:val="0"/>
          <w:numId w:val="1001"/>
        </w:numPr>
      </w:pPr>
      <w:r>
        <w:rPr>
          <w:b/>
        </w:rPr>
        <w:t xml:space="preserve">CAPITAL BUS [RAZÓN SOCIAL COMPLETA PENDIENTE]</w:t>
      </w:r>
      <w:r>
        <w:t xml:space="preserve"> </w:t>
      </w:r>
      <w:r>
        <w:t xml:space="preserve">— Participación:</w:t>
      </w:r>
      <w:r>
        <w:t xml:space="preserve"> </w:t>
      </w:r>
      <w:r>
        <w:rPr>
          <w:b/>
        </w:rPr>
        <w:t xml:space="preserve">10%</w:t>
      </w:r>
      <w:r>
        <w:br/>
      </w:r>
      <w:r>
        <w:t xml:space="preserve">RFC: [PENDIENTE]</w:t>
      </w:r>
      <w:r>
        <w:br/>
      </w:r>
      <w:r>
        <w:t xml:space="preserve">Debidamente representada por el señor</w:t>
      </w:r>
      <w:r>
        <w:t xml:space="preserve"> </w:t>
      </w:r>
      <w:r>
        <w:rPr>
          <w:b/>
        </w:rPr>
        <w:t xml:space="preserve">[NOMBRE PENDIENTE]</w:t>
      </w:r>
      <w:r>
        <w:t xml:space="preserve">, quien comparece en su carácter de representante legal.</w:t>
      </w:r>
      <w:r>
        <w:br/>
      </w:r>
      <w:r>
        <w:t xml:space="preserve">Aportación:</w:t>
      </w:r>
      <w:r>
        <w:t xml:space="preserve"> </w:t>
      </w:r>
      <w:r>
        <w:rPr>
          <w:b/>
        </w:rPr>
        <w:t xml:space="preserve">$500,000.00 M.N.</w:t>
      </w:r>
      <w:r>
        <w:t xml:space="preserve"> </w:t>
      </w:r>
      <w:r>
        <w:t xml:space="preserve">en efectivo, más compromiso comercial de 30 vendedores en puntos turísticos y aportación estimada de ~150 clientes/día al canal (documentado en anexo comercial).</w:t>
      </w:r>
    </w:p>
    <w:p>
      <w:pPr>
        <w:pStyle w:val="FirstParagraph"/>
      </w:pPr>
      <w:r>
        <w:rPr>
          <w:b/>
        </w:rPr>
        <w:t xml:space="preserve">B) Personas Físicas (por propio derecho)</w:t>
      </w:r>
    </w:p>
    <w:p>
      <w:pPr>
        <w:numPr>
          <w:ilvl w:val="0"/>
          <w:numId w:val="1002"/>
        </w:numPr>
        <w:pStyle w:val="Compact"/>
      </w:pPr>
      <w:r>
        <w:rPr>
          <w:b/>
        </w:rPr>
        <w:t xml:space="preserve">[@SOYELCHARROMEXICAN — NOMBRE LEGAL PENDIENTE]</w:t>
      </w:r>
      <w:r>
        <w:t xml:space="preserve"> </w:t>
      </w:r>
      <w:r>
        <w:t xml:space="preserve">— Participación:</w:t>
      </w:r>
      <w:r>
        <w:t xml:space="preserve"> </w:t>
      </w:r>
      <w:r>
        <w:rPr>
          <w:b/>
        </w:rPr>
        <w:t xml:space="preserve">3%</w:t>
      </w:r>
      <w:r>
        <w:br/>
      </w:r>
      <w:r>
        <w:t xml:space="preserve">RFC: [PENDIENTE]</w:t>
      </w:r>
      <w:r>
        <w:br/>
      </w:r>
      <w:r>
        <w:t xml:space="preserve">Comparece por propio derecho.</w:t>
      </w:r>
      <w:r>
        <w:br/>
      </w:r>
      <w:r>
        <w:t xml:space="preserve">Aportación: en especie, consistente en difusión, vocería y contenido en beneficio de la Sociedad durante 24 meses.</w:t>
      </w:r>
    </w:p>
    <w:p>
      <w:pPr>
        <w:pStyle w:val="FirstParagraph"/>
      </w:pPr>
      <w:r>
        <w:rPr>
          <w:b/>
        </w:rPr>
        <w:t xml:space="preserve">C) Acciones en Tesorería</w:t>
      </w:r>
    </w:p>
    <w:p>
      <w:pPr>
        <w:numPr>
          <w:ilvl w:val="0"/>
          <w:numId w:val="1003"/>
        </w:numPr>
        <w:pStyle w:val="Compact"/>
      </w:pPr>
      <w:r>
        <w:rPr>
          <w:b/>
        </w:rPr>
        <w:t xml:space="preserve">Vesting comercial (Serie D en Tesorería)</w:t>
      </w:r>
      <w:r>
        <w:t xml:space="preserve"> </w:t>
      </w:r>
      <w:r>
        <w:t xml:space="preserve">— Participación:</w:t>
      </w:r>
      <w:r>
        <w:t xml:space="preserve"> </w:t>
      </w:r>
      <w:r>
        <w:rPr>
          <w:b/>
        </w:rPr>
        <w:t xml:space="preserve">11%</w:t>
      </w:r>
      <w:r>
        <w:br/>
      </w:r>
      <w:r>
        <w:t xml:space="preserve">Bolsa reservada para adjudicación a socios conforme al mecanismo de vesting por desempeño en ventas establecido en la Cláusula III del presente Convenio.</w:t>
      </w:r>
    </w:p>
    <w:p>
      <w:pPr>
        <w:pStyle w:val="FirstParagraph"/>
      </w:pPr>
      <w:r>
        <w:rPr>
          <w:b/>
        </w:rPr>
        <w:t xml:space="preserve">II. Reconocimiento</w:t>
      </w:r>
    </w:p>
    <w:p>
      <w:pPr>
        <w:pStyle w:val="BodyText"/>
      </w:pPr>
      <w:r>
        <w:t xml:space="preserve">Los comparecientes manifiestan que:</w:t>
      </w:r>
    </w:p>
    <w:p>
      <w:pPr>
        <w:numPr>
          <w:ilvl w:val="0"/>
          <w:numId w:val="1004"/>
        </w:numPr>
      </w:pPr>
      <w:r>
        <w:t xml:space="preserve">Son los accionistas que integran el cien por ciento (100%) del capital social conforme a la Asamblea General Constitutiva de Accionistas de fecha</w:t>
      </w:r>
      <w:r>
        <w:t xml:space="preserve"> </w:t>
      </w:r>
      <w:r>
        <w:rPr>
          <w:b/>
        </w:rPr>
        <w:t xml:space="preserve">[FECHA PENDIENTE]</w:t>
      </w:r>
      <w:r>
        <w:t xml:space="preserve">;</w:t>
      </w:r>
    </w:p>
    <w:p>
      <w:pPr>
        <w:numPr>
          <w:ilvl w:val="0"/>
          <w:numId w:val="1004"/>
        </w:numPr>
      </w:pPr>
      <w:r>
        <w:t xml:space="preserve">Reconocen la validez de dicha asamblea como fuente actualizada respecto de la identidad, carácter y participación accionarial de los socios;</w:t>
      </w:r>
    </w:p>
    <w:p>
      <w:pPr>
        <w:numPr>
          <w:ilvl w:val="0"/>
          <w:numId w:val="1004"/>
        </w:numPr>
      </w:pPr>
      <w:r>
        <w:t xml:space="preserve">Tienen capacidad legal suficiente para celebrar el presente Pacto, obligándose en todos sus términos.</w:t>
      </w:r>
    </w:p>
    <w:p>
      <w:pPr>
        <w:pStyle w:val="FirstParagraph"/>
      </w:pPr>
      <w:r>
        <w:rPr>
          <w:b/>
        </w:rPr>
        <w:t xml:space="preserve">III. Naturaleza del Pacto</w:t>
      </w:r>
    </w:p>
    <w:p>
      <w:pPr>
        <w:pStyle w:val="BodyText"/>
      </w:pPr>
      <w:r>
        <w:t xml:space="preserve">Las partes declaran que el presente Pacto:</w:t>
      </w:r>
    </w:p>
    <w:p>
      <w:pPr>
        <w:numPr>
          <w:ilvl w:val="0"/>
          <w:numId w:val="1005"/>
        </w:numPr>
      </w:pPr>
      <w:r>
        <w:t xml:space="preserve">Es un acto jurídico independiente, autónomo y con plena validez por sí mismo, sin que derive ni dependa de ningún pacto, convenio o acuerdo de socios previo;</w:t>
      </w:r>
    </w:p>
    <w:p>
      <w:pPr>
        <w:numPr>
          <w:ilvl w:val="0"/>
          <w:numId w:val="1005"/>
        </w:numPr>
      </w:pPr>
      <w:r>
        <w:t xml:space="preserve">Regula exclusivamente las relaciones entre los socios bajo la estructura accionarial, de gobierno corporativo y de gestión actualmente vigente; y</w:t>
      </w:r>
    </w:p>
    <w:p>
      <w:pPr>
        <w:numPr>
          <w:ilvl w:val="0"/>
          <w:numId w:val="1005"/>
        </w:numPr>
      </w:pPr>
      <w:r>
        <w:t xml:space="preserve">Obliga únicamente a las partes firmantes, sin perjuicio de su oponibilidad interna conforme a la legislación aplicable.</w:t>
      </w:r>
    </w:p>
    <w:p>
      <w:r>
        <w:pict>
          <v:rect style="width:0;height:1.5pt" o:hralign="center" o:hrstd="t" o:hr="t"/>
        </w:pict>
      </w:r>
    </w:p>
    <w:p>
      <w:pPr>
        <w:pStyle w:val="FirstParagraph"/>
      </w:pPr>
      <w:r>
        <w:rPr>
          <w:b/>
        </w:rPr>
        <w:t xml:space="preserve">Cláusula I. CONSEJO DE ADMINISTRACIÓN</w:t>
      </w:r>
    </w:p>
    <w:p>
      <w:pPr>
        <w:pStyle w:val="BodyText"/>
      </w:pPr>
      <w:r>
        <w:t xml:space="preserve">La Sociedad contará con un Consejo de Administración integrado por cinco (5) Consejeros Propietarios, cada uno con su respectivo suplente.</w:t>
      </w:r>
    </w:p>
    <w:p>
      <w:pPr>
        <w:pStyle w:val="BodyText"/>
      </w:pPr>
      <w:r>
        <w:rPr>
          <w:b/>
        </w:rPr>
        <w:t xml:space="preserve">I. Integración</w:t>
      </w:r>
    </w:p>
    <w:p>
      <w:pPr>
        <w:pStyle w:val="BodyText"/>
      </w:pPr>
      <w:r>
        <w:t xml:space="preserve">El Consejo se integrará de la siguiente forma:</w:t>
      </w:r>
    </w:p>
    <w:p>
      <w:pPr>
        <w:numPr>
          <w:ilvl w:val="0"/>
          <w:numId w:val="1006"/>
        </w:numPr>
      </w:pPr>
      <w:r>
        <w:rPr>
          <w:b/>
        </w:rPr>
        <w:t xml:space="preserve">Javier Puente García</w:t>
      </w:r>
      <w:r>
        <w:t xml:space="preserve"> </w:t>
      </w:r>
      <w:r>
        <w:t xml:space="preserve">será Consejero Propietario y</w:t>
      </w:r>
      <w:r>
        <w:t xml:space="preserve"> </w:t>
      </w:r>
      <w:r>
        <w:rPr>
          <w:b/>
        </w:rPr>
        <w:t xml:space="preserve">Presidente permanente del Consejo de Administración</w:t>
      </w:r>
      <w:r>
        <w:t xml:space="preserve">, en tanto conserve la calidad de accionista (directa o a través de Casa Pepe HBR).</w:t>
      </w:r>
    </w:p>
    <w:p>
      <w:pPr>
        <w:numPr>
          <w:ilvl w:val="0"/>
          <w:numId w:val="1006"/>
        </w:numPr>
      </w:pPr>
      <w:r>
        <w:rPr>
          <w:b/>
        </w:rPr>
        <w:t xml:space="preserve">Tres (3) Consejeros Propietarios</w:t>
      </w:r>
      <w:r>
        <w:t xml:space="preserve"> </w:t>
      </w:r>
      <w:r>
        <w:t xml:space="preserve">serán designados por Casa Pepe HBR (Socios de Hostal Boutique República de Uruguay), mientras esta última mantenga una participación accionaria igual o superior al treinta por ciento (30%) del capital social de la Sociedad. La Presidencia del Consejo se ejercerá conforme al párrafo anterior.</w:t>
      </w:r>
    </w:p>
    <w:p>
      <w:pPr>
        <w:numPr>
          <w:ilvl w:val="0"/>
          <w:numId w:val="1006"/>
        </w:numPr>
      </w:pPr>
      <w:r>
        <w:rPr>
          <w:b/>
        </w:rPr>
        <w:t xml:space="preserve">Dos (2) Consejeros Propietarios rotativos</w:t>
      </w:r>
      <w:r>
        <w:t xml:space="preserve">, designados anualmente por mayoría simple entre los socios distintos a Casa Pepe HBR (a saber: Socio Hotelero 1, Socio Hotelero 2, Capital Bus y</w:t>
      </w:r>
      <w:r>
        <w:t xml:space="preserve"> </w:t>
      </w:r>
      <w:r>
        <w:t xml:space="preserve">@soyelcharromexican</w:t>
      </w:r>
      <w:r>
        <w:t xml:space="preserve">). La rotación garantizará que cada bloque tenga representación al menos una vez cada 24 meses.</w:t>
      </w:r>
    </w:p>
    <w:p>
      <w:pPr>
        <w:numPr>
          <w:ilvl w:val="0"/>
          <w:numId w:val="1006"/>
        </w:numPr>
      </w:pPr>
      <w:r>
        <w:t xml:space="preserve">Cada Consejero contará con un suplente designado bajo el mismo criterio que el propietario correspondiente.</w:t>
      </w:r>
    </w:p>
    <w:p>
      <w:pPr>
        <w:pStyle w:val="FirstParagraph"/>
      </w:pPr>
      <w:r>
        <w:rPr>
          <w:b/>
        </w:rPr>
        <w:t xml:space="preserve">II. Pérdida de derechos de designación</w:t>
      </w:r>
    </w:p>
    <w:p>
      <w:pPr>
        <w:pStyle w:val="BodyText"/>
      </w:pPr>
      <w:r>
        <w:t xml:space="preserve">En caso de que:</w:t>
      </w:r>
    </w:p>
    <w:p>
      <w:pPr>
        <w:numPr>
          <w:ilvl w:val="0"/>
          <w:numId w:val="1007"/>
        </w:numPr>
      </w:pPr>
      <w:r>
        <w:t xml:space="preserve">Javier Puente García deje de ser Accionista (directa o indirectamente), perderá el derecho a la Presidencia permanente. En tal caso, la Presidencia será designada por mayoría simple del Consejo.</w:t>
      </w:r>
    </w:p>
    <w:p>
      <w:pPr>
        <w:numPr>
          <w:ilvl w:val="0"/>
          <w:numId w:val="1007"/>
        </w:numPr>
      </w:pPr>
      <w:r>
        <w:t xml:space="preserve">Casa Pepe HBR reduzca su participación por debajo del</w:t>
      </w:r>
      <w:r>
        <w:t xml:space="preserve"> </w:t>
      </w:r>
      <w:r>
        <w:rPr>
          <w:b/>
        </w:rPr>
        <w:t xml:space="preserve">treinta por ciento (30%)</w:t>
      </w:r>
      <w:r>
        <w:t xml:space="preserve">, perderá el derecho reservado de designación de los 3 Consejeros y</w:t>
      </w:r>
      <w:r>
        <w:t xml:space="preserve"> </w:t>
      </w:r>
      <w:r>
        <w:rPr>
          <w:b/>
        </w:rPr>
        <w:t xml:space="preserve">la totalidad de los 5 Consejeros pasará a ser designada por mayoría simple</w:t>
      </w:r>
      <w:r>
        <w:t xml:space="preserve"> </w:t>
      </w:r>
      <w:r>
        <w:t xml:space="preserve">conforme a la tenencia accionaria pro-rata.</w:t>
      </w:r>
    </w:p>
    <w:p>
      <w:pPr>
        <w:pStyle w:val="FirstParagraph"/>
      </w:pPr>
      <w:r>
        <w:rPr>
          <w:b/>
        </w:rPr>
        <w:t xml:space="preserve">III. Facultades generales</w:t>
      </w:r>
    </w:p>
    <w:p>
      <w:pPr>
        <w:pStyle w:val="BodyText"/>
      </w:pPr>
      <w:r>
        <w:t xml:space="preserve">El Consejo de Administración será el órgano colegiado encargado de la supervisión estratégica y de la adopción de las decisiones relevantes de la Sociedad, en los términos previstos en este Pacto, los estatutos sociales y la legislación aplicable.</w:t>
      </w:r>
    </w:p>
    <w:p>
      <w:r>
        <w:pict>
          <v:rect style="width:0;height:1.5pt" o:hralign="center" o:hrstd="t" o:hr="t"/>
        </w:pict>
      </w:r>
    </w:p>
    <w:p>
      <w:pPr>
        <w:pStyle w:val="FirstParagraph"/>
      </w:pPr>
      <w:r>
        <w:rPr>
          <w:b/>
        </w:rPr>
        <w:t xml:space="preserve">Cláusula II. ACCIONES</w:t>
      </w:r>
    </w:p>
    <w:p>
      <w:pPr>
        <w:pStyle w:val="BodyText"/>
      </w:pPr>
      <w:r>
        <w:rPr>
          <w:b/>
        </w:rPr>
        <w:t xml:space="preserve">1. Derechos y Obligaciones de las Acciones</w:t>
      </w:r>
    </w:p>
    <w:p>
      <w:pPr>
        <w:pStyle w:val="BodyText"/>
      </w:pPr>
      <w:r>
        <w:t xml:space="preserve">De conformidad con lo establecido en el Artículo 6 de los Estatutos Sociales y el presente Convenio, las Partes convienen y reconocen que el capital social de la Sociedad está representado por acciones nominativas, sin expresión de valor nominal, divididas en Series</w:t>
      </w:r>
      <w:r>
        <w:t xml:space="preserve"> </w:t>
      </w:r>
      <w:r>
        <w:t xml:space="preserve">“</w:t>
      </w:r>
      <w:r>
        <w:t xml:space="preserve">A</w:t>
      </w:r>
      <w:r>
        <w:t xml:space="preserve">”</w:t>
      </w:r>
      <w:r>
        <w:t xml:space="preserve">,</w:t>
      </w:r>
      <w:r>
        <w:t xml:space="preserve"> </w:t>
      </w:r>
      <w:r>
        <w:t xml:space="preserve">“</w:t>
      </w:r>
      <w:r>
        <w:t xml:space="preserve">B</w:t>
      </w:r>
      <w:r>
        <w:t xml:space="preserve">”</w:t>
      </w:r>
      <w:r>
        <w:t xml:space="preserve"> </w:t>
      </w:r>
      <w:r>
        <w:t xml:space="preserve">y</w:t>
      </w:r>
      <w:r>
        <w:t xml:space="preserve"> </w:t>
      </w:r>
      <w:r>
        <w:t xml:space="preserve">“</w:t>
      </w:r>
      <w:r>
        <w:t xml:space="preserve">D</w:t>
      </w:r>
      <w:r>
        <w:t xml:space="preserve">”</w:t>
      </w:r>
      <w:r>
        <w:t xml:space="preserve">.</w:t>
      </w:r>
    </w:p>
    <w:p>
      <w:pPr>
        <w:pStyle w:val="BodyText"/>
      </w:pPr>
      <w:r>
        <w:t xml:space="preserve">La parte fija del capital social estará representada por acciones Serie</w:t>
      </w:r>
      <w:r>
        <w:t xml:space="preserve"> </w:t>
      </w:r>
      <w:r>
        <w:t xml:space="preserve">“</w:t>
      </w:r>
      <w:r>
        <w:t xml:space="preserve">A</w:t>
      </w:r>
      <w:r>
        <w:t xml:space="preserve">”</w:t>
      </w:r>
      <w:r>
        <w:t xml:space="preserve"> </w:t>
      </w:r>
      <w:r>
        <w:t xml:space="preserve">y la parte variable por acciones Serie</w:t>
      </w:r>
      <w:r>
        <w:t xml:space="preserve"> </w:t>
      </w:r>
      <w:r>
        <w:t xml:space="preserve">“</w:t>
      </w:r>
      <w:r>
        <w:t xml:space="preserve">B</w:t>
      </w:r>
      <w:r>
        <w:t xml:space="preserve">”</w:t>
      </w:r>
      <w:r>
        <w:t xml:space="preserve"> </w:t>
      </w:r>
      <w:r>
        <w:t xml:space="preserve">y</w:t>
      </w:r>
      <w:r>
        <w:t xml:space="preserve"> </w:t>
      </w:r>
      <w:r>
        <w:t xml:space="preserve">“</w:t>
      </w:r>
      <w:r>
        <w:t xml:space="preserve">D</w:t>
      </w:r>
      <w:r>
        <w:t xml:space="preserve">”</w:t>
      </w:r>
      <w:r>
        <w:t xml:space="preserve">, según corresponda.</w:t>
      </w:r>
    </w:p>
    <w:p>
      <w:pPr>
        <w:pStyle w:val="BodyText"/>
      </w:pPr>
      <w:r>
        <w:t xml:space="preserve">Salvo por lo expresamente previsto para la Serie</w:t>
      </w:r>
      <w:r>
        <w:t xml:space="preserve"> </w:t>
      </w:r>
      <w:r>
        <w:t xml:space="preserve">“</w:t>
      </w:r>
      <w:r>
        <w:t xml:space="preserve">D</w:t>
      </w:r>
      <w:r>
        <w:t xml:space="preserve">”</w:t>
      </w:r>
      <w:r>
        <w:t xml:space="preserve"> </w:t>
      </w:r>
      <w:r>
        <w:t xml:space="preserve">en materia de Tesorería y vesting comercial, todas las acciones, independientemente de su Serie, conferirán a sus titulares los mismos derechos corporativos, patrimoniales y económicos conforme a la Ley General de Sociedades Mercantiles, los Estatutos Sociales y el presente Convenio.</w:t>
      </w:r>
    </w:p>
    <w:p>
      <w:pPr>
        <w:pStyle w:val="BodyText"/>
      </w:pPr>
      <w:r>
        <w:rPr>
          <w:b/>
        </w:rPr>
        <w:t xml:space="preserve">Serie</w:t>
      </w:r>
      <w:r>
        <w:rPr>
          <w:b/>
        </w:rPr>
        <w:t xml:space="preserve"> </w:t>
      </w:r>
      <w:r>
        <w:rPr>
          <w:b/>
        </w:rPr>
        <w:t xml:space="preserve">“</w:t>
      </w:r>
      <w:r>
        <w:rPr>
          <w:b/>
        </w:rPr>
        <w:t xml:space="preserve">A</w:t>
      </w:r>
      <w:r>
        <w:rPr>
          <w:b/>
        </w:rPr>
        <w:t xml:space="preserve">”</w:t>
      </w:r>
      <w:r>
        <w:t xml:space="preserve"> </w:t>
      </w:r>
      <w:r>
        <w:t xml:space="preserve">— Suscrita por Casa Pepe HBR, Socios Hoteleros, Capital Bus y</w:t>
      </w:r>
      <w:r>
        <w:t xml:space="preserve"> </w:t>
      </w:r>
      <w:r>
        <w:t xml:space="preserve">@soyelcharromexican</w:t>
      </w:r>
      <w:r>
        <w:t xml:space="preserve"> </w:t>
      </w:r>
      <w:r>
        <w:t xml:space="preserve">(equivalente al 89% del capital social a la firma del Pacto).</w:t>
      </w:r>
    </w:p>
    <w:p>
      <w:pPr>
        <w:pStyle w:val="BodyText"/>
      </w:pPr>
      <w:r>
        <w:t xml:space="preserve">Las acciones Serie</w:t>
      </w:r>
      <w:r>
        <w:t xml:space="preserve"> </w:t>
      </w:r>
      <w:r>
        <w:t xml:space="preserve">“</w:t>
      </w:r>
      <w:r>
        <w:t xml:space="preserve">A</w:t>
      </w:r>
      <w:r>
        <w:t xml:space="preserve">”</w:t>
      </w:r>
      <w:r>
        <w:t xml:space="preserve"> </w:t>
      </w:r>
      <w:r>
        <w:t xml:space="preserve">serán ordinarias y conferirán derechos corporativos y patrimoniales plenos.</w:t>
      </w:r>
    </w:p>
    <w:p>
      <w:pPr>
        <w:pStyle w:val="BodyText"/>
      </w:pPr>
      <w:r>
        <w:t xml:space="preserve">Cada acción Serie</w:t>
      </w:r>
      <w:r>
        <w:t xml:space="preserve"> </w:t>
      </w:r>
      <w:r>
        <w:t xml:space="preserve">“</w:t>
      </w:r>
      <w:r>
        <w:t xml:space="preserve">A</w:t>
      </w:r>
      <w:r>
        <w:t xml:space="preserve">”</w:t>
      </w:r>
      <w:r>
        <w:t xml:space="preserve"> </w:t>
      </w:r>
      <w:r>
        <w:t xml:space="preserve">otorgará:</w:t>
      </w:r>
    </w:p>
    <w:p>
      <w:pPr>
        <w:numPr>
          <w:ilvl w:val="0"/>
          <w:numId w:val="1008"/>
        </w:numPr>
      </w:pPr>
      <w:r>
        <w:t xml:space="preserve">Derecho de voto pleno en todas las Asambleas Generales y/o Especiales de Accionistas;</w:t>
      </w:r>
    </w:p>
    <w:p>
      <w:pPr>
        <w:numPr>
          <w:ilvl w:val="0"/>
          <w:numId w:val="1008"/>
        </w:numPr>
      </w:pPr>
      <w:r>
        <w:t xml:space="preserve">Derecho a participar en utilidades, dividendos, reembolsos, amortizaciones o cualquier distribución en proporción a su participación en el capital social;</w:t>
      </w:r>
    </w:p>
    <w:p>
      <w:pPr>
        <w:numPr>
          <w:ilvl w:val="0"/>
          <w:numId w:val="1008"/>
        </w:numPr>
      </w:pPr>
      <w:r>
        <w:t xml:space="preserve">Derecho a participar en aumentos y reducciones de capital conforme a la ley;</w:t>
      </w:r>
    </w:p>
    <w:p>
      <w:pPr>
        <w:numPr>
          <w:ilvl w:val="0"/>
          <w:numId w:val="1008"/>
        </w:numPr>
      </w:pPr>
      <w:r>
        <w:t xml:space="preserve">Derecho de preferencia en suscripción de nuevas acciones;</w:t>
      </w:r>
    </w:p>
    <w:p>
      <w:pPr>
        <w:numPr>
          <w:ilvl w:val="0"/>
          <w:numId w:val="1008"/>
        </w:numPr>
      </w:pPr>
      <w:r>
        <w:t xml:space="preserve">Y todos aquellos derechos que correspondan a acciones ordinarias conforme a la Ley General de Sociedades Mercantiles.</w:t>
      </w:r>
    </w:p>
    <w:p>
      <w:pPr>
        <w:pStyle w:val="FirstParagraph"/>
      </w:pPr>
      <w:r>
        <w:t xml:space="preserve">Todas las acciones Serie</w:t>
      </w:r>
      <w:r>
        <w:t xml:space="preserve"> </w:t>
      </w:r>
      <w:r>
        <w:t xml:space="preserve">“</w:t>
      </w:r>
      <w:r>
        <w:t xml:space="preserve">A</w:t>
      </w:r>
      <w:r>
        <w:t xml:space="preserve">”</w:t>
      </w:r>
      <w:r>
        <w:t xml:space="preserve"> </w:t>
      </w:r>
      <w:r>
        <w:t xml:space="preserve">participarán en igualdad de condiciones entre sí, sin distinción alguna.</w:t>
      </w:r>
    </w:p>
    <w:p>
      <w:pPr>
        <w:pStyle w:val="BodyText"/>
      </w:pPr>
      <w:r>
        <w:rPr>
          <w:b/>
        </w:rPr>
        <w:t xml:space="preserve">Serie</w:t>
      </w:r>
      <w:r>
        <w:rPr>
          <w:b/>
        </w:rPr>
        <w:t xml:space="preserve"> </w:t>
      </w:r>
      <w:r>
        <w:rPr>
          <w:b/>
        </w:rPr>
        <w:t xml:space="preserve">“</w:t>
      </w:r>
      <w:r>
        <w:rPr>
          <w:b/>
        </w:rPr>
        <w:t xml:space="preserve">B</w:t>
      </w:r>
      <w:r>
        <w:rPr>
          <w:b/>
        </w:rPr>
        <w:t xml:space="preserve">”</w:t>
      </w:r>
      <w:r>
        <w:t xml:space="preserve"> </w:t>
      </w:r>
      <w:r>
        <w:t xml:space="preserve">— Reservada para la incorporación futura de nuevos socios hoteleros o estratégicos que se sumen a la red de la Sociedad.</w:t>
      </w:r>
    </w:p>
    <w:p>
      <w:pPr>
        <w:pStyle w:val="BodyText"/>
      </w:pPr>
      <w:r>
        <w:t xml:space="preserve">Las acciones Serie</w:t>
      </w:r>
      <w:r>
        <w:t xml:space="preserve"> </w:t>
      </w:r>
      <w:r>
        <w:t xml:space="preserve">“</w:t>
      </w:r>
      <w:r>
        <w:t xml:space="preserve">B</w:t>
      </w:r>
      <w:r>
        <w:t xml:space="preserve">”</w:t>
      </w:r>
      <w:r>
        <w:t xml:space="preserve"> </w:t>
      </w:r>
      <w:r>
        <w:t xml:space="preserve">serán igualmente ordinarias y conferirán exactamente los mismos derechos corporativos, patrimoniales y económicos que las acciones Serie</w:t>
      </w:r>
      <w:r>
        <w:t xml:space="preserve"> </w:t>
      </w:r>
      <w:r>
        <w:t xml:space="preserve">“</w:t>
      </w:r>
      <w:r>
        <w:t xml:space="preserve">A</w:t>
      </w:r>
      <w:r>
        <w:t xml:space="preserve">”</w:t>
      </w:r>
      <w:r>
        <w:t xml:space="preserve">.</w:t>
      </w:r>
    </w:p>
    <w:p>
      <w:pPr>
        <w:pStyle w:val="BodyText"/>
      </w:pPr>
      <w:r>
        <w:t xml:space="preserve">Cada acción Serie</w:t>
      </w:r>
      <w:r>
        <w:t xml:space="preserve"> </w:t>
      </w:r>
      <w:r>
        <w:t xml:space="preserve">“</w:t>
      </w:r>
      <w:r>
        <w:t xml:space="preserve">B</w:t>
      </w:r>
      <w:r>
        <w:t xml:space="preserve">”</w:t>
      </w:r>
      <w:r>
        <w:t xml:space="preserve"> </w:t>
      </w:r>
      <w:r>
        <w:t xml:space="preserve">otorgará:</w:t>
      </w:r>
    </w:p>
    <w:p>
      <w:pPr>
        <w:numPr>
          <w:ilvl w:val="0"/>
          <w:numId w:val="1009"/>
        </w:numPr>
      </w:pPr>
      <w:r>
        <w:t xml:space="preserve">Derecho de voto pleno en todas las Asambleas;</w:t>
      </w:r>
    </w:p>
    <w:p>
      <w:pPr>
        <w:numPr>
          <w:ilvl w:val="0"/>
          <w:numId w:val="1009"/>
        </w:numPr>
      </w:pPr>
      <w:r>
        <w:t xml:space="preserve">Derecho a participar proporcionalmente en utilidades y distribuciones;</w:t>
      </w:r>
    </w:p>
    <w:p>
      <w:pPr>
        <w:numPr>
          <w:ilvl w:val="0"/>
          <w:numId w:val="1009"/>
        </w:numPr>
      </w:pPr>
      <w:r>
        <w:t xml:space="preserve">Derecho de preferencia en aumentos de capital;</w:t>
      </w:r>
    </w:p>
    <w:p>
      <w:pPr>
        <w:numPr>
          <w:ilvl w:val="0"/>
          <w:numId w:val="1009"/>
        </w:numPr>
      </w:pPr>
      <w:r>
        <w:t xml:space="preserve">Y todos los derechos que la ley reconoce a acciones ordinarias.</w:t>
      </w:r>
    </w:p>
    <w:p>
      <w:pPr>
        <w:pStyle w:val="FirstParagraph"/>
      </w:pPr>
      <w:r>
        <w:t xml:space="preserve">No existirá privilegio, subordinación, preferencia ni limitación alguna entre acciones Serie</w:t>
      </w:r>
      <w:r>
        <w:t xml:space="preserve"> </w:t>
      </w:r>
      <w:r>
        <w:t xml:space="preserve">“</w:t>
      </w:r>
      <w:r>
        <w:t xml:space="preserve">A</w:t>
      </w:r>
      <w:r>
        <w:t xml:space="preserve">”</w:t>
      </w:r>
      <w:r>
        <w:t xml:space="preserve"> </w:t>
      </w:r>
      <w:r>
        <w:t xml:space="preserve">y Serie</w:t>
      </w:r>
      <w:r>
        <w:t xml:space="preserve"> </w:t>
      </w:r>
      <w:r>
        <w:t xml:space="preserve">“</w:t>
      </w:r>
      <w:r>
        <w:t xml:space="preserve">B</w:t>
      </w:r>
      <w:r>
        <w:t xml:space="preserve">”</w:t>
      </w:r>
      <w:r>
        <w:t xml:space="preserve">, teniendo ambas Series igualdad jurídica absoluta.</w:t>
      </w:r>
    </w:p>
    <w:p>
      <w:pPr>
        <w:pStyle w:val="BodyText"/>
      </w:pPr>
      <w:r>
        <w:rPr>
          <w:b/>
        </w:rPr>
        <w:t xml:space="preserve">Serie</w:t>
      </w:r>
      <w:r>
        <w:rPr>
          <w:b/>
        </w:rPr>
        <w:t xml:space="preserve"> </w:t>
      </w:r>
      <w:r>
        <w:rPr>
          <w:b/>
        </w:rPr>
        <w:t xml:space="preserve">“</w:t>
      </w:r>
      <w:r>
        <w:rPr>
          <w:b/>
        </w:rPr>
        <w:t xml:space="preserve">D</w:t>
      </w:r>
      <w:r>
        <w:rPr>
          <w:b/>
        </w:rPr>
        <w:t xml:space="preserve">”</w:t>
      </w:r>
      <w:r>
        <w:rPr>
          <w:b/>
        </w:rPr>
        <w:t xml:space="preserve"> </w:t>
      </w:r>
      <w:r>
        <w:rPr>
          <w:b/>
        </w:rPr>
        <w:t xml:space="preserve">– Acciones sujetas a vesting comercial (11% en Tesorería)</w:t>
      </w:r>
    </w:p>
    <w:p>
      <w:pPr>
        <w:pStyle w:val="BodyText"/>
      </w:pPr>
      <w:r>
        <w:t xml:space="preserve">Las acciones Serie</w:t>
      </w:r>
      <w:r>
        <w:t xml:space="preserve"> </w:t>
      </w:r>
      <w:r>
        <w:t xml:space="preserve">“</w:t>
      </w:r>
      <w:r>
        <w:t xml:space="preserve">D</w:t>
      </w:r>
      <w:r>
        <w:t xml:space="preserve">”</w:t>
      </w:r>
      <w:r>
        <w:t xml:space="preserve"> </w:t>
      </w:r>
      <w:r>
        <w:t xml:space="preserve">tendrán naturaleza ordinaria y, una vez emitidas y suscritas conforme al mecanismo de vesting comercial previsto en la Cláusula III siguiente, conferirán a su titular los mismos derechos corporativos, patrimoniales y económicos que las Series</w:t>
      </w:r>
      <w:r>
        <w:t xml:space="preserve"> </w:t>
      </w:r>
      <w:r>
        <w:t xml:space="preserve">“</w:t>
      </w:r>
      <w:r>
        <w:t xml:space="preserve">A</w:t>
      </w:r>
      <w:r>
        <w:t xml:space="preserve">”</w:t>
      </w:r>
      <w:r>
        <w:t xml:space="preserve"> </w:t>
      </w:r>
      <w:r>
        <w:t xml:space="preserve">y</w:t>
      </w:r>
      <w:r>
        <w:t xml:space="preserve"> </w:t>
      </w:r>
      <w:r>
        <w:t xml:space="preserve">“</w:t>
      </w:r>
      <w:r>
        <w:t xml:space="preserve">B</w:t>
      </w:r>
      <w:r>
        <w:t xml:space="preserve">”</w:t>
      </w:r>
      <w:r>
        <w:t xml:space="preserve">.</w:t>
      </w:r>
    </w:p>
    <w:p>
      <w:pPr>
        <w:pStyle w:val="BodyText"/>
      </w:pPr>
      <w:r>
        <w:t xml:space="preserve">No obstante lo anterior:</w:t>
      </w:r>
    </w:p>
    <w:p>
      <w:pPr>
        <w:numPr>
          <w:ilvl w:val="0"/>
          <w:numId w:val="1010"/>
        </w:numPr>
      </w:pPr>
      <w:r>
        <w:t xml:space="preserve">Las acciones Serie</w:t>
      </w:r>
      <w:r>
        <w:t xml:space="preserve"> </w:t>
      </w:r>
      <w:r>
        <w:t xml:space="preserve">“</w:t>
      </w:r>
      <w:r>
        <w:t xml:space="preserve">D</w:t>
      </w:r>
      <w:r>
        <w:t xml:space="preserve">”</w:t>
      </w:r>
      <w:r>
        <w:t xml:space="preserve"> </w:t>
      </w:r>
      <w:r>
        <w:t xml:space="preserve">actualmente se encuentran contablemente en Tesorería de la Sociedad, representando el once por ciento (11%) del capital social.</w:t>
      </w:r>
    </w:p>
    <w:p>
      <w:pPr>
        <w:numPr>
          <w:ilvl w:val="0"/>
          <w:numId w:val="1010"/>
        </w:numPr>
      </w:pPr>
      <w:r>
        <w:t xml:space="preserve">Mientras permanezcan en Tesorería:</w:t>
      </w:r>
    </w:p>
    <w:p>
      <w:pPr>
        <w:numPr>
          <w:ilvl w:val="1"/>
          <w:numId w:val="1011"/>
        </w:numPr>
        <w:pStyle w:val="Compact"/>
      </w:pPr>
      <w:r>
        <w:t xml:space="preserve">No generarán derechos económicos exigibles;</w:t>
      </w:r>
    </w:p>
    <w:p>
      <w:pPr>
        <w:numPr>
          <w:ilvl w:val="1"/>
          <w:numId w:val="1011"/>
        </w:numPr>
        <w:pStyle w:val="Compact"/>
      </w:pPr>
      <w:r>
        <w:t xml:space="preserve">No serán consideradas como acciones efectivamente suscritas;</w:t>
      </w:r>
    </w:p>
    <w:p>
      <w:pPr>
        <w:numPr>
          <w:ilvl w:val="1"/>
          <w:numId w:val="1011"/>
        </w:numPr>
        <w:pStyle w:val="Compact"/>
      </w:pPr>
      <w:r>
        <w:t xml:space="preserve">Su emisión y adjudicación estará condicionada al cumplimiento del mecanismo de vesting por desempeño en ventas regulado en el presente Convenio.</w:t>
      </w:r>
    </w:p>
    <w:p>
      <w:pPr>
        <w:numPr>
          <w:ilvl w:val="0"/>
          <w:numId w:val="1010"/>
        </w:numPr>
      </w:pPr>
      <w:r>
        <w:t xml:space="preserve">Una vez liberadas conforme al vesting:</w:t>
      </w:r>
    </w:p>
    <w:p>
      <w:pPr>
        <w:numPr>
          <w:ilvl w:val="1"/>
          <w:numId w:val="1012"/>
        </w:numPr>
        <w:pStyle w:val="Compact"/>
      </w:pPr>
      <w:r>
        <w:t xml:space="preserve">Se considerarán plenamente emitidas y suscritas;</w:t>
      </w:r>
    </w:p>
    <w:p>
      <w:pPr>
        <w:numPr>
          <w:ilvl w:val="1"/>
          <w:numId w:val="1012"/>
        </w:numPr>
        <w:pStyle w:val="Compact"/>
      </w:pPr>
      <w:r>
        <w:t xml:space="preserve">Otorgarán derechos corporativos y económicos en igualdad de condiciones con las demás Series;</w:t>
      </w:r>
    </w:p>
    <w:p>
      <w:pPr>
        <w:numPr>
          <w:ilvl w:val="1"/>
          <w:numId w:val="1012"/>
        </w:numPr>
        <w:pStyle w:val="Compact"/>
      </w:pPr>
      <w:r>
        <w:t xml:space="preserve">Participarán proporcionalmente en el capital social desde el momento de su adjudicación efectiva.</w:t>
      </w:r>
    </w:p>
    <w:p>
      <w:r>
        <w:pict>
          <v:rect style="width:0;height:1.5pt" o:hralign="center" o:hrstd="t" o:hr="t"/>
        </w:pict>
      </w:r>
    </w:p>
    <w:p>
      <w:pPr>
        <w:pStyle w:val="FirstParagraph"/>
      </w:pPr>
      <w:r>
        <w:rPr>
          <w:b/>
        </w:rPr>
        <w:t xml:space="preserve">CLÁUSULA III. Mecanismo de liberación de Acciones Serie</w:t>
      </w:r>
      <w:r>
        <w:rPr>
          <w:b/>
        </w:rPr>
        <w:t xml:space="preserve"> </w:t>
      </w:r>
      <w:r>
        <w:rPr>
          <w:b/>
        </w:rPr>
        <w:t xml:space="preserve">“</w:t>
      </w:r>
      <w:r>
        <w:rPr>
          <w:b/>
        </w:rPr>
        <w:t xml:space="preserve">D</w:t>
      </w:r>
      <w:r>
        <w:rPr>
          <w:b/>
        </w:rPr>
        <w:t xml:space="preserve">”</w:t>
      </w:r>
      <w:r>
        <w:rPr>
          <w:b/>
        </w:rPr>
        <w:t xml:space="preserve"> </w:t>
      </w:r>
      <w:r>
        <w:rPr>
          <w:b/>
        </w:rPr>
        <w:t xml:space="preserve">(Vesting Comercial)</w:t>
      </w:r>
    </w:p>
    <w:p>
      <w:pPr>
        <w:pStyle w:val="BodyText"/>
      </w:pPr>
      <w:r>
        <w:t xml:space="preserve">Las acciones Serie</w:t>
      </w:r>
      <w:r>
        <w:t xml:space="preserve"> </w:t>
      </w:r>
      <w:r>
        <w:t xml:space="preserve">“</w:t>
      </w:r>
      <w:r>
        <w:t xml:space="preserve">D</w:t>
      </w:r>
      <w:r>
        <w:t xml:space="preserve">”</w:t>
      </w:r>
      <w:r>
        <w:t xml:space="preserve">, equivalentes al</w:t>
      </w:r>
      <w:r>
        <w:t xml:space="preserve"> </w:t>
      </w:r>
      <w:r>
        <w:rPr>
          <w:b/>
        </w:rPr>
        <w:t xml:space="preserve">11% del capital social</w:t>
      </w:r>
      <w:r>
        <w:t xml:space="preserve">, constituyen una bolsa máxima de vesting a favor de los socios que participen activamente en la generación de ventas de la Sociedad, conforme al mecanismo aquí regulado.</w:t>
      </w:r>
    </w:p>
    <w:p>
      <w:pPr>
        <w:pStyle w:val="BodyText"/>
      </w:pPr>
      <w:r>
        <w:rPr>
          <w:b/>
        </w:rPr>
        <w:t xml:space="preserve">I. Objeto del vesting</w:t>
      </w:r>
    </w:p>
    <w:p>
      <w:pPr>
        <w:pStyle w:val="BodyText"/>
      </w:pPr>
      <w:r>
        <w:t xml:space="preserve">El objetivo del vesting comercial es alcanzar, en un plazo de veinticuatro (24) meses contados a partir de la firma del presente Pacto, un total de</w:t>
      </w:r>
      <w:r>
        <w:t xml:space="preserve"> </w:t>
      </w:r>
      <w:r>
        <w:rPr>
          <w:b/>
        </w:rPr>
        <w:t xml:space="preserve">$825,000.00 M.N. en comisiones de venta acumuladas</w:t>
      </w:r>
      <w:r>
        <w:t xml:space="preserve"> </w:t>
      </w:r>
      <w:r>
        <w:t xml:space="preserve">(equivalente a aproximadamente 9,000 tours vendidos), distribuidas en cuatro (4) cortes semestrales con metas ascendentes.</w:t>
      </w:r>
    </w:p>
    <w:p>
      <w:pPr>
        <w:pStyle w:val="BodyText"/>
      </w:pPr>
      <w:r>
        <w:rPr>
          <w:b/>
        </w:rPr>
        <w:t xml:space="preserve">II. Cortes semestrales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Corte</w:t>
            </w:r>
          </w:p>
        </w:tc>
        <w:tc>
          <w:tcPr>
            <w:tcBorders>
              <w:bottom w:val="single"/>
            </w:tcBorders>
            <w:vAlign w:val="bottom"/>
          </w:tcPr>
          <w:p>
            <w:pPr>
              <w:pStyle w:val="Compact"/>
              <w:jc w:val="left"/>
            </w:pPr>
            <w:r>
              <w:t xml:space="preserve">Mes</w:t>
            </w:r>
          </w:p>
        </w:tc>
        <w:tc>
          <w:tcPr>
            <w:tcBorders>
              <w:bottom w:val="single"/>
            </w:tcBorders>
            <w:vAlign w:val="bottom"/>
          </w:tcPr>
          <w:p>
            <w:pPr>
              <w:pStyle w:val="Compact"/>
              <w:jc w:val="left"/>
            </w:pPr>
            <w:r>
              <w:t xml:space="preserve">% del vesting</w:t>
            </w:r>
          </w:p>
        </w:tc>
        <w:tc>
          <w:tcPr>
            <w:tcBorders>
              <w:bottom w:val="single"/>
            </w:tcBorders>
            <w:vAlign w:val="bottom"/>
          </w:tcPr>
          <w:p>
            <w:pPr>
              <w:pStyle w:val="Compact"/>
              <w:jc w:val="left"/>
            </w:pPr>
            <w:r>
              <w:t xml:space="preserve">Meta comisiones del semestre</w:t>
            </w:r>
          </w:p>
        </w:tc>
        <w:tc>
          <w:tcPr>
            <w:tcBorders>
              <w:bottom w:val="single"/>
            </w:tcBorders>
            <w:vAlign w:val="bottom"/>
          </w:tcPr>
          <w:p>
            <w:pPr>
              <w:pStyle w:val="Compact"/>
              <w:jc w:val="left"/>
            </w:pPr>
            <w:r>
              <w:t xml:space="preserve">Acumulado</w:t>
            </w:r>
          </w:p>
        </w:tc>
      </w:tr>
      <w:tr>
        <w:tc>
          <w:p>
            <w:pPr>
              <w:pStyle w:val="Compact"/>
              <w:jc w:val="left"/>
            </w:pPr>
            <w:r>
              <w:t xml:space="preserve">Semestre 1</w:t>
            </w:r>
          </w:p>
        </w:tc>
        <w:tc>
          <w:p>
            <w:pPr>
              <w:pStyle w:val="Compact"/>
              <w:jc w:val="left"/>
            </w:pPr>
            <w:r>
              <w:t xml:space="preserve">M6</w:t>
            </w:r>
          </w:p>
        </w:tc>
        <w:tc>
          <w:p>
            <w:pPr>
              <w:pStyle w:val="Compact"/>
              <w:jc w:val="left"/>
            </w:pPr>
            <w:r>
              <w:t xml:space="preserve">15%</w:t>
            </w:r>
          </w:p>
        </w:tc>
        <w:tc>
          <w:p>
            <w:pPr>
              <w:pStyle w:val="Compact"/>
              <w:jc w:val="left"/>
            </w:pPr>
            <w:r>
              <w:t xml:space="preserve">$123,750</w:t>
            </w:r>
          </w:p>
        </w:tc>
        <w:tc>
          <w:p>
            <w:pPr>
              <w:pStyle w:val="Compact"/>
              <w:jc w:val="left"/>
            </w:pPr>
            <w:r>
              <w:t xml:space="preserve">$123,750 (~1,350 tours)</w:t>
            </w:r>
          </w:p>
        </w:tc>
      </w:tr>
      <w:tr>
        <w:tc>
          <w:p>
            <w:pPr>
              <w:pStyle w:val="Compact"/>
              <w:jc w:val="left"/>
            </w:pPr>
            <w:r>
              <w:t xml:space="preserve">Semestre 2</w:t>
            </w:r>
          </w:p>
        </w:tc>
        <w:tc>
          <w:p>
            <w:pPr>
              <w:pStyle w:val="Compact"/>
              <w:jc w:val="left"/>
            </w:pPr>
            <w:r>
              <w:t xml:space="preserve">M12</w:t>
            </w:r>
          </w:p>
        </w:tc>
        <w:tc>
          <w:p>
            <w:pPr>
              <w:pStyle w:val="Compact"/>
              <w:jc w:val="left"/>
            </w:pPr>
            <w:r>
              <w:t xml:space="preserve">20%</w:t>
            </w:r>
          </w:p>
        </w:tc>
        <w:tc>
          <w:p>
            <w:pPr>
              <w:pStyle w:val="Compact"/>
              <w:jc w:val="left"/>
            </w:pPr>
            <w:r>
              <w:t xml:space="preserve">$165,000</w:t>
            </w:r>
          </w:p>
        </w:tc>
        <w:tc>
          <w:p>
            <w:pPr>
              <w:pStyle w:val="Compact"/>
              <w:jc w:val="left"/>
            </w:pPr>
            <w:r>
              <w:t xml:space="preserve">$288,750 (~3,150 tours)</w:t>
            </w:r>
          </w:p>
        </w:tc>
      </w:tr>
      <w:tr>
        <w:tc>
          <w:p>
            <w:pPr>
              <w:pStyle w:val="Compact"/>
              <w:jc w:val="left"/>
            </w:pPr>
            <w:r>
              <w:t xml:space="preserve">Semestre 3</w:t>
            </w:r>
          </w:p>
        </w:tc>
        <w:tc>
          <w:p>
            <w:pPr>
              <w:pStyle w:val="Compact"/>
              <w:jc w:val="left"/>
            </w:pPr>
            <w:r>
              <w:t xml:space="preserve">M18</w:t>
            </w:r>
          </w:p>
        </w:tc>
        <w:tc>
          <w:p>
            <w:pPr>
              <w:pStyle w:val="Compact"/>
              <w:jc w:val="left"/>
            </w:pPr>
            <w:r>
              <w:t xml:space="preserve">30%</w:t>
            </w:r>
          </w:p>
        </w:tc>
        <w:tc>
          <w:p>
            <w:pPr>
              <w:pStyle w:val="Compact"/>
              <w:jc w:val="left"/>
            </w:pPr>
            <w:r>
              <w:t xml:space="preserve">$247,500</w:t>
            </w:r>
          </w:p>
        </w:tc>
        <w:tc>
          <w:p>
            <w:pPr>
              <w:pStyle w:val="Compact"/>
              <w:jc w:val="left"/>
            </w:pPr>
            <w:r>
              <w:t xml:space="preserve">$536,250 (~5,850 tours)</w:t>
            </w:r>
          </w:p>
        </w:tc>
      </w:tr>
      <w:tr>
        <w:tc>
          <w:p>
            <w:pPr>
              <w:pStyle w:val="Compact"/>
              <w:jc w:val="left"/>
            </w:pPr>
            <w:r>
              <w:t xml:space="preserve">Semestre 4</w:t>
            </w:r>
          </w:p>
        </w:tc>
        <w:tc>
          <w:p>
            <w:pPr>
              <w:pStyle w:val="Compact"/>
              <w:jc w:val="left"/>
            </w:pPr>
            <w:r>
              <w:t xml:space="preserve">M24</w:t>
            </w:r>
          </w:p>
        </w:tc>
        <w:tc>
          <w:p>
            <w:pPr>
              <w:pStyle w:val="Compact"/>
              <w:jc w:val="left"/>
            </w:pPr>
            <w:r>
              <w:t xml:space="preserve">35%</w:t>
            </w:r>
          </w:p>
        </w:tc>
        <w:tc>
          <w:p>
            <w:pPr>
              <w:pStyle w:val="Compact"/>
              <w:jc w:val="left"/>
            </w:pPr>
            <w:r>
              <w:t xml:space="preserve">$288,750</w:t>
            </w:r>
          </w:p>
        </w:tc>
        <w:tc>
          <w:p>
            <w:pPr>
              <w:pStyle w:val="Compact"/>
              <w:jc w:val="left"/>
            </w:pPr>
            <w:r>
              <w:t xml:space="preserve">$825,000 (9,000 tours)</w:t>
            </w:r>
          </w:p>
        </w:tc>
      </w:tr>
    </w:tbl>
    <w:p>
      <w:pPr>
        <w:pStyle w:val="BodyText"/>
      </w:pPr>
      <w:r>
        <w:t xml:space="preserve">En cada corte semestral, si se alcanza la meta correspondiente, se libera el porcentaje del vesting indicado. Si no se alcanza la meta, se libera únicamente la proporción efectivamente cumplida, y el remanente se acumula al siguiente corte.</w:t>
      </w:r>
    </w:p>
    <w:p>
      <w:pPr>
        <w:pStyle w:val="BodyText"/>
      </w:pPr>
      <w:r>
        <w:rPr>
          <w:b/>
        </w:rPr>
        <w:t xml:space="preserve">III. Mecanismo de descuento por pagos críticos (aportaciones extraordinarias)</w:t>
      </w:r>
    </w:p>
    <w:p>
      <w:pPr>
        <w:pStyle w:val="BodyText"/>
      </w:pPr>
      <w:r>
        <w:t xml:space="preserve">Cada vez que:</w:t>
      </w:r>
    </w:p>
    <w:p>
      <w:pPr>
        <w:numPr>
          <w:ilvl w:val="0"/>
          <w:numId w:val="1013"/>
        </w:numPr>
      </w:pPr>
      <w:r>
        <w:t xml:space="preserve">El Consejo determine la necesidad de cubrir un pago crítico; y</w:t>
      </w:r>
    </w:p>
    <w:p>
      <w:pPr>
        <w:numPr>
          <w:ilvl w:val="0"/>
          <w:numId w:val="1013"/>
        </w:numPr>
      </w:pPr>
      <w:r>
        <w:t xml:space="preserve">Un socio realice una aportación extraordinaria aprobada conforme al orden de suscripción preferente;</w:t>
      </w:r>
    </w:p>
    <w:p>
      <w:pPr>
        <w:pStyle w:val="FirstParagraph"/>
      </w:pPr>
      <w:r>
        <w:t xml:space="preserve">el monto aportado se convertirá en emisión proporcional de acciones Serie</w:t>
      </w:r>
      <w:r>
        <w:t xml:space="preserve"> </w:t>
      </w:r>
      <w:r>
        <w:t xml:space="preserve">“</w:t>
      </w:r>
      <w:r>
        <w:t xml:space="preserve">D</w:t>
      </w:r>
      <w:r>
        <w:t xml:space="preserve">”</w:t>
      </w:r>
      <w:r>
        <w:t xml:space="preserve"> </w:t>
      </w:r>
      <w:r>
        <w:t xml:space="preserve">con base en el valor total de referencia de</w:t>
      </w:r>
      <w:r>
        <w:t xml:space="preserve"> </w:t>
      </w:r>
      <w:r>
        <w:rPr>
          <w:b/>
        </w:rPr>
        <w:t xml:space="preserve">$1,500,000.00 M.N.</w:t>
      </w:r>
      <w:r>
        <w:t xml:space="preserve"> </w:t>
      </w:r>
      <w:r>
        <w:t xml:space="preserve">para el 11% total de la bolsa.</w:t>
      </w:r>
    </w:p>
    <w:p>
      <w:pPr>
        <w:pStyle w:val="BodyText"/>
      </w:pPr>
      <w:r>
        <w:rPr>
          <w:b/>
        </w:rPr>
        <w:t xml:space="preserve">Fórmula de conversión:</w:t>
      </w:r>
    </w:p>
    <w:p>
      <w:pPr>
        <w:pStyle w:val="BodyText"/>
      </w:pPr>
      <w:r>
        <w:t xml:space="preserve">Por cada aportación de $X M.N., el socio recibirá un porcentaje del 11% total equivalente a</w:t>
      </w:r>
      <w:r>
        <w:t xml:space="preserve"> </w:t>
      </w:r>
      <w:r>
        <w:rPr>
          <w:rStyle w:val="VerbatimChar"/>
        </w:rPr>
        <w:t xml:space="preserve">(X / 1,500,000) × 11%</w:t>
      </w:r>
      <w:r>
        <w:t xml:space="preserve">. Ese porcentaje:</w:t>
      </w:r>
    </w:p>
    <w:p>
      <w:pPr>
        <w:numPr>
          <w:ilvl w:val="0"/>
          <w:numId w:val="1014"/>
        </w:numPr>
        <w:pStyle w:val="Compact"/>
      </w:pPr>
      <w:r>
        <w:t xml:space="preserve">Se descuenta automáticamente del remanente en Tesorería;</w:t>
      </w:r>
    </w:p>
    <w:p>
      <w:pPr>
        <w:numPr>
          <w:ilvl w:val="0"/>
          <w:numId w:val="1014"/>
        </w:numPr>
        <w:pStyle w:val="Compact"/>
      </w:pPr>
      <w:r>
        <w:t xml:space="preserve">Reduce proporcionalmente la bolsa disponible para el vesting comercial.</w:t>
      </w:r>
    </w:p>
    <w:p>
      <w:pPr>
        <w:pStyle w:val="FirstParagraph"/>
      </w:pPr>
      <w:r>
        <w:rPr>
          <w:b/>
        </w:rPr>
        <w:t xml:space="preserve">IV. Pagos Críticos</w:t>
      </w:r>
    </w:p>
    <w:p>
      <w:pPr>
        <w:pStyle w:val="BodyText"/>
      </w:pPr>
      <w:r>
        <w:t xml:space="preserve">Se considerarán exclusivamente como pagos críticos aquellos cuya falta de cumplimiento comprometa la continuidad operativa inmediata de la Sociedad, consistentes en:</w:t>
      </w:r>
    </w:p>
    <w:p>
      <w:pPr>
        <w:numPr>
          <w:ilvl w:val="0"/>
          <w:numId w:val="1015"/>
        </w:numPr>
        <w:pStyle w:val="Compact"/>
      </w:pPr>
      <w:r>
        <w:t xml:space="preserve">Impuestos mensuales;</w:t>
      </w:r>
    </w:p>
    <w:p>
      <w:pPr>
        <w:numPr>
          <w:ilvl w:val="0"/>
          <w:numId w:val="1015"/>
        </w:numPr>
        <w:pStyle w:val="Compact"/>
      </w:pPr>
      <w:r>
        <w:t xml:space="preserve">Renta de espacios operativos;</w:t>
      </w:r>
    </w:p>
    <w:p>
      <w:pPr>
        <w:numPr>
          <w:ilvl w:val="0"/>
          <w:numId w:val="1015"/>
        </w:numPr>
        <w:pStyle w:val="Compact"/>
      </w:pPr>
      <w:r>
        <w:t xml:space="preserve">Convenios de renta vigentes;</w:t>
      </w:r>
    </w:p>
    <w:p>
      <w:pPr>
        <w:numPr>
          <w:ilvl w:val="0"/>
          <w:numId w:val="1015"/>
        </w:numPr>
        <w:pStyle w:val="Compact"/>
      </w:pPr>
      <w:r>
        <w:t xml:space="preserve">Nómina a trabajadores;</w:t>
      </w:r>
    </w:p>
    <w:p>
      <w:pPr>
        <w:numPr>
          <w:ilvl w:val="0"/>
          <w:numId w:val="1015"/>
        </w:numPr>
        <w:pStyle w:val="Compact"/>
      </w:pPr>
      <w:r>
        <w:t xml:space="preserve">Convenios formales de pago de impuestos.</w:t>
      </w:r>
    </w:p>
    <w:p>
      <w:pPr>
        <w:pStyle w:val="FirstParagraph"/>
      </w:pPr>
      <w:r>
        <w:t xml:space="preserve">No se considerarán pagos críticos:</w:t>
      </w:r>
    </w:p>
    <w:p>
      <w:pPr>
        <w:numPr>
          <w:ilvl w:val="0"/>
          <w:numId w:val="1016"/>
        </w:numPr>
        <w:pStyle w:val="Compact"/>
      </w:pPr>
      <w:r>
        <w:t xml:space="preserve">Pago de deuda a proveedores ordinarios;</w:t>
      </w:r>
    </w:p>
    <w:p>
      <w:pPr>
        <w:numPr>
          <w:ilvl w:val="0"/>
          <w:numId w:val="1016"/>
        </w:numPr>
        <w:pStyle w:val="Compact"/>
      </w:pPr>
      <w:r>
        <w:t xml:space="preserve">Nuevos proyectos;</w:t>
      </w:r>
    </w:p>
    <w:p>
      <w:pPr>
        <w:numPr>
          <w:ilvl w:val="0"/>
          <w:numId w:val="1016"/>
        </w:numPr>
        <w:pStyle w:val="Compact"/>
      </w:pPr>
      <w:r>
        <w:t xml:space="preserve">Expansión o inversión;</w:t>
      </w:r>
    </w:p>
    <w:p>
      <w:pPr>
        <w:numPr>
          <w:ilvl w:val="0"/>
          <w:numId w:val="1016"/>
        </w:numPr>
        <w:pStyle w:val="Compact"/>
      </w:pPr>
      <w:r>
        <w:t xml:space="preserve">Desarrollo de nuevas unidades;</w:t>
      </w:r>
    </w:p>
    <w:p>
      <w:pPr>
        <w:numPr>
          <w:ilvl w:val="0"/>
          <w:numId w:val="1016"/>
        </w:numPr>
        <w:pStyle w:val="Compact"/>
      </w:pPr>
      <w:r>
        <w:t xml:space="preserve">Cualquier contingencia derivada de la operación ordinaria.</w:t>
      </w:r>
    </w:p>
    <w:p>
      <w:pPr>
        <w:pStyle w:val="FirstParagraph"/>
      </w:pPr>
      <w:r>
        <w:t xml:space="preserve">La determinación de un pago crítico deberá constar en acta formal del Consejo de Administración.</w:t>
      </w:r>
    </w:p>
    <w:p>
      <w:pPr>
        <w:pStyle w:val="BodyText"/>
      </w:pPr>
      <w:r>
        <w:rPr>
          <w:b/>
        </w:rPr>
        <w:t xml:space="preserve">V. Derechos de suscripción preferente</w:t>
      </w:r>
    </w:p>
    <w:p>
      <w:pPr>
        <w:pStyle w:val="BodyText"/>
      </w:pPr>
      <w:r>
        <w:t xml:space="preserve">En caso de requerirse aportación extraordinaria para cubrir un pago crítico, la suscripción de acciones Serie</w:t>
      </w:r>
      <w:r>
        <w:t xml:space="preserve"> </w:t>
      </w:r>
      <w:r>
        <w:t xml:space="preserve">“</w:t>
      </w:r>
      <w:r>
        <w:t xml:space="preserve">D</w:t>
      </w:r>
      <w:r>
        <w:t xml:space="preserve">”</w:t>
      </w:r>
      <w:r>
        <w:t xml:space="preserve"> </w:t>
      </w:r>
      <w:r>
        <w:t xml:space="preserve">seguirá el siguiente orden de preferencia:</w:t>
      </w:r>
    </w:p>
    <w:p>
      <w:pPr>
        <w:numPr>
          <w:ilvl w:val="0"/>
          <w:numId w:val="1017"/>
        </w:numPr>
        <w:pStyle w:val="Compact"/>
      </w:pPr>
      <w:r>
        <w:rPr>
          <w:b/>
        </w:rPr>
        <w:t xml:space="preserve">Primer Nivel:</w:t>
      </w:r>
      <w:r>
        <w:t xml:space="preserve"> </w:t>
      </w:r>
      <w:r>
        <w:t xml:space="preserve">Casa Pepe HBR (Socios de Hostal Boutique República de Uruguay);</w:t>
      </w:r>
    </w:p>
    <w:p>
      <w:pPr>
        <w:numPr>
          <w:ilvl w:val="0"/>
          <w:numId w:val="1017"/>
        </w:numPr>
        <w:pStyle w:val="Compact"/>
      </w:pPr>
      <w:r>
        <w:rPr>
          <w:b/>
        </w:rPr>
        <w:t xml:space="preserve">Segundo Nivel:</w:t>
      </w:r>
      <w:r>
        <w:t xml:space="preserve"> </w:t>
      </w:r>
      <w:r>
        <w:t xml:space="preserve">Socios Hoteleros 1 y 2;</w:t>
      </w:r>
    </w:p>
    <w:p>
      <w:pPr>
        <w:numPr>
          <w:ilvl w:val="0"/>
          <w:numId w:val="1017"/>
        </w:numPr>
        <w:pStyle w:val="Compact"/>
      </w:pPr>
      <w:r>
        <w:rPr>
          <w:b/>
        </w:rPr>
        <w:t xml:space="preserve">Tercer Nivel:</w:t>
      </w:r>
      <w:r>
        <w:t xml:space="preserve"> </w:t>
      </w:r>
      <w:r>
        <w:t xml:space="preserve">Capital Bus y</w:t>
      </w:r>
      <w:r>
        <w:t xml:space="preserve"> </w:t>
      </w:r>
      <w:r>
        <w:t xml:space="preserve">@soyelcharromexican</w:t>
      </w:r>
      <w:r>
        <w:t xml:space="preserve">;</w:t>
      </w:r>
    </w:p>
    <w:p>
      <w:pPr>
        <w:numPr>
          <w:ilvl w:val="0"/>
          <w:numId w:val="1017"/>
        </w:numPr>
        <w:pStyle w:val="Compact"/>
      </w:pPr>
      <w:r>
        <w:rPr>
          <w:b/>
        </w:rPr>
        <w:t xml:space="preserve">Cuarto Nivel:</w:t>
      </w:r>
      <w:r>
        <w:t xml:space="preserve"> </w:t>
      </w:r>
      <w:r>
        <w:t xml:space="preserve">Cualquier nuevo socio aprobado por la Asamblea.</w:t>
      </w:r>
    </w:p>
    <w:p>
      <w:pPr>
        <w:pStyle w:val="FirstParagraph"/>
      </w:pPr>
      <w:r>
        <w:t xml:space="preserve">Cada nivel contará con un plazo de cinco (5) días naturales para ejercer su derecho. Si un nivel no suscribe la totalidad del monto requerido, el siguiente nivel podrá hacerlo respecto del saldo pendiente. La suscripción producirá efectos inmediatos y las acciones correspondientes se considerarán emitidas y suscritas.</w:t>
      </w:r>
    </w:p>
    <w:p>
      <w:pPr>
        <w:pStyle w:val="BodyText"/>
      </w:pPr>
      <w:r>
        <w:rPr>
          <w:b/>
        </w:rPr>
        <w:t xml:space="preserve">VI. Naturaleza del ajuste</w:t>
      </w:r>
    </w:p>
    <w:p>
      <w:pPr>
        <w:pStyle w:val="BodyText"/>
      </w:pPr>
      <w:r>
        <w:t xml:space="preserve">Las Partes reconocen que este mecanismo de vesting es:</w:t>
      </w:r>
    </w:p>
    <w:p>
      <w:pPr>
        <w:numPr>
          <w:ilvl w:val="0"/>
          <w:numId w:val="1018"/>
        </w:numPr>
        <w:pStyle w:val="Compact"/>
      </w:pPr>
      <w:r>
        <w:t xml:space="preserve">Condicionado (al cumplimiento de metas comerciales o a la aportación extraordinaria);</w:t>
      </w:r>
    </w:p>
    <w:p>
      <w:pPr>
        <w:numPr>
          <w:ilvl w:val="0"/>
          <w:numId w:val="1018"/>
        </w:numPr>
        <w:pStyle w:val="Compact"/>
      </w:pPr>
      <w:r>
        <w:t xml:space="preserve">Variable;</w:t>
      </w:r>
    </w:p>
    <w:p>
      <w:pPr>
        <w:numPr>
          <w:ilvl w:val="0"/>
          <w:numId w:val="1018"/>
        </w:numPr>
        <w:pStyle w:val="Compact"/>
      </w:pPr>
      <w:r>
        <w:t xml:space="preserve">Y sujeto a reducción automática en función de aportaciones extraordinarias realizadas por otros socios.</w:t>
      </w:r>
    </w:p>
    <w:p>
      <w:pPr>
        <w:pStyle w:val="FirstParagraph"/>
      </w:pPr>
      <w:r>
        <w:t xml:space="preserve">No existirá derecho de reposición, compensación o ajuste a favor de ningún socio por las acciones emitidas a terceros por concepto de pagos críticos.</w:t>
      </w:r>
    </w:p>
    <w:p>
      <w:pPr>
        <w:pStyle w:val="BodyText"/>
      </w:pPr>
      <w:r>
        <w:rPr>
          <w:b/>
        </w:rPr>
        <w:t xml:space="preserve">VII. Exención de Casa Pepe HBR</w:t>
      </w:r>
    </w:p>
    <w:p>
      <w:pPr>
        <w:pStyle w:val="BodyText"/>
      </w:pPr>
      <w:r>
        <w:t xml:space="preserve">Se reconoce expresamente que</w:t>
      </w:r>
      <w:r>
        <w:t xml:space="preserve"> </w:t>
      </w:r>
      <w:r>
        <w:rPr>
          <w:b/>
        </w:rPr>
        <w:t xml:space="preserve">el 51% de Casa Pepe HBR se considera equity directo</w:t>
      </w:r>
      <w:r>
        <w:t xml:space="preserve"> </w:t>
      </w:r>
      <w:r>
        <w:t xml:space="preserve">por su aportación de marca, propiedad intelectual, modelo de negocio, dirección general y operación de la Sociedad,</w:t>
      </w:r>
      <w:r>
        <w:t xml:space="preserve"> </w:t>
      </w:r>
      <w:r>
        <w:rPr>
          <w:b/>
        </w:rPr>
        <w:t xml:space="preserve">quedando exento de los cortes semestrales del vesting comercial</w:t>
      </w:r>
      <w:r>
        <w:t xml:space="preserve"> </w:t>
      </w:r>
      <w:r>
        <w:t xml:space="preserve">aquí regulado.</w:t>
      </w:r>
    </w:p>
    <w:p>
      <w:r>
        <w:pict>
          <v:rect style="width:0;height:1.5pt" o:hralign="center" o:hrstd="t" o:hr="t"/>
        </w:pict>
      </w:r>
    </w:p>
    <w:p>
      <w:pPr>
        <w:pStyle w:val="FirstParagraph"/>
      </w:pPr>
      <w:r>
        <w:rPr>
          <w:b/>
        </w:rPr>
        <w:t xml:space="preserve">CLÁUSULA IV. Cooperación y obligaciones de los Accionistas</w:t>
      </w:r>
    </w:p>
    <w:p>
      <w:pPr>
        <w:pStyle w:val="BodyText"/>
      </w:pPr>
      <w:r>
        <w:t xml:space="preserve">Los Accionistas propiciarán que la Sociedad logre la más alta rentabilidad y desarrollo de negocio que sea posible, operando de tal manera que goce de una gran reputación, buena voluntad y observancia de toda la legislación mexicana aplicable. Para ello, los Accionistas, y quienes ejerzan el Control (término que se define más adelante) de los mismos, en su caso, se obligan a abstenerse de realizar acto alguno que menoscabe, deteriore, inutilice o dañe la imagen de la Sociedad, o de alguna manera lesione derechos o intereses de terceras personas, vinculadas directa o indirectamente con la Sociedad.</w:t>
      </w:r>
    </w:p>
    <w:p>
      <w:pPr>
        <w:pStyle w:val="BodyText"/>
      </w:pPr>
      <w:r>
        <w:t xml:space="preserve">Asimismo, los Accionistas se obligan a informar a la Sociedad en caso de que estén siendo sujetos a cualquier procedimiento judicial o tribunales competentes en materia administrativa, seguido en su contra o en contra de quienes ejerzan el Control en los mismos, en su caso, que pueda derivar en un daño a la imagen y patrimonio de la Sociedad, debiendo mantener informada a la Sociedad del estado procesal del procedimiento; una vez que dicho procedimiento sea cosa juzgada, y lo resuelto implique un daño a la imagen de la Sociedad, esto se considerará un incumplimiento a las obligaciones de los Accionistas.</w:t>
      </w:r>
    </w:p>
    <w:p>
      <w:pPr>
        <w:pStyle w:val="BodyText"/>
      </w:pPr>
      <w:r>
        <w:t xml:space="preserve">En caso de que alguno de los Accionistas, o quienes ejerzan el Control en los mismos, inicie cualquier procedimiento judicial o administrativo en contra de la Sociedad, dicho Accionista tendrá suspendido el derecho a contar con un miembro que lo represente en el Consejo de Administración, hasta en tanto se haya dictado sentencia firme. Una vez resuelto el procedimiento y siendo este cosa juzgada, si la Sociedad es absuelta de lo que le haya intentado imputar la parte actora, esto será interpretado como un daño a la imagen y al patrimonio de la Sociedad, por lo que se tomará como un incumplimiento del Accionista actor.</w:t>
      </w:r>
    </w:p>
    <w:p>
      <w:r>
        <w:pict>
          <v:rect style="width:0;height:1.5pt" o:hralign="center" o:hrstd="t" o:hr="t"/>
        </w:pict>
      </w:r>
    </w:p>
    <w:p>
      <w:pPr>
        <w:pStyle w:val="FirstParagraph"/>
      </w:pPr>
      <w:r>
        <w:rPr>
          <w:b/>
        </w:rPr>
        <w:t xml:space="preserve">CLÁUSULA V. Decisiones Importantes</w:t>
      </w:r>
    </w:p>
    <w:p>
      <w:pPr>
        <w:pStyle w:val="BodyText"/>
      </w:pPr>
      <w:r>
        <w:t xml:space="preserve">No obstante cualquier disposición en contrario contenida en el presente, y sujeto a la autoridad respectiva de la Asamblea General o del Consejo de Administración y los Estatutos de la Sociedad según sea el caso, y en el entendido que el presente Convenio prevalecerá por sobre los anteriores de conformidad con la Legislación Aplicable, las siguientes decisiones (</w:t>
      </w:r>
      <w:r>
        <w:t xml:space="preserve">“</w:t>
      </w:r>
      <w:r>
        <w:t xml:space="preserve">Decisiones Importantes</w:t>
      </w:r>
      <w:r>
        <w:t xml:space="preserve">”</w:t>
      </w:r>
      <w:r>
        <w:t xml:space="preserve">) únicamente podrán ser aprobadas por mayoría simple del Consejo:</w:t>
      </w:r>
    </w:p>
    <w:p>
      <w:pPr>
        <w:numPr>
          <w:ilvl w:val="0"/>
          <w:numId w:val="1019"/>
        </w:numPr>
      </w:pPr>
      <w:r>
        <w:t xml:space="preserve">La adquisición, venta o renta de inmuebles por parte de la Sociedad relacionados con la</w:t>
      </w:r>
      <w:r>
        <w:t xml:space="preserve"> </w:t>
      </w:r>
      <w:r>
        <w:rPr>
          <w:b/>
        </w:rPr>
        <w:t xml:space="preserve">apertura de nuevas plazas fuera de la Ciudad de México o la firma de nuevos hoteles socios en la red</w:t>
      </w:r>
      <w:r>
        <w:t xml:space="preserve">, o la cancelación, terminación anticipada o no renovación de contratos relevantes para la operación existente.</w:t>
      </w:r>
    </w:p>
    <w:p>
      <w:pPr>
        <w:numPr>
          <w:ilvl w:val="0"/>
          <w:numId w:val="1019"/>
        </w:numPr>
      </w:pPr>
      <w:r>
        <w:t xml:space="preserve">La celebración de acuerdos de financiamiento que impliquen Deuda con costo para la Sociedad, cuando el monto individual o acumulado del endeudamiento sea superior a</w:t>
      </w:r>
      <w:r>
        <w:t xml:space="preserve"> </w:t>
      </w:r>
      <w:r>
        <w:rPr>
          <w:b/>
        </w:rPr>
        <w:t xml:space="preserve">MXP $1,000,000.00 (un millón de Pesos 00/100 M.N.)</w:t>
      </w:r>
      <w:r>
        <w:t xml:space="preserve">.</w:t>
      </w:r>
    </w:p>
    <w:p>
      <w:pPr>
        <w:numPr>
          <w:ilvl w:val="0"/>
          <w:numId w:val="1019"/>
        </w:numPr>
      </w:pPr>
      <w:r>
        <w:t xml:space="preserve">Cualquier aumento de capital en la Sociedad, o la emisión de valores convertibles en acciones de la Sociedad. La supresión del derecho de suscripción preferente en los aumentos de capital de la Sociedad o de cualquiera de sus Subsidiarias.</w:t>
      </w:r>
    </w:p>
    <w:p>
      <w:pPr>
        <w:numPr>
          <w:ilvl w:val="0"/>
          <w:numId w:val="1019"/>
        </w:numPr>
      </w:pPr>
      <w:r>
        <w:t xml:space="preserve">Reducciones del capital social, amortizaciones y/o recompras de acciones y/o de instrumentos equivalentes a acciones.</w:t>
      </w:r>
    </w:p>
    <w:p>
      <w:pPr>
        <w:numPr>
          <w:ilvl w:val="0"/>
          <w:numId w:val="1019"/>
        </w:numPr>
      </w:pPr>
      <w:r>
        <w:t xml:space="preserve">La adquisición, enajenación o amortización de acciones propias.</w:t>
      </w:r>
    </w:p>
    <w:p>
      <w:pPr>
        <w:numPr>
          <w:ilvl w:val="0"/>
          <w:numId w:val="1019"/>
        </w:numPr>
      </w:pPr>
      <w:r>
        <w:t xml:space="preserve">La creación de distintas clases de acciones.</w:t>
      </w:r>
    </w:p>
    <w:p>
      <w:pPr>
        <w:numPr>
          <w:ilvl w:val="0"/>
          <w:numId w:val="1019"/>
        </w:numPr>
      </w:pPr>
      <w:r>
        <w:t xml:space="preserve">La adquisición, licencia, cesión, transferencia o enajenación de cualquier derecho de propiedad intelectual o industrial de la Sociedad, incluyendo marcas, nombres comerciales, software, contenidos editoriales, guiones de tours, base de datos de ideas y guiones u otros activos intangibles relevantes.</w:t>
      </w:r>
    </w:p>
    <w:p>
      <w:pPr>
        <w:numPr>
          <w:ilvl w:val="0"/>
          <w:numId w:val="1019"/>
        </w:numPr>
      </w:pPr>
      <w:r>
        <w:t xml:space="preserve">La venta o transferencia, por cualquier forma, del cinco por ciento (5%) o más de los activos intangibles de la Sociedad.</w:t>
      </w:r>
    </w:p>
    <w:p>
      <w:pPr>
        <w:numPr>
          <w:ilvl w:val="0"/>
          <w:numId w:val="1019"/>
        </w:numPr>
      </w:pPr>
      <w:r>
        <w:rPr>
          <w:b/>
        </w:rPr>
        <w:t xml:space="preserve">La firma de contratos maestros de touroperación con marcas terceras cuyo valor anual sea superior a MXP $500,000.00 (quinientos mil Pesos 00/100 M.N.).</w:t>
      </w:r>
    </w:p>
    <w:p>
      <w:pPr>
        <w:pStyle w:val="FirstParagraph"/>
      </w:pPr>
      <w:r>
        <w:t xml:space="preserve">Cualquier otra decisión que no esté dentro de las anteriores no requerirá de aprobación del Consejo y podrá ser ejecutada por la dirección de la empresa sin necesidad de consulta o aprobación del Consejo.</w:t>
      </w:r>
    </w:p>
    <w:p>
      <w:r>
        <w:pict>
          <v:rect style="width:0;height:1.5pt" o:hralign="center" o:hrstd="t" o:hr="t"/>
        </w:pict>
      </w:r>
    </w:p>
    <w:p>
      <w:pPr>
        <w:pStyle w:val="FirstParagraph"/>
      </w:pPr>
      <w:r>
        <w:rPr>
          <w:b/>
        </w:rPr>
        <w:t xml:space="preserve">CLÁUSULA VI. Transmisiones</w:t>
      </w:r>
    </w:p>
    <w:p>
      <w:pPr>
        <w:pStyle w:val="BodyText"/>
      </w:pPr>
      <w:r>
        <w:t xml:space="preserve">Cada Accionista conviene que no llevará a cabo, intentará llevar a cabo, o permitirá la transmisión de sus acciones en el capital social, de las cuales es o llegue a ser propietario, salvo que dicha transmisión se haga de conformidad con los términos y condiciones del presente Convenio y los Estatutos Sociales. Asimismo, cualquier transmisión que se intente llevar a cabo, y no cumpla con lo establecido en el presente Convenio y en los Estatutos Sociales, se considerará nula y sin efecto legal alguno.</w:t>
      </w:r>
    </w:p>
    <w:p>
      <w:pPr>
        <w:pStyle w:val="BodyText"/>
      </w:pPr>
      <w:r>
        <w:t xml:space="preserve">A la luz de lo establecido en este Convenio y los Estatutos Sociales, toda transmisión de acciones se sujetará a lo siguiente:</w:t>
      </w:r>
    </w:p>
    <w:p>
      <w:pPr>
        <w:pStyle w:val="BodyText"/>
      </w:pPr>
      <w:r>
        <w:t xml:space="preserve">Los Accionistas, conjunta o separadamente, en una o más operaciones, no podrán vender, transmitir, ceder, afectar en fideicomiso o de cualquier otra forma enajenar, total o parcialmente, acciones representativas del capital social de que sean titulares o derechos sobre las mismas, salvo: (i) transmisiones a parientes por consanguinidad o afinidad hasta el tercer grado, o al cónyuge del accionista; (ii) transmisiones a sociedades en las cuales el accionista enajenante tenga más del cincuenta y un por ciento (51%) del capital social y control sobre dicha sociedad adquirente; y (iii) cuando se cumpla con el procedimiento de preferencia contenido en este Convenio.</w:t>
      </w:r>
    </w:p>
    <w:p>
      <w:pPr>
        <w:pStyle w:val="BodyText"/>
      </w:pPr>
      <w:r>
        <w:t xml:space="preserve">Si un Accionista tuviera la intención de enajenar las acciones de su propiedad o de cualquier otra forma transmitir sus derechos respecto de las mismas, en un solo acto o en una serie de actos relacionados, dicho Accionista vendedor deberá respetar el procedimiento de preferencia contenido en este Convenio.</w:t>
      </w:r>
    </w:p>
    <w:p>
      <w:pPr>
        <w:pStyle w:val="BodyText"/>
      </w:pPr>
      <w:r>
        <w:t xml:space="preserve">En caso de que los Accionistas pretendan transmitir parte o la totalidad de sus acciones a un tercero, podrán hacerlo sujeto al cumplimiento del procedimiento establecido a continuación:</w:t>
      </w:r>
    </w:p>
    <w:p>
      <w:pPr>
        <w:numPr>
          <w:ilvl w:val="0"/>
          <w:numId w:val="1020"/>
        </w:numPr>
      </w:pPr>
      <w:r>
        <w:t xml:space="preserve">El oferente deberá entregar a los otros accionistas (los</w:t>
      </w:r>
      <w:r>
        <w:t xml:space="preserve"> </w:t>
      </w:r>
      <w:r>
        <w:t xml:space="preserve">“</w:t>
      </w:r>
      <w:r>
        <w:t xml:space="preserve">Otros Accionistas</w:t>
      </w:r>
      <w:r>
        <w:t xml:space="preserve">”</w:t>
      </w:r>
      <w:r>
        <w:t xml:space="preserve">) una notificación por escrito (la</w:t>
      </w:r>
      <w:r>
        <w:t xml:space="preserve"> </w:t>
      </w:r>
      <w:r>
        <w:t xml:space="preserve">“</w:t>
      </w:r>
      <w:r>
        <w:t xml:space="preserve">Notificación de Preferencia</w:t>
      </w:r>
      <w:r>
        <w:t xml:space="preserve">”</w:t>
      </w:r>
      <w:r>
        <w:t xml:space="preserve">) la cual deberá indicar (i) el número y serie de acciones que pretende transmitir (las</w:t>
      </w:r>
      <w:r>
        <w:t xml:space="preserve"> </w:t>
      </w:r>
      <w:r>
        <w:t xml:space="preserve">“</w:t>
      </w:r>
      <w:r>
        <w:t xml:space="preserve">Acciones de Venta Preferente</w:t>
      </w:r>
      <w:r>
        <w:t xml:space="preserve">”</w:t>
      </w:r>
      <w:r>
        <w:t xml:space="preserve">); (ii) el nombre y domicilio del posible adquirente; (iii) el precio y forma de pago de la contraprestación propuesta por el posible adquirente; (iv) la fecha propuesta para llevar a cabo la transmisión; y (v) la oferta irrevocable a los Otros Accionistas de vender la totalidad de las Acciones de Venta Preferente conforme a los términos indicados.</w:t>
      </w:r>
    </w:p>
    <w:p>
      <w:pPr>
        <w:numPr>
          <w:ilvl w:val="0"/>
          <w:numId w:val="1020"/>
        </w:numPr>
      </w:pPr>
      <w:r>
        <w:t xml:space="preserve">Los Otros Accionistas podrán ejercer el Derecho de Preferencia en cualquier momento, dentro de los quince (15) días de calendario siguientes a la recepción de la Notificación de Preferencia (el</w:t>
      </w:r>
      <w:r>
        <w:t xml:space="preserve"> </w:t>
      </w:r>
      <w:r>
        <w:t xml:space="preserve">“</w:t>
      </w:r>
      <w:r>
        <w:t xml:space="preserve">Periodo de Aceptación del Derecho de Preferencia</w:t>
      </w:r>
      <w:r>
        <w:t xml:space="preserve">”</w:t>
      </w:r>
      <w:r>
        <w:t xml:space="preserve">), sobre las Acciones de Venta Preferente al precio de compra y conforme a los términos y condiciones establecidos en la Notificación de Preferencia, mediante la entrega de una notificación por escrito al Oferente (la</w:t>
      </w:r>
      <w:r>
        <w:t xml:space="preserve"> </w:t>
      </w:r>
      <w:r>
        <w:t xml:space="preserve">“</w:t>
      </w:r>
      <w:r>
        <w:t xml:space="preserve">Notificación de Aceptación</w:t>
      </w:r>
      <w:r>
        <w:t xml:space="preserve">”</w:t>
      </w:r>
      <w:r>
        <w:t xml:space="preserve">), dentro del Periodo de Aceptación del Derecho de Preferencia.</w:t>
      </w:r>
    </w:p>
    <w:p>
      <w:pPr>
        <w:numPr>
          <w:ilvl w:val="0"/>
          <w:numId w:val="1020"/>
        </w:numPr>
      </w:pPr>
      <w:r>
        <w:t xml:space="preserve">En caso de que el oferente no reciba la Notificación de Aceptación dentro del Periodo de Aceptación del Derecho de Preferencia de conformidad con lo establecido en el párrafo (b) anterior respecto de las Acciones de Venta Preferente ofrecidas de conformidad con la Notificación de Preferencia, entonces el oferente podrá transmitir al posible adquirente las Acciones de Venta Preferente ofrecidas a un precio no menor al precio y en los términos y sujeto a las condiciones no más favorables a los términos y condiciones establecidos en la Notificación de Preferencia, en cualquier momento posterior.</w:t>
      </w:r>
    </w:p>
    <w:p>
      <w:pPr>
        <w:numPr>
          <w:ilvl w:val="0"/>
          <w:numId w:val="1020"/>
        </w:numPr>
      </w:pPr>
      <w:r>
        <w:t xml:space="preserve">La falta de entrega de la Notificación de Aceptación dentro del Periodo de Aceptación del Derecho de Preferencia será considerada como una renuncia al Derecho de Preferencia.</w:t>
      </w:r>
    </w:p>
    <w:p>
      <w:pPr>
        <w:numPr>
          <w:ilvl w:val="0"/>
          <w:numId w:val="1020"/>
        </w:numPr>
      </w:pPr>
      <w:r>
        <w:t xml:space="preserve">El Derecho de Preferencia no aplicará a (i) Transmisiones Permitidas; (ii) cualquier Transmisión de acciones en oferta pública; y (iii) Transmisiones de Acciones derivadas del ejercicio del Derecho de Venta Forzosa en términos del inciso siguiente.</w:t>
      </w:r>
    </w:p>
    <w:p>
      <w:pPr>
        <w:pStyle w:val="FirstParagraph"/>
      </w:pPr>
      <w:r>
        <w:rPr>
          <w:b/>
        </w:rPr>
        <w:t xml:space="preserve">Derecho de Venta Conjunta (Tag-along)</w:t>
      </w:r>
    </w:p>
    <w:p>
      <w:pPr>
        <w:pStyle w:val="BodyText"/>
      </w:pPr>
      <w:r>
        <w:t xml:space="preserve">Si un Accionista o conjunto de Accionistas pretende(n) llevar a cabo una venta de la totalidad o parte de sus acciones a cualquier tercero y las acciones a ser enajenadas corresponden a un Accionista o conjunto de Accionistas que ejerza(n) el Control (según se define más adelante) y como resultado de dicha operación dicho(s) accionista(s) perdería(n) el Control de la Sociedad, la transmisión de acciones deberá realizarse respetando el derecho de venta conjunta.</w:t>
      </w:r>
    </w:p>
    <w:p>
      <w:pPr>
        <w:pStyle w:val="BodyText"/>
      </w:pPr>
      <w:r>
        <w:rPr>
          <w:b/>
        </w:rPr>
        <w:t xml:space="preserve">Derecho de Venta Forzosa (Drag-along)</w:t>
      </w:r>
    </w:p>
    <w:p>
      <w:pPr>
        <w:pStyle w:val="BodyText"/>
      </w:pPr>
      <w:r>
        <w:t xml:space="preserve">Si alguno de los accionistas que recibe una oferta de compra de buena fe por parte de un tercero,</w:t>
      </w:r>
      <w:r>
        <w:t xml:space="preserve"> </w:t>
      </w:r>
      <w:r>
        <w:rPr>
          <w:b/>
        </w:rPr>
        <w:t xml:space="preserve">a partir del mes 36 (treinta y seis) posterior a la firma del presente convenio</w:t>
      </w:r>
      <w:r>
        <w:t xml:space="preserve">, que implique un rendimiento anual de por lo menos</w:t>
      </w:r>
      <w:r>
        <w:t xml:space="preserve"> </w:t>
      </w:r>
      <w:r>
        <w:rPr>
          <w:b/>
        </w:rPr>
        <w:t xml:space="preserve">25% (veinticinco por ciento)</w:t>
      </w:r>
      <w:r>
        <w:t xml:space="preserve"> </w:t>
      </w:r>
      <w:r>
        <w:t xml:space="preserve">sobre la valuación pre-money de</w:t>
      </w:r>
      <w:r>
        <w:t xml:space="preserve"> </w:t>
      </w:r>
      <w:r>
        <w:rPr>
          <w:b/>
        </w:rPr>
        <w:t xml:space="preserve">$5,000,000.00 (cinco millones de pesos 00/100 M.N.)</w:t>
      </w:r>
      <w:r>
        <w:t xml:space="preserve"> </w:t>
      </w:r>
      <w:r>
        <w:t xml:space="preserve">revalorizada por el múltiplo EBITDA vigente en la fecha de la oferta, respecto de la totalidad de las acciones de la Sociedad, dicho Accionista podrá obligar a los demás accionistas a vender no menos que la totalidad de sus respectivas acciones bajo los mismos términos y condiciones.</w:t>
      </w:r>
    </w:p>
    <w:p>
      <w:pPr>
        <w:pStyle w:val="BodyText"/>
      </w:pPr>
      <w:r>
        <w:t xml:space="preserve">En caso de una transmisión de acciones derivada de: (i) fallecimiento de alguno de los Accionistas, en caso de que estos sean personas físicas, o (ii) Cambio de Control o Liquidación de los Accionistas, se estará a lo establecido en la Cláusula VII de este Convenio; y toda transmisión de acciones que sea derivada de la imposibilidad de acuerdo entre los Accionistas, se estará a lo establecido en las Cláusulas 12 y 13 de este Convenio; y toda transmisión de acciones derivada de algún incumplimiento por parte del Accionista vendedor que dé lugar a la rescisión (en lo relativo a dicho Accionista) de este Convenio, se realizará de acuerdo con lo establecido en la Cláusula 18 de este Convenio.</w:t>
      </w:r>
    </w:p>
    <w:p>
      <w:pPr>
        <w:pStyle w:val="BodyText"/>
      </w:pPr>
      <w:r>
        <w:t xml:space="preserve">El presente Convenio será obligatorio, y deberá redundar en beneficio de los albaceas, administradores, representantes legales, herederos, sucesores y cesionarios autorizados de cada uno de los Accionistas.</w:t>
      </w:r>
    </w:p>
    <w:p>
      <w:r>
        <w:pict>
          <v:rect style="width:0;height:1.5pt" o:hralign="center" o:hrstd="t" o:hr="t"/>
        </w:pict>
      </w:r>
    </w:p>
    <w:p>
      <w:pPr>
        <w:pStyle w:val="FirstParagraph"/>
      </w:pPr>
      <w:r>
        <w:rPr>
          <w:b/>
        </w:rPr>
        <w:t xml:space="preserve">Cláusula VII. Fallecimiento, Cambio de Control o Liquidación de algún Accionista</w:t>
      </w:r>
    </w:p>
    <w:p>
      <w:pPr>
        <w:pStyle w:val="BodyText"/>
      </w:pPr>
      <w:r>
        <w:t xml:space="preserve">En caso de (i) fallecimiento de un Accionista persona física, o (ii) Cambio de Control o Liquidación de un Accionista persona moral, la Sociedad continuará con los demás Accionistas, conforme a las siguientes reglas:</w:t>
      </w:r>
    </w:p>
    <w:p>
      <w:pPr>
        <w:pStyle w:val="BodyText"/>
      </w:pPr>
      <w:r>
        <w:rPr>
          <w:b/>
        </w:rPr>
        <w:t xml:space="preserve">1. Fallecimiento de un Accionista persona física</w:t>
      </w:r>
    </w:p>
    <w:p>
      <w:pPr>
        <w:pStyle w:val="BodyText"/>
      </w:pPr>
      <w:r>
        <w:t xml:space="preserve">La Asamblea de Accionistas decidirá si los herederos del Accionista fallecido podrán incorporarse como Accionistas, siempre que:</w:t>
      </w:r>
    </w:p>
    <w:p>
      <w:pPr>
        <w:numPr>
          <w:ilvl w:val="0"/>
          <w:numId w:val="1021"/>
        </w:numPr>
        <w:pStyle w:val="Compact"/>
      </w:pPr>
      <w:r>
        <w:t xml:space="preserve">Lo soliciten por escrito;</w:t>
      </w:r>
    </w:p>
    <w:p>
      <w:pPr>
        <w:numPr>
          <w:ilvl w:val="0"/>
          <w:numId w:val="1021"/>
        </w:numPr>
        <w:pStyle w:val="Compact"/>
      </w:pPr>
      <w:r>
        <w:t xml:space="preserve">Tengan actividad profesional afín al objeto de la Sociedad, a juicio del Consejo; y</w:t>
      </w:r>
    </w:p>
    <w:p>
      <w:pPr>
        <w:numPr>
          <w:ilvl w:val="0"/>
          <w:numId w:val="1021"/>
        </w:numPr>
        <w:pStyle w:val="Compact"/>
      </w:pPr>
      <w:r>
        <w:t xml:space="preserve">Hayan participado como miembros del Consejo de Administración por al menos un (1) año.</w:t>
      </w:r>
    </w:p>
    <w:p>
      <w:pPr>
        <w:pStyle w:val="FirstParagraph"/>
      </w:pPr>
      <w:r>
        <w:t xml:space="preserve">Si los herederos no desean incorporarse o no cumplen los requisitos, tendrán un plazo de un (1) año para encontrar un tercero interesado en adquirir las acciones, respetando el derecho de preferencia de los demás Accionistas.</w:t>
      </w:r>
    </w:p>
    <w:p>
      <w:pPr>
        <w:pStyle w:val="BodyText"/>
      </w:pPr>
      <w:r>
        <w:t xml:space="preserve">Si en ese plazo no se encuentra comprador, la Sociedad podrá:</w:t>
      </w:r>
    </w:p>
    <w:p>
      <w:pPr>
        <w:numPr>
          <w:ilvl w:val="0"/>
          <w:numId w:val="1022"/>
        </w:numPr>
        <w:pStyle w:val="Compact"/>
      </w:pPr>
      <w:r>
        <w:t xml:space="preserve">Recomprar o amortizar las acciones, o</w:t>
      </w:r>
    </w:p>
    <w:p>
      <w:pPr>
        <w:numPr>
          <w:ilvl w:val="0"/>
          <w:numId w:val="1022"/>
        </w:numPr>
        <w:pStyle w:val="Compact"/>
      </w:pPr>
      <w:r>
        <w:t xml:space="preserve">Permitir que los demás Accionistas las adquieran proporcionalmente a su participación,</w:t>
      </w:r>
    </w:p>
    <w:p>
      <w:pPr>
        <w:pStyle w:val="FirstParagraph"/>
      </w:pPr>
      <w:r>
        <w:t xml:space="preserve">todo ello conforme al Precio de Salida por Falta de Acuerdo y dentro de los 120 días naturales siguientes a la resolución de la Asamblea.</w:t>
      </w:r>
    </w:p>
    <w:p>
      <w:pPr>
        <w:pStyle w:val="BodyText"/>
      </w:pPr>
      <w:r>
        <w:t xml:space="preserve">Si ni la Sociedad ni los demás Accionistas ejercen su derecho de adquisición, los herederos podrán vender a terceros, conforme a los Estatutos y al presente Convenio.</w:t>
      </w:r>
    </w:p>
    <w:p>
      <w:pPr>
        <w:pStyle w:val="BodyText"/>
      </w:pPr>
      <w:r>
        <w:rPr>
          <w:b/>
        </w:rPr>
        <w:t xml:space="preserve">2. Cambio de Control de un Accionista persona moral</w:t>
      </w:r>
    </w:p>
    <w:p>
      <w:pPr>
        <w:pStyle w:val="BodyText"/>
      </w:pPr>
      <w:r>
        <w:t xml:space="preserve">Si ocurre un Cambio de Control en un Accionista persona moral, la Asamblea decidirá si dicho Accionista podrá permanecer en la Sociedad, siempre que:</w:t>
      </w:r>
    </w:p>
    <w:p>
      <w:pPr>
        <w:numPr>
          <w:ilvl w:val="0"/>
          <w:numId w:val="1023"/>
        </w:numPr>
        <w:pStyle w:val="Compact"/>
      </w:pPr>
      <w:r>
        <w:t xml:space="preserve">Manifieste por escrito su intención de continuar; y</w:t>
      </w:r>
    </w:p>
    <w:p>
      <w:pPr>
        <w:numPr>
          <w:ilvl w:val="0"/>
          <w:numId w:val="1023"/>
        </w:numPr>
        <w:pStyle w:val="Compact"/>
      </w:pPr>
      <w:r>
        <w:t xml:space="preserve">No modifique sustancialmente su objeto social.</w:t>
      </w:r>
    </w:p>
    <w:p>
      <w:pPr>
        <w:pStyle w:val="FirstParagraph"/>
      </w:pPr>
      <w:r>
        <w:t xml:space="preserve">Si no desea permanecer o no cumple estos requisitos, tendrá un plazo de un (1) año para encontrar un comprador, respetando el derecho de preferencia de los demás Accionistas.</w:t>
      </w:r>
    </w:p>
    <w:p>
      <w:pPr>
        <w:pStyle w:val="BodyText"/>
      </w:pPr>
      <w:r>
        <w:t xml:space="preserve">Si no se encuentra comprador, la Sociedad o los demás Accionistas podrán adquirir las acciones conforme al Precio de Salida por Falta de Acuerdo y dentro de los 120 días naturales siguientes.</w:t>
      </w:r>
    </w:p>
    <w:p>
      <w:pPr>
        <w:pStyle w:val="BodyText"/>
      </w:pPr>
      <w:r>
        <w:t xml:space="preserve">Si nadie ejerce ese derecho, podrá venderlas a terceros conforme a los Estatutos y este Convenio.</w:t>
      </w:r>
    </w:p>
    <w:p>
      <w:pPr>
        <w:pStyle w:val="BodyText"/>
      </w:pPr>
      <w:r>
        <w:rPr>
          <w:b/>
        </w:rPr>
        <w:t xml:space="preserve">3. Liquidación de un Accionista persona moral</w:t>
      </w:r>
    </w:p>
    <w:p>
      <w:pPr>
        <w:pStyle w:val="BodyText"/>
      </w:pPr>
      <w:r>
        <w:t xml:space="preserve">En caso de liquidación de un Accionista persona moral, la Sociedad o los demás Accionistas podrán adquirir sus acciones conforme al Precio de Salida por Falta de Acuerdo, dentro de los 120 días naturales siguientes.</w:t>
      </w:r>
    </w:p>
    <w:p>
      <w:pPr>
        <w:pStyle w:val="BodyText"/>
      </w:pPr>
      <w:r>
        <w:t xml:space="preserve">Si no ejercen dicho derecho, el Accionista en liquidación podrá vender sus acciones a terceros, conforme a los Estatutos y al presente Convenio.</w:t>
      </w:r>
    </w:p>
    <w:p>
      <w:pPr>
        <w:pStyle w:val="BodyText"/>
      </w:pPr>
      <w:r>
        <w:t xml:space="preserve">Para efectos de lo anterior,</w:t>
      </w:r>
      <w:r>
        <w:t xml:space="preserve"> </w:t>
      </w:r>
      <w:r>
        <w:rPr>
          <w:b/>
        </w:rPr>
        <w:t xml:space="preserve">Control</w:t>
      </w:r>
      <w:r>
        <w:t xml:space="preserve"> </w:t>
      </w:r>
      <w:r>
        <w:t xml:space="preserve">se entenderá la capacidad de una persona, o grupo de personas, de llevar a cabo cualquiera de los actos siguientes:</w:t>
      </w:r>
    </w:p>
    <w:p>
      <w:pPr>
        <w:numPr>
          <w:ilvl w:val="0"/>
          <w:numId w:val="1024"/>
        </w:numPr>
      </w:pPr>
      <w:r>
        <w:t xml:space="preserve">Imponer, directa o indirectamente, decisiones en las asambleas generales de accionistas o en la administración del Accionista que sea persona moral; o nombrar o destituir al administrador único o, en su caso, a la mayoría de los consejeros de una persona moral;</w:t>
      </w:r>
    </w:p>
    <w:p>
      <w:pPr>
        <w:numPr>
          <w:ilvl w:val="0"/>
          <w:numId w:val="1024"/>
        </w:numPr>
      </w:pPr>
      <w:r>
        <w:t xml:space="preserve">Mantener la titularidad de derechos que permitan, directa o indirectamente, ejercer el voto respecto de más del 50% (cincuenta por ciento) del capital social de una persona moral;</w:t>
      </w:r>
    </w:p>
    <w:p>
      <w:pPr>
        <w:numPr>
          <w:ilvl w:val="0"/>
          <w:numId w:val="1024"/>
        </w:numPr>
      </w:pPr>
      <w:r>
        <w:t xml:space="preserve">Dirigir, directa o indirectamente, la administración, la estrategia o las principales políticas de una persona moral, ya sea a través de la propiedad de valores, por contrato o de cualquier otra forma.</w:t>
      </w:r>
    </w:p>
    <w:p>
      <w:pPr>
        <w:pStyle w:val="FirstParagraph"/>
      </w:pPr>
      <w:r>
        <w:t xml:space="preserve">Por</w:t>
      </w:r>
      <w:r>
        <w:t xml:space="preserve"> </w:t>
      </w:r>
      <w:r>
        <w:rPr>
          <w:b/>
        </w:rPr>
        <w:t xml:space="preserve">“</w:t>
      </w:r>
      <w:r>
        <w:rPr>
          <w:b/>
        </w:rPr>
        <w:t xml:space="preserve">Cambio de Control</w:t>
      </w:r>
      <w:r>
        <w:rPr>
          <w:b/>
        </w:rPr>
        <w:t xml:space="preserve">”</w:t>
      </w:r>
      <w:r>
        <w:t xml:space="preserve"> </w:t>
      </w:r>
      <w:r>
        <w:t xml:space="preserve">se entenderá el hecho de que los Accionistas que sean personas morales pierdan el Control que en el gobierno corporativo de su entidad tenían a la fecha de firma de este instrumento.</w:t>
      </w:r>
    </w:p>
    <w:p>
      <w:r>
        <w:pict>
          <v:rect style="width:0;height:1.5pt" o:hralign="center" o:hrstd="t" o:hr="t"/>
        </w:pict>
      </w:r>
    </w:p>
    <w:p>
      <w:pPr>
        <w:pStyle w:val="FirstParagraph"/>
      </w:pPr>
      <w:r>
        <w:rPr>
          <w:b/>
        </w:rPr>
        <w:t xml:space="preserve">Cláusula VIII. Aportaciones en especie</w:t>
      </w:r>
    </w:p>
    <w:p>
      <w:pPr>
        <w:pStyle w:val="BodyText"/>
      </w:pPr>
      <w:r>
        <w:t xml:space="preserve">Se reconoce expresamente que la aportación del socio</w:t>
      </w:r>
      <w:r>
        <w:t xml:space="preserve"> </w:t>
      </w:r>
      <w:r>
        <w:rPr>
          <w:b/>
        </w:rPr>
        <w:t xml:space="preserve">@soyelcharromexican</w:t>
      </w:r>
      <w:r>
        <w:t xml:space="preserve"> </w:t>
      </w:r>
      <w:r>
        <w:t xml:space="preserve">correspondiente al 3% del capital social se realiza</w:t>
      </w:r>
      <w:r>
        <w:t xml:space="preserve"> </w:t>
      </w:r>
      <w:r>
        <w:rPr>
          <w:b/>
        </w:rPr>
        <w:t xml:space="preserve">en especie</w:t>
      </w:r>
      <w:r>
        <w:t xml:space="preserve">, consistente en su capacidad de difusión, vocería y contenido en favor de la Sociedad durante un plazo de veinticuatro (24) meses contados a partir de la firma del presente Pacto.</w:t>
      </w:r>
    </w:p>
    <w:p>
      <w:pPr>
        <w:pStyle w:val="BodyText"/>
      </w:pPr>
      <w:r>
        <w:t xml:space="preserve">En caso de que dicho socio deje de cumplir con su compromiso operativo por causas imputables a él antes de completar el plazo referido, sus acciones se recomprarán a valor nominal (no a valor de mercado) y el porcentaje correspondiente volverá a Tesorería para futura reasignación por el Consejo.</w:t>
      </w:r>
    </w:p>
    <w:p>
      <w:r>
        <w:pict>
          <v:rect style="width:0;height:1.5pt" o:hralign="center" o:hrstd="t" o:hr="t"/>
        </w:pict>
      </w:r>
    </w:p>
    <w:p>
      <w:pPr>
        <w:pStyle w:val="FirstParagraph"/>
      </w:pPr>
      <w:r>
        <w:rPr>
          <w:b/>
        </w:rPr>
        <w:t xml:space="preserve">Cláusula IX. No competencia de socios hoteleros</w:t>
      </w:r>
    </w:p>
    <w:p>
      <w:pPr>
        <w:pStyle w:val="BodyText"/>
      </w:pPr>
      <w:r>
        <w:t xml:space="preserve">Los socios hoteleros (Socio Hotelero 1, Socio Hotelero 2 y cualquier futuro socio hotelero que se incorpore) se obligan expresamente a</w:t>
      </w:r>
      <w:r>
        <w:t xml:space="preserve"> </w:t>
      </w:r>
      <w:r>
        <w:rPr>
          <w:b/>
        </w:rPr>
        <w:t xml:space="preserve">no distribuir tours, shows, talleres, experiencias culturales o servicios de touroperación de cualquier operadora competidora dentro de la Ciudad de México</w:t>
      </w:r>
      <w:r>
        <w:t xml:space="preserve"> </w:t>
      </w:r>
      <w:r>
        <w:t xml:space="preserve">durante toda la vigencia del presente Pacto, y por un plazo adicional de doce (12) meses posteriores a su eventual salida como accionistas de la Sociedad.</w:t>
      </w:r>
    </w:p>
    <w:p>
      <w:pPr>
        <w:pStyle w:val="BodyText"/>
      </w:pPr>
      <w:r>
        <w:t xml:space="preserve">El incumplimiento de esta obligación se considerará causa grave que faculta al Consejo a iniciar el procedimiento de rescisión en cuanto al Accionista incumplido, con la consiguiente recompra de sus acciones al Precio de Salida por Falta de Acuerdo.</w:t>
      </w:r>
    </w:p>
    <w:p>
      <w:r>
        <w:pict>
          <v:rect style="width:0;height:1.5pt" o:hralign="center" o:hrstd="t" o:hr="t"/>
        </w:pict>
      </w:r>
    </w:p>
    <w:p>
      <w:pPr>
        <w:pStyle w:val="FirstParagraph"/>
      </w:pPr>
      <w:r>
        <w:rPr>
          <w:b/>
        </w:rPr>
        <w:t xml:space="preserve">Cláusula X. Salida del Fundador (Javier Puente García)</w:t>
      </w:r>
    </w:p>
    <w:p>
      <w:pPr>
        <w:pStyle w:val="BodyText"/>
      </w:pPr>
      <w:r>
        <w:t xml:space="preserve">En caso de que Javier Puente García deje la dirección operativa de la Sociedad por causas ajenas a su voluntad (fallecimiento, incapacidad permanente u otra similar), Casa Pepe HBR conservará el 51% del capital social pero</w:t>
      </w:r>
      <w:r>
        <w:t xml:space="preserve"> </w:t>
      </w:r>
      <w:r>
        <w:rPr>
          <w:b/>
        </w:rPr>
        <w:t xml:space="preserve">perderá el derecho a la Presidencia permanente del Consejo</w:t>
      </w:r>
      <w:r>
        <w:t xml:space="preserve">.</w:t>
      </w:r>
    </w:p>
    <w:p>
      <w:pPr>
        <w:pStyle w:val="BodyText"/>
      </w:pPr>
      <w:r>
        <w:t xml:space="preserve">En tal caso, el Consejo abrirá un proceso de designación de un nuevo Director General (CEO) externo, por mayoría simple del Consejo, con un plazo máximo de sesenta (60) días naturales para la designación. El Presidente del Consejo se designará también por mayoría simple.</w:t>
      </w:r>
    </w:p>
    <w:p>
      <w:r>
        <w:pict>
          <v:rect style="width:0;height:1.5pt" o:hralign="center" o:hrstd="t" o:hr="t"/>
        </w:pict>
      </w:r>
    </w:p>
    <w:p>
      <w:pPr>
        <w:pStyle w:val="FirstParagraph"/>
      </w:pPr>
      <w:r>
        <w:rPr>
          <w:b/>
        </w:rPr>
        <w:t xml:space="preserve">Cláusula 12. Imposibilidad de Acuerdo</w:t>
      </w:r>
    </w:p>
    <w:p>
      <w:pPr>
        <w:pStyle w:val="BodyText"/>
      </w:pPr>
      <w:r>
        <w:t xml:space="preserve">En caso de que los accionistas de la Sociedad, o los miembros del Consejo de Administración, se encuentren en una situación de imposibilidad de llegar a un acuerdo respecto de los asuntos de Asamblea de Accionistas, o de los asuntos del Consejo de Administración, cualquiera de los Accionistas podrá solicitar mediante aviso por escrito a los otros Accionistas, que un representante legal de cada Accionista se reúna en las oficinas de la Sociedad, en la fecha especificada en el aviso. Lo anterior, a efecto de que dichos representantes legales resuelvan la falta de acuerdo.</w:t>
      </w:r>
    </w:p>
    <w:p>
      <w:pPr>
        <w:pStyle w:val="BodyText"/>
      </w:pPr>
      <w:r>
        <w:t xml:space="preserve">En caso de una Imposibilidad de Acuerdo, se seguirán las siguientes reglas:</w:t>
      </w:r>
    </w:p>
    <w:p>
      <w:pPr>
        <w:numPr>
          <w:ilvl w:val="0"/>
          <w:numId w:val="1025"/>
        </w:numPr>
      </w:pPr>
      <w:r>
        <w:rPr>
          <w:b/>
        </w:rPr>
        <w:t xml:space="preserve">Derecho de venta:</w:t>
      </w:r>
      <w:r>
        <w:t xml:space="preserve"> </w:t>
      </w:r>
      <w:r>
        <w:t xml:space="preserve">el (los) Accionista(s) que representen la minoría accionaria en la Imposibilidad de Acuerdo, tendrá(n) el derecho de vender sus acciones a los Accionistas que representen la mayoría accionaria en la Imposibilidad de Acuerdo, considerando los derechos del tanto y de preferencia consignados en la Ley General de Sociedades Mercantiles y en los Estatutos; es decir, pro rata con base en el número de acciones representativas del capital social de la Sociedad íntegramente suscritas y pagadas de que sean titulares los Accionistas compradores. La venta se realizará al Precio de Salida por Falta de Acuerdo.</w:t>
      </w:r>
    </w:p>
    <w:p>
      <w:pPr>
        <w:numPr>
          <w:ilvl w:val="0"/>
          <w:numId w:val="1025"/>
        </w:numPr>
      </w:pPr>
      <w:r>
        <w:rPr>
          <w:b/>
        </w:rPr>
        <w:t xml:space="preserve">Derecho de compra:</w:t>
      </w:r>
      <w:r>
        <w:t xml:space="preserve"> </w:t>
      </w:r>
      <w:r>
        <w:t xml:space="preserve">los Accionistas que representen la mayoría accionaria en la Imposibilidad de Acuerdo, tendrán el derecho de comprar las acciones del (los) Accionista(s) que representen la minoría accionaria en la Imposibilidad de Acuerdo, considerando los derechos del tanto y de preferencia consignados en la Ley General de Sociedades Mercantiles y en los Estatutos. La venta se realizará al Precio de Salida por Falta de Acuerdo.</w:t>
      </w:r>
    </w:p>
    <w:p>
      <w:pPr>
        <w:pStyle w:val="FirstParagraph"/>
      </w:pPr>
      <w:r>
        <w:rPr>
          <w:b/>
        </w:rPr>
        <w:t xml:space="preserve">“</w:t>
      </w:r>
      <w:r>
        <w:rPr>
          <w:b/>
        </w:rPr>
        <w:t xml:space="preserve">Precio de Salida por Falta de Acuerdo</w:t>
      </w:r>
      <w:r>
        <w:rPr>
          <w:b/>
        </w:rPr>
        <w:t xml:space="preserve">”</w:t>
      </w:r>
      <w:r>
        <w:rPr>
          <w:b/>
        </w:rPr>
        <w:t xml:space="preserve">:</w:t>
      </w:r>
      <w:r>
        <w:t xml:space="preserve"> </w:t>
      </w:r>
      <w:r>
        <w:t xml:space="preserve">se entiende el valor resultante de lo siguiente: (i) se determinará el precio de mercado de la Sociedad por una valuación independiente llevada a cabo por una firma de prestigio de consultoría que ofrezca este servicio en el mercado y que sea designada por el Consejo de Administración; y (ii) a dicho valor se le aplicará el porcentaje de tenencia accionaria del Accionista al cual se comprarán sus acciones; (iii) en caso de que el Consejo decida no pagar la consultora que valorará la empresa, el comprador o vendedor podrán hacer el pago de los servicios.</w:t>
      </w:r>
    </w:p>
    <w:p>
      <w:r>
        <w:pict>
          <v:rect style="width:0;height:1.5pt" o:hralign="center" o:hrstd="t" o:hr="t"/>
        </w:pict>
      </w:r>
    </w:p>
    <w:p>
      <w:pPr>
        <w:pStyle w:val="FirstParagraph"/>
      </w:pPr>
      <w:r>
        <w:rPr>
          <w:b/>
        </w:rPr>
        <w:t xml:space="preserve">Cláusula 13. Mecanismo de recompra por salida por falta de acuerdo</w:t>
      </w:r>
    </w:p>
    <w:p>
      <w:pPr>
        <w:pStyle w:val="BodyText"/>
      </w:pPr>
      <w:r>
        <w:t xml:space="preserve">Si un Accionista decide salir de la Sociedad por falta de acuerdo (conforme a la Cláusula 12 anterior), y la Sociedad tiene EBITDA anual positivo superior a</w:t>
      </w:r>
      <w:r>
        <w:t xml:space="preserve"> </w:t>
      </w:r>
      <w:r>
        <w:rPr>
          <w:b/>
        </w:rPr>
        <w:t xml:space="preserve">$500,000.00 M.N.</w:t>
      </w:r>
      <w:r>
        <w:t xml:space="preserve">, la propia Sociedad podrá recomprar sus acciones destinando el</w:t>
      </w:r>
      <w:r>
        <w:t xml:space="preserve"> </w:t>
      </w:r>
      <w:r>
        <w:rPr>
          <w:b/>
        </w:rPr>
        <w:t xml:space="preserve">25% del flujo de caja libre anual (Free Cash Flow)</w:t>
      </w:r>
      <w:r>
        <w:t xml:space="preserve"> </w:t>
      </w:r>
      <w:r>
        <w:t xml:space="preserve">al pago de la recompra, hasta cubrir la totalidad del precio determinado conforme al Precio de Salida por Falta de Acuerdo.</w:t>
      </w:r>
    </w:p>
    <w:p>
      <w:pPr>
        <w:pStyle w:val="BodyText"/>
      </w:pPr>
      <w:r>
        <w:t xml:space="preserve">Al acogerse a este mecanismo:</w:t>
      </w:r>
    </w:p>
    <w:p>
      <w:pPr>
        <w:numPr>
          <w:ilvl w:val="0"/>
          <w:numId w:val="1026"/>
        </w:numPr>
      </w:pPr>
      <w:r>
        <w:t xml:space="preserve">El socio saliente</w:t>
      </w:r>
      <w:r>
        <w:t xml:space="preserve"> </w:t>
      </w:r>
      <w:r>
        <w:rPr>
          <w:b/>
        </w:rPr>
        <w:t xml:space="preserve">renuncia expresamente a cualquier otro derecho corporativo y económico</w:t>
      </w:r>
      <w:r>
        <w:t xml:space="preserve">, incluyendo cualquier dividendo futuro que pudiera corresponderle;</w:t>
      </w:r>
    </w:p>
    <w:p>
      <w:pPr>
        <w:numPr>
          <w:ilvl w:val="0"/>
          <w:numId w:val="1026"/>
        </w:numPr>
      </w:pPr>
      <w:r>
        <w:t xml:space="preserve">Los dividendos ya cobrados previamente por dicho socio se computarán como parte del pago realizado, minorando proporcionalmente el saldo pendiente por concepto de recompra;</w:t>
      </w:r>
    </w:p>
    <w:p>
      <w:pPr>
        <w:numPr>
          <w:ilvl w:val="0"/>
          <w:numId w:val="1026"/>
        </w:numPr>
      </w:pPr>
      <w:r>
        <w:t xml:space="preserve">El socio saliente no podrá ejercer acciones de auditoría, control o reclamación frente a la Sociedad derivadas de su actividad operativa ordinaria, sin perjuicio de las acciones legales que le corresponden en caso de incumplimiento del presente Pacto.</w:t>
      </w:r>
    </w:p>
    <w:p>
      <w:pPr>
        <w:pStyle w:val="FirstParagraph"/>
      </w:pPr>
      <w:r>
        <w:t xml:space="preserve">Si la Sociedad no tiene EBITDA positivo superior a $500,000.00 M.N., el mecanismo de compraventa aplicable será únicamente el previsto en la Cláusula 12.</w:t>
      </w:r>
    </w:p>
    <w:p>
      <w:r>
        <w:pict>
          <v:rect style="width:0;height:1.5pt" o:hralign="center" o:hrstd="t" o:hr="t"/>
        </w:pict>
      </w:r>
    </w:p>
    <w:p>
      <w:pPr>
        <w:pStyle w:val="FirstParagraph"/>
      </w:pPr>
      <w:r>
        <w:rPr>
          <w:b/>
        </w:rPr>
        <w:t xml:space="preserve">Cláusula 14. Mantenimiento de los bienes de la Sociedad y Seguro</w:t>
      </w:r>
    </w:p>
    <w:p>
      <w:pPr>
        <w:pStyle w:val="BodyText"/>
      </w:pPr>
      <w:r>
        <w:t xml:space="preserve">Los Accionistas propiciarán que la Sociedad mantenga todos sus bienes (incluyendo intangibles) en buen funcionamiento, en orden y en buenas condiciones. De igual manera, que mantenga todos los tipos de seguros necesarios para la operación, con los montos y coberturas de riesgos necesarios para la operación de una sociedad que tiene un objeto social similar al Objeto Social, incluyendo específicamente</w:t>
      </w:r>
      <w:r>
        <w:t xml:space="preserve"> </w:t>
      </w:r>
      <w:r>
        <w:rPr>
          <w:b/>
        </w:rPr>
        <w:t xml:space="preserve">póliza de responsabilidad civil de touroperador</w:t>
      </w:r>
      <w:r>
        <w:t xml:space="preserve"> </w:t>
      </w:r>
      <w:r>
        <w:t xml:space="preserve">conforme a la normativa aplicable.</w:t>
      </w:r>
    </w:p>
    <w:p>
      <w:r>
        <w:pict>
          <v:rect style="width:0;height:1.5pt" o:hralign="center" o:hrstd="t" o:hr="t"/>
        </w:pict>
      </w:r>
    </w:p>
    <w:p>
      <w:pPr>
        <w:pStyle w:val="FirstParagraph"/>
      </w:pPr>
      <w:r>
        <w:rPr>
          <w:b/>
        </w:rPr>
        <w:t xml:space="preserve">Cláusula 15. Licencias Gubernamentales de la Sociedad</w:t>
      </w:r>
    </w:p>
    <w:p>
      <w:pPr>
        <w:pStyle w:val="BodyText"/>
      </w:pPr>
      <w:r>
        <w:t xml:space="preserve">Los Accionistas propiciarán que la Sociedad obtenga, y mantenga en todo momento, todas las licencias, registros, autorizaciones, consentimientos, permisos y aprobaciones gubernamentales que se requieran para cumplir con sus obligaciones, preservar sus derechos y para llevar a cabo el Objeto Social, incluyendo explícitamente el</w:t>
      </w:r>
      <w:r>
        <w:t xml:space="preserve"> </w:t>
      </w:r>
      <w:r>
        <w:rPr>
          <w:b/>
        </w:rPr>
        <w:t xml:space="preserve">Registro Nacional de Turismo (RNT) y la clasificación como touroperador ante la Secretaría de Turismo (Sectur)</w:t>
      </w:r>
      <w:r>
        <w:t xml:space="preserve">.</w:t>
      </w:r>
    </w:p>
    <w:p>
      <w:r>
        <w:pict>
          <v:rect style="width:0;height:1.5pt" o:hralign="center" o:hrstd="t" o:hr="t"/>
        </w:pict>
      </w:r>
    </w:p>
    <w:p>
      <w:pPr>
        <w:pStyle w:val="FirstParagraph"/>
      </w:pPr>
      <w:r>
        <w:rPr>
          <w:b/>
        </w:rPr>
        <w:t xml:space="preserve">Cláusula 16. Adeudos de la Sociedad</w:t>
      </w:r>
    </w:p>
    <w:p>
      <w:pPr>
        <w:pStyle w:val="BodyText"/>
      </w:pPr>
      <w:r>
        <w:t xml:space="preserve">Los Accionistas acuerdan que el Consejo de Administración será el órgano encargado de vigilar que la Sociedad no contrate, cree, incurra, asuma, sufra o permita que haya adeudos a cargo de la propia Sociedad, salvo aquellos adeudos que deriven de los pronósticos anuales de negocios y del curso ordinario de sus actividades, y que cuando algún socio o socios representen más del</w:t>
      </w:r>
      <w:r>
        <w:t xml:space="preserve"> </w:t>
      </w:r>
      <w:r>
        <w:rPr>
          <w:b/>
        </w:rPr>
        <w:t xml:space="preserve">25% (veinticinco por ciento)</w:t>
      </w:r>
      <w:r>
        <w:t xml:space="preserve"> </w:t>
      </w:r>
      <w:r>
        <w:t xml:space="preserve">podrán vetar cualquier solicitud de deuda.</w:t>
      </w:r>
    </w:p>
    <w:p>
      <w:r>
        <w:pict>
          <v:rect style="width:0;height:1.5pt" o:hralign="center" o:hrstd="t" o:hr="t"/>
        </w:pict>
      </w:r>
    </w:p>
    <w:p>
      <w:pPr>
        <w:pStyle w:val="FirstParagraph"/>
      </w:pPr>
      <w:r>
        <w:rPr>
          <w:b/>
        </w:rPr>
        <w:t xml:space="preserve">Cláusula 17. Restricciones a la Sociedad</w:t>
      </w:r>
    </w:p>
    <w:p>
      <w:pPr>
        <w:pStyle w:val="BodyText"/>
      </w:pPr>
      <w:r>
        <w:t xml:space="preserve">Los Accionistas no podrán, y no propiciarán o permitirán a la Sociedad, llevar a cabo actividades distintas a las contempladas en el Objeto Social —</w:t>
      </w:r>
      <w:r>
        <w:t xml:space="preserve"> </w:t>
      </w:r>
      <w:r>
        <w:rPr>
          <w:b/>
        </w:rPr>
        <w:t xml:space="preserve">operación de tours, gestión cultural, comercialización de experiencias, coworking y hospedaje complementario</w:t>
      </w:r>
      <w:r>
        <w:t xml:space="preserve"> </w:t>
      </w:r>
      <w:r>
        <w:t xml:space="preserve">—, así como no deberá intervenir, ya sea en adquisiciones o demás actividades, que puedan constituir o resultar en alguna afectación a dicho Objeto Social.</w:t>
      </w:r>
    </w:p>
    <w:p>
      <w:r>
        <w:pict>
          <v:rect style="width:0;height:1.5pt" o:hralign="center" o:hrstd="t" o:hr="t"/>
        </w:pict>
      </w:r>
    </w:p>
    <w:p>
      <w:pPr>
        <w:pStyle w:val="FirstParagraph"/>
      </w:pPr>
      <w:r>
        <w:rPr>
          <w:b/>
        </w:rPr>
        <w:t xml:space="preserve">Cláusula 18. Declaraciones y Garantías</w:t>
      </w:r>
    </w:p>
    <w:p>
      <w:pPr>
        <w:pStyle w:val="BodyText"/>
      </w:pPr>
      <w:r>
        <w:t xml:space="preserve">Cada uno de los Accionistas declara de manera individual y garantiza a los otros Accionistas lo siguiente:</w:t>
      </w:r>
    </w:p>
    <w:p>
      <w:pPr>
        <w:pStyle w:val="BodyText"/>
      </w:pPr>
      <w:r>
        <w:rPr>
          <w:b/>
        </w:rPr>
        <w:t xml:space="preserve">a. Capacidad.</w:t>
      </w:r>
      <w:r>
        <w:t xml:space="preserve"> </w:t>
      </w:r>
      <w:r>
        <w:t xml:space="preserve">Cuenta con plena capacidad legal y con las autorizaciones suficientes (de cualquier otra naturaleza) para celebrar y cumplir con sus obligaciones bajo el presente Convenio de conformidad con sus respectivos términos.</w:t>
      </w:r>
    </w:p>
    <w:p>
      <w:pPr>
        <w:pStyle w:val="BodyText"/>
      </w:pPr>
      <w:r>
        <w:rPr>
          <w:b/>
        </w:rPr>
        <w:t xml:space="preserve">b. Exigibilidad.</w:t>
      </w:r>
      <w:r>
        <w:t xml:space="preserve"> </w:t>
      </w:r>
      <w:r>
        <w:t xml:space="preserve">La celebración y cumplimiento por su parte del presente Convenio y las obligaciones a su cargo establecidas en el mismo constituyen obligaciones legales, válidas y exigibles de conformidad con sus términos.</w:t>
      </w:r>
    </w:p>
    <w:p>
      <w:pPr>
        <w:pStyle w:val="BodyText"/>
      </w:pPr>
      <w:r>
        <w:rPr>
          <w:b/>
        </w:rPr>
        <w:t xml:space="preserve">c. Cumplimiento.</w:t>
      </w:r>
      <w:r>
        <w:t xml:space="preserve"> </w:t>
      </w:r>
      <w:r>
        <w:t xml:space="preserve">La celebración del presente Convenio, así como el cumplimiento de las obligaciones derivadas del presente Convenio, no resultan en incumplimiento alguno de (i) cualquier legislación, reglamento, circular o norma, acuerdo, decreto, o sentencia de cualquier tribunal, entidad u órgano gubernamental que le sea aplicable a la fecha del presente Convenio; y (ii) cualquier término, condición, obligación o restricción contractual alguna que lo obligue.</w:t>
      </w:r>
    </w:p>
    <w:p>
      <w:pPr>
        <w:pStyle w:val="BodyText"/>
      </w:pPr>
      <w:r>
        <w:rPr>
          <w:b/>
        </w:rPr>
        <w:t xml:space="preserve">d. Solvencia.</w:t>
      </w:r>
      <w:r>
        <w:t xml:space="preserve"> </w:t>
      </w:r>
      <w:r>
        <w:t xml:space="preserve">Ser solvente a la fecha de celebración del presente Convenio.</w:t>
      </w:r>
    </w:p>
    <w:p>
      <w:pPr>
        <w:pStyle w:val="BodyText"/>
      </w:pPr>
      <w:r>
        <w:rPr>
          <w:b/>
        </w:rPr>
        <w:t xml:space="preserve">e. Actividad Económica, Origen de Recursos.</w:t>
      </w:r>
      <w:r>
        <w:t xml:space="preserve"> </w:t>
      </w:r>
      <w:r>
        <w:t xml:space="preserve">Que la actividad económica que realiza y por lo tanto la fuente de sus ingresos y recursos utilizados para su participación en la Sociedad son de procedencia lícita conforme a la legislación que le resulte aplicable y la de México. Asimismo, manifiesta que los recursos utilizados en su negocio y para las aportaciones de capital a realizarse en la Sociedad, son de procedencia lícita y no provienen ni provendrán de delincuencia organizada, secuestro, robo de vehículos, trata de personas, o cualquier otro delito conforme a la legislación vigente que le resulte aplicable.</w:t>
      </w:r>
    </w:p>
    <w:p>
      <w:pPr>
        <w:pStyle w:val="BodyText"/>
      </w:pPr>
      <w:r>
        <w:rPr>
          <w:b/>
        </w:rPr>
        <w:t xml:space="preserve">f. Ausencia de Conflicto.</w:t>
      </w:r>
      <w:r>
        <w:t xml:space="preserve"> </w:t>
      </w:r>
      <w:r>
        <w:t xml:space="preserve">Que no ha ocurrido hecho o evento alguno en o antes de la fecha del presente Convenio que pudiera afectar sustancial y adversamente su capacidad para cumplir con sus obligaciones conforme al presente Convenio.</w:t>
      </w:r>
    </w:p>
    <w:p>
      <w:r>
        <w:pict>
          <v:rect style="width:0;height:1.5pt" o:hralign="center" o:hrstd="t" o:hr="t"/>
        </w:pict>
      </w:r>
    </w:p>
    <w:p>
      <w:pPr>
        <w:pStyle w:val="FirstParagraph"/>
      </w:pPr>
      <w:r>
        <w:rPr>
          <w:b/>
        </w:rPr>
        <w:t xml:space="preserve">Cláusula 19. Vigencia</w:t>
      </w:r>
    </w:p>
    <w:p>
      <w:pPr>
        <w:pStyle w:val="BodyText"/>
      </w:pPr>
      <w:r>
        <w:t xml:space="preserve">Los Accionistas acuerdan que la vigencia del presente Convenio se encuentra sujeta a la duración de la Sociedad, que es indefinida. Los motivos por los que este Convenio puede terminar anticipadamente son si los Accionistas acuerdan que este Convenio está sujeto a una condición resolutoria, consistente en que la Sociedad se liquide anticipadamente, de conformidad con los Estatutos Sociales.</w:t>
      </w:r>
    </w:p>
    <w:p>
      <w:pPr>
        <w:pStyle w:val="BodyText"/>
      </w:pPr>
      <w:r>
        <w:t xml:space="preserve">Si alguno de los Accionistas deja de ser Accionista de la Sociedad, de conformidad con lo indicado en el presente Convenio y en los Estatutos Sociales, este Convenio terminará para dicho Accionista, quedando vigente para los demás Accionistas, quienes celebrarán un convenio modificatorio a este respecto.</w:t>
      </w:r>
    </w:p>
    <w:p>
      <w:r>
        <w:pict>
          <v:rect style="width:0;height:1.5pt" o:hralign="center" o:hrstd="t" o:hr="t"/>
        </w:pict>
      </w:r>
    </w:p>
    <w:p>
      <w:pPr>
        <w:pStyle w:val="FirstParagraph"/>
      </w:pPr>
      <w:r>
        <w:rPr>
          <w:b/>
        </w:rPr>
        <w:t xml:space="preserve">Cláusula 20. Límite de responsabilidad</w:t>
      </w:r>
    </w:p>
    <w:p>
      <w:pPr>
        <w:pStyle w:val="BodyText"/>
      </w:pPr>
      <w:r>
        <w:t xml:space="preserve">Los Accionistas acuerdan que la responsabilidad máxima de cada uno de ellos, de modo limitativo y excluyente, por daños y perjuicios bajo este Convenio, independientemente de la forma de acción a que tengan derecho para la reclamación, estará limitada a un monto equivalente al valor de sus acciones (tomando como base un valor similar al del Precio de Salida por Falta de Acuerdo). En este acto, los Accionistas convienen que dicho límite no aplicará en caso de incumplimientos derivados de negligencia, dolo, o mala fe; o de incumplimientos relacionados con las cláusulas del presente Convenio en materia de confidencialidad, propiedad intelectual o no competencia.</w:t>
      </w:r>
    </w:p>
    <w:p>
      <w:r>
        <w:pict>
          <v:rect style="width:0;height:1.5pt" o:hralign="center" o:hrstd="t" o:hr="t"/>
        </w:pict>
      </w:r>
    </w:p>
    <w:p>
      <w:pPr>
        <w:pStyle w:val="FirstParagraph"/>
      </w:pPr>
      <w:r>
        <w:rPr>
          <w:b/>
        </w:rPr>
        <w:t xml:space="preserve">Cláusula 21. Cumplimiento con las leyes</w:t>
      </w:r>
    </w:p>
    <w:p>
      <w:pPr>
        <w:pStyle w:val="BodyText"/>
      </w:pPr>
      <w:r>
        <w:t xml:space="preserve">Los Accionistas se obligan a cumplir con todas las disposiciones legales aplicables, incluyendo leyes, reglamentos, normas y demás disposiciones, ya sean federales, estatales o municipales, que les sean aplicables, haciéndose responsables de las sanciones en que incurran por omisiones a lo anterior. Cada uno de los Accionistas se obliga a defender, proteger, mantener, indemnizar y sacar a los otros Accionistas en paz y a salvo de cualquier reclamación, multa, denuncia penal, responsabilidad, demanda, resolución, acción, pérdida, o proceso legal de cualquier naturaleza, al que pudiera ser sujeto derivado del incumplimiento de dichas disposiciones legales por parte del Accionista incumplido.</w:t>
      </w:r>
    </w:p>
    <w:p>
      <w:r>
        <w:pict>
          <v:rect style="width:0;height:1.5pt" o:hralign="center" o:hrstd="t" o:hr="t"/>
        </w:pict>
      </w:r>
    </w:p>
    <w:p>
      <w:pPr>
        <w:pStyle w:val="FirstParagraph"/>
      </w:pPr>
      <w:r>
        <w:rPr>
          <w:b/>
        </w:rPr>
        <w:t xml:space="preserve">Cláusula 22. Caso Fortuito y Fuerza Mayor</w:t>
      </w:r>
    </w:p>
    <w:p>
      <w:pPr>
        <w:pStyle w:val="BodyText"/>
      </w:pPr>
      <w:r>
        <w:t xml:space="preserve">En caso de que cualquiera de los Accionistas se encuentre impedido, perturbado o retrasado para cumplir con sus obligaciones derivadas de este Convenio por causas de fuerza mayor, caso fortuito o causas fuera de su control, según sea el caso, que no puedan ser superadas de ninguna manera razonable, dicho Accionista quedará libre de dicho cumplimiento y/u obligaciones hasta el punto y por el tiempo que sea impedido, perturbado o retrasado, durante la continuación de tal acontecimiento, siempre y cuando lo notifique por escrito a los otros Accionistas dentro de un plazo que no exceda de cinco (5) días naturales.</w:t>
      </w:r>
    </w:p>
    <w:p>
      <w:r>
        <w:pict>
          <v:rect style="width:0;height:1.5pt" o:hralign="center" o:hrstd="t" o:hr="t"/>
        </w:pict>
      </w:r>
    </w:p>
    <w:p>
      <w:pPr>
        <w:pStyle w:val="FirstParagraph"/>
      </w:pPr>
      <w:r>
        <w:rPr>
          <w:b/>
        </w:rPr>
        <w:t xml:space="preserve">Cláusula 23. Cesión de derechos</w:t>
      </w:r>
    </w:p>
    <w:p>
      <w:pPr>
        <w:pStyle w:val="BodyText"/>
      </w:pPr>
      <w:r>
        <w:t xml:space="preserve">Ninguno de los Accionistas podrá ceder, transferir, gravar o de cualquier otra manera disponer de sus derechos y obligaciones bajo este Convenio, en todo o en parte, excepto con consentimiento previo y por escrito de la asamblea de accionistas que resuelva sobre la compraventa de las acciones del Accionista que cederá, bajo el entendido de que no puede haber cesión sin que haya una transmisión de acciones.</w:t>
      </w:r>
    </w:p>
    <w:p>
      <w:r>
        <w:pict>
          <v:rect style="width:0;height:1.5pt" o:hralign="center" o:hrstd="t" o:hr="t"/>
        </w:pict>
      </w:r>
    </w:p>
    <w:p>
      <w:pPr>
        <w:pStyle w:val="FirstParagraph"/>
      </w:pPr>
      <w:r>
        <w:rPr>
          <w:b/>
        </w:rPr>
        <w:t xml:space="preserve">Cláusula 24. Modificaciones</w:t>
      </w:r>
    </w:p>
    <w:p>
      <w:pPr>
        <w:pStyle w:val="BodyText"/>
      </w:pPr>
      <w:r>
        <w:t xml:space="preserve">El presente Convenio solamente podrá ser modificado mediante acuerdo por escrito y firmado entre los Accionistas. Manifiestan las partes que el presente acuerdo prevalecerá sobre cualquier otro acuerdo o reserva de cualquier modificación elaborada por los presentes al Convenio entre Accionistas.</w:t>
      </w:r>
    </w:p>
    <w:p>
      <w:r>
        <w:pict>
          <v:rect style="width:0;height:1.5pt" o:hralign="center" o:hrstd="t" o:hr="t"/>
        </w:pict>
      </w:r>
    </w:p>
    <w:p>
      <w:pPr>
        <w:pStyle w:val="FirstParagraph"/>
      </w:pPr>
      <w:r>
        <w:rPr>
          <w:b/>
        </w:rPr>
        <w:t xml:space="preserve">Cláusula 25. Encabezados</w:t>
      </w:r>
    </w:p>
    <w:p>
      <w:pPr>
        <w:pStyle w:val="BodyText"/>
      </w:pPr>
      <w:r>
        <w:t xml:space="preserve">Los encabezados o títulos de las cláusulas de este Convenio se utilizan únicamente como referencias, por lo que no afectarán el contenido de los términos y disposiciones del mismo.</w:t>
      </w:r>
    </w:p>
    <w:p>
      <w:r>
        <w:pict>
          <v:rect style="width:0;height:1.5pt" o:hralign="center" o:hrstd="t" o:hr="t"/>
        </w:pict>
      </w:r>
    </w:p>
    <w:p>
      <w:pPr>
        <w:pStyle w:val="FirstParagraph"/>
      </w:pPr>
      <w:r>
        <w:rPr>
          <w:b/>
        </w:rPr>
        <w:t xml:space="preserve">Cláusula 26. Propiedad Industrial y Derecho de Autor</w:t>
      </w:r>
    </w:p>
    <w:p>
      <w:pPr>
        <w:pStyle w:val="BodyText"/>
      </w:pPr>
      <w:r>
        <w:t xml:space="preserve">Los Accionistas acuerdan que la propiedad industrial y derecho de autor, incluyendo de manera enunciativa, sistemas de cómputo, software, procedimientos, manuales operativos, derecho de autor, marcas, nombres comerciales y patentes,</w:t>
      </w:r>
      <w:r>
        <w:t xml:space="preserve"> </w:t>
      </w:r>
      <w:r>
        <w:rPr>
          <w:b/>
        </w:rPr>
        <w:t xml:space="preserve">contenidos editoriales, guiones de tours, base de datos de ideas y guiones, aplicaciones móviles y plataformas web</w:t>
      </w:r>
      <w:r>
        <w:t xml:space="preserve"> </w:t>
      </w:r>
      <w:r>
        <w:t xml:space="preserve">(la</w:t>
      </w:r>
      <w:r>
        <w:t xml:space="preserve"> </w:t>
      </w:r>
      <w:r>
        <w:t xml:space="preserve">“</w:t>
      </w:r>
      <w:r>
        <w:t xml:space="preserve">PI</w:t>
      </w:r>
      <w:r>
        <w:t xml:space="preserve">”</w:t>
      </w:r>
      <w:r>
        <w:t xml:space="preserve">) será propiedad de la Sociedad y el Consejo deberá llevar una bitácora de todos los elementos intangibles que son propiedad de la Sociedad. Para documentar el portafolio de activos intangibles que, como PI, posee la Sociedad a la fecha de firma de este Convenio, la Sociedad deberá hacer un diagnóstico e inventario de dichos activos en un plazo no mayor a treinta (30) días.</w:t>
      </w:r>
    </w:p>
    <w:p>
      <w:pPr>
        <w:pStyle w:val="BodyText"/>
      </w:pPr>
      <w:r>
        <w:t xml:space="preserve">Los Accionistas acuerdan que toda propiedad industrial y derecho de autor que se genere como resultado de las actividades relacionadas al Objeto Social de la Sociedad, será en todo momento, propiedad de la Sociedad, toda vez que su participación es considerada como obra por encargo (de conformidad con los artículos 83 y 84 de la Ley Federal del Derecho de Autor). Para efectos de lo anterior, el Accionista que haya cooperado en la creación de la propiedad intelectual y derecho de autor, se obliga a realizar, en un plazo no mayor a noventa (90) días contados a partir de la fecha de firma de este Convenio, las gestiones y cesiones formales que correspondan.</w:t>
      </w:r>
    </w:p>
    <w:p>
      <w:r>
        <w:pict>
          <v:rect style="width:0;height:1.5pt" o:hralign="center" o:hrstd="t" o:hr="t"/>
        </w:pict>
      </w:r>
    </w:p>
    <w:p>
      <w:pPr>
        <w:pStyle w:val="FirstParagraph"/>
      </w:pPr>
      <w:r>
        <w:rPr>
          <w:b/>
        </w:rPr>
        <w:t xml:space="preserve">Cláusula 27. Confidencialidad</w:t>
      </w:r>
    </w:p>
    <w:p>
      <w:pPr>
        <w:pStyle w:val="BodyText"/>
      </w:pPr>
      <w:r>
        <w:t xml:space="preserve">Cualquier información transmitida por los Accionistas, por cualquier medio y durante la vigencia del presente Convenio, deberá ser tratada como confidencial (la</w:t>
      </w:r>
      <w:r>
        <w:t xml:space="preserve"> </w:t>
      </w:r>
      <w:r>
        <w:t xml:space="preserve">“</w:t>
      </w:r>
      <w:r>
        <w:t xml:space="preserve">Información Confidencial</w:t>
      </w:r>
      <w:r>
        <w:t xml:space="preserve">”</w:t>
      </w:r>
      <w:r>
        <w:t xml:space="preserve">). Por lo anterior, los Accionistas reconocen, de manera individual y expresa, que con motivo del Convenio tendrán conocimiento y acceso a Información Confidencial de los otros Accionistas y de la Sociedad y, por lo tanto, deberán tratarla como si fuera Información Confidencial propia. Los Accionistas reconocen que la Información Confidencial servirá exclusivamente para el objeto del presente Convenio y en ningún caso para uso personal, comercial o competitivo distinto al mismo.</w:t>
      </w:r>
    </w:p>
    <w:p>
      <w:r>
        <w:pict>
          <v:rect style="width:0;height:1.5pt" o:hralign="center" o:hrstd="t" o:hr="t"/>
        </w:pict>
      </w:r>
    </w:p>
    <w:p>
      <w:pPr>
        <w:pStyle w:val="FirstParagraph"/>
      </w:pPr>
      <w:r>
        <w:rPr>
          <w:b/>
        </w:rPr>
        <w:t xml:space="preserve">Legislación aplicable y jurisdicción</w:t>
      </w:r>
    </w:p>
    <w:p>
      <w:pPr>
        <w:pStyle w:val="BodyText"/>
      </w:pPr>
      <w:r>
        <w:t xml:space="preserve">Para todo lo no previsto en el presente Pacto, las partes se sujetan a lo dispuesto por la</w:t>
      </w:r>
      <w:r>
        <w:t xml:space="preserve"> </w:t>
      </w:r>
      <w:r>
        <w:rPr>
          <w:b/>
        </w:rPr>
        <w:t xml:space="preserve">Ley General de Sociedades Mercantiles</w:t>
      </w:r>
      <w:r>
        <w:t xml:space="preserve"> </w:t>
      </w:r>
      <w:r>
        <w:t xml:space="preserve">y demás legislación aplicable de los</w:t>
      </w:r>
      <w:r>
        <w:t xml:space="preserve"> </w:t>
      </w:r>
      <w:r>
        <w:rPr>
          <w:b/>
        </w:rPr>
        <w:t xml:space="preserve">Estados Unidos Mexicanos</w:t>
      </w:r>
      <w:r>
        <w:t xml:space="preserve">.</w:t>
      </w:r>
    </w:p>
    <w:p>
      <w:pPr>
        <w:pStyle w:val="BodyText"/>
      </w:pPr>
      <w:r>
        <w:t xml:space="preserve">Para la interpretación, cumplimiento y ejecución del presente Pacto, las partes se someten expresamente a la jurisdicción de los</w:t>
      </w:r>
      <w:r>
        <w:t xml:space="preserve"> </w:t>
      </w:r>
      <w:r>
        <w:rPr>
          <w:b/>
        </w:rPr>
        <w:t xml:space="preserve">tribunales competentes de la Ciudad de México</w:t>
      </w:r>
      <w:r>
        <w:t xml:space="preserve">, renunciando a cualquier otra que pudiera corresponderles por razón de sus domicilios presentes o futuros o por cualquier otra causa.</w:t>
      </w:r>
    </w:p>
    <w:p>
      <w:r>
        <w:pict>
          <v:rect style="width:0;height:1.5pt" o:hralign="center" o:hrstd="t" o:hr="t"/>
        </w:pict>
      </w:r>
    </w:p>
    <w:p>
      <w:pPr>
        <w:pStyle w:val="FirstParagraph"/>
      </w:pPr>
      <w:r>
        <w:rPr>
          <w:b/>
        </w:rPr>
        <w:t xml:space="preserve">FIRMAS</w:t>
      </w:r>
    </w:p>
    <w:p>
      <w:pPr>
        <w:pStyle w:val="BodyText"/>
      </w:pPr>
      <w:r>
        <w:t xml:space="preserve">En señal de conformidad, las Partes firman el presente Pacto de Socios en la Ciudad de México, en la fecha que conste en el instrumento correspondiente.</w:t>
      </w:r>
    </w:p>
    <w:p>
      <w:pPr>
        <w:pStyle w:val="BodyText"/>
      </w:pPr>
      <w:r>
        <w:br/>
      </w:r>
      <w:r>
        <w:br/>
      </w:r>
    </w:p>
    <w:p>
      <w:pPr>
        <w:pStyle w:val="BodyText"/>
      </w:pPr>
      <w:r>
        <w:rPr>
          <w:b/>
        </w:rPr>
        <w:t xml:space="preserve">CASA PEPE HBR (Socios de Hostal Boutique República de Uruguay, S.A. de C.V.)</w:t>
      </w:r>
    </w:p>
    <w:p>
      <w:pPr>
        <w:pStyle w:val="BodyText"/>
      </w:pPr>
      <w:r>
        <w:t xml:space="preserve">Por:</w:t>
      </w:r>
      <w:r>
        <w:t xml:space="preserve"> </w:t>
      </w:r>
      <w:r>
        <w:rPr>
          <w:b/>
        </w:rPr>
        <w:t xml:space="preserve">Javier Puente García</w:t>
      </w:r>
    </w:p>
    <w:p>
      <w:pPr>
        <w:pStyle w:val="BodyText"/>
      </w:pPr>
      <w:r>
        <w:t xml:space="preserve">Cargo: Representante Legal / Presidente del Consejo</w:t>
      </w:r>
    </w:p>
    <w:p>
      <w:pPr>
        <w:pStyle w:val="BodyText"/>
      </w:pPr>
      <w:r>
        <w:t xml:space="preserve">Firma: ______________________________</w:t>
      </w:r>
    </w:p>
    <w:p>
      <w:pPr>
        <w:pStyle w:val="BodyText"/>
      </w:pPr>
      <w:r>
        <w:t xml:space="preserve">Fecha: _______________________________</w:t>
      </w:r>
    </w:p>
    <w:p>
      <w:pPr>
        <w:pStyle w:val="BodyText"/>
      </w:pPr>
      <w:r>
        <w:br/>
      </w:r>
      <w:r>
        <w:br/>
      </w:r>
    </w:p>
    <w:p>
      <w:pPr>
        <w:pStyle w:val="BodyText"/>
      </w:pPr>
      <w:r>
        <w:rPr>
          <w:b/>
        </w:rPr>
        <w:t xml:space="preserve">[SOCIO HOTELERO 1 — RAZÓN SOCIAL PENDIENTE]</w:t>
      </w:r>
    </w:p>
    <w:p>
      <w:pPr>
        <w:pStyle w:val="BodyText"/>
      </w:pPr>
      <w:r>
        <w:t xml:space="preserve">Por:</w:t>
      </w:r>
      <w:r>
        <w:t xml:space="preserve"> </w:t>
      </w:r>
      <w:r>
        <w:rPr>
          <w:b/>
        </w:rPr>
        <w:t xml:space="preserve">[NOMBRE PENDIENTE]</w:t>
      </w:r>
    </w:p>
    <w:p>
      <w:pPr>
        <w:pStyle w:val="BodyText"/>
      </w:pPr>
      <w:r>
        <w:t xml:space="preserve">Cargo: Representante Legal</w:t>
      </w:r>
    </w:p>
    <w:p>
      <w:pPr>
        <w:pStyle w:val="BodyText"/>
      </w:pPr>
      <w:r>
        <w:t xml:space="preserve">Firma: ______________________________</w:t>
      </w:r>
    </w:p>
    <w:p>
      <w:pPr>
        <w:pStyle w:val="BodyText"/>
      </w:pPr>
      <w:r>
        <w:t xml:space="preserve">Fecha: _______________________________</w:t>
      </w:r>
    </w:p>
    <w:p>
      <w:pPr>
        <w:pStyle w:val="BodyText"/>
      </w:pPr>
      <w:r>
        <w:br/>
      </w:r>
      <w:r>
        <w:br/>
      </w:r>
    </w:p>
    <w:p>
      <w:pPr>
        <w:pStyle w:val="BodyText"/>
      </w:pPr>
      <w:r>
        <w:rPr>
          <w:b/>
        </w:rPr>
        <w:t xml:space="preserve">[SOCIO HOTELERO 2 — RAZÓN SOCIAL PENDIENTE]</w:t>
      </w:r>
    </w:p>
    <w:p>
      <w:pPr>
        <w:pStyle w:val="BodyText"/>
      </w:pPr>
      <w:r>
        <w:t xml:space="preserve">Por:</w:t>
      </w:r>
      <w:r>
        <w:t xml:space="preserve"> </w:t>
      </w:r>
      <w:r>
        <w:rPr>
          <w:b/>
        </w:rPr>
        <w:t xml:space="preserve">[NOMBRE PENDIENTE]</w:t>
      </w:r>
    </w:p>
    <w:p>
      <w:pPr>
        <w:pStyle w:val="BodyText"/>
      </w:pPr>
      <w:r>
        <w:t xml:space="preserve">Cargo: Representante Legal</w:t>
      </w:r>
    </w:p>
    <w:p>
      <w:pPr>
        <w:pStyle w:val="BodyText"/>
      </w:pPr>
      <w:r>
        <w:t xml:space="preserve">Firma: ______________________________</w:t>
      </w:r>
    </w:p>
    <w:p>
      <w:pPr>
        <w:pStyle w:val="BodyText"/>
      </w:pPr>
      <w:r>
        <w:t xml:space="preserve">Fecha: _______________________________</w:t>
      </w:r>
    </w:p>
    <w:p>
      <w:pPr>
        <w:pStyle w:val="BodyText"/>
      </w:pPr>
      <w:r>
        <w:br/>
      </w:r>
      <w:r>
        <w:br/>
      </w:r>
    </w:p>
    <w:p>
      <w:pPr>
        <w:pStyle w:val="BodyText"/>
      </w:pPr>
      <w:r>
        <w:rPr>
          <w:b/>
        </w:rPr>
        <w:t xml:space="preserve">CAPITAL BUS [RAZÓN SOCIAL COMPLETA PENDIENTE]</w:t>
      </w:r>
    </w:p>
    <w:p>
      <w:pPr>
        <w:pStyle w:val="BodyText"/>
      </w:pPr>
      <w:r>
        <w:t xml:space="preserve">Por:</w:t>
      </w:r>
      <w:r>
        <w:t xml:space="preserve"> </w:t>
      </w:r>
      <w:r>
        <w:rPr>
          <w:b/>
        </w:rPr>
        <w:t xml:space="preserve">[NOMBRE PENDIENTE]</w:t>
      </w:r>
    </w:p>
    <w:p>
      <w:pPr>
        <w:pStyle w:val="BodyText"/>
      </w:pPr>
      <w:r>
        <w:t xml:space="preserve">Cargo: Representante Legal</w:t>
      </w:r>
    </w:p>
    <w:p>
      <w:pPr>
        <w:pStyle w:val="BodyText"/>
      </w:pPr>
      <w:r>
        <w:t xml:space="preserve">Firma: ______________________________</w:t>
      </w:r>
    </w:p>
    <w:p>
      <w:pPr>
        <w:pStyle w:val="BodyText"/>
      </w:pPr>
      <w:r>
        <w:t xml:space="preserve">Fecha: _______________________________</w:t>
      </w:r>
    </w:p>
    <w:p>
      <w:pPr>
        <w:pStyle w:val="BodyText"/>
      </w:pPr>
      <w:r>
        <w:br/>
      </w:r>
      <w:r>
        <w:br/>
      </w:r>
    </w:p>
    <w:p>
      <w:pPr>
        <w:pStyle w:val="BodyText"/>
      </w:pPr>
      <w:r>
        <w:rPr>
          <w:b/>
        </w:rPr>
        <w:t xml:space="preserve">[@SOYELCHARROMEXICAN — NOMBRE LEGAL PENDIENTE]</w:t>
      </w:r>
    </w:p>
    <w:p>
      <w:pPr>
        <w:pStyle w:val="BodyText"/>
      </w:pPr>
      <w:r>
        <w:t xml:space="preserve">Por propio derecho</w:t>
      </w:r>
    </w:p>
    <w:p>
      <w:pPr>
        <w:pStyle w:val="BodyText"/>
      </w:pPr>
      <w:r>
        <w:t xml:space="preserve">Firma: ______________________________</w:t>
      </w:r>
    </w:p>
    <w:p>
      <w:pPr>
        <w:pStyle w:val="BodyText"/>
      </w:pPr>
      <w:r>
        <w:t xml:space="preserve">Fecha: _______________________________</w:t>
      </w:r>
    </w:p>
    <w:p>
      <w:r>
        <w:pict>
          <v:rect style="width:0;height:1.5pt" o:hralign="center" o:hrstd="t" o:hr="t"/>
        </w:pict>
      </w:r>
    </w:p>
    <w:p>
      <w:pPr>
        <w:pStyle w:val="FirstParagraph"/>
      </w:pPr>
      <w:r>
        <w:rPr>
          <w:i/>
        </w:rPr>
        <w:t xml:space="preserve">Documento base en control de cambios. Última versión: 1.0 · [FECHA]. Publicado en grupocasapepe.netlify.app/m/socios-deck-sincretico para revisión de socios.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5">
    <w:nsid w:val="71315dca"/>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6">
    <w:nsid w:val="47261bad"/>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1">
    <w:nsid w:val="b3cbbdee"/>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531">
    <w:nsid w:val="4fbe019a"/>
    <w:multiLevelType w:val="multilevel"/>
    <w:lvl w:ilvl="0">
      <w:start w:val="1"/>
      <w:numFmt w:val="lowerRoman"/>
      <w:lvlText w:val="(%1)"/>
      <w:lvlJc w:val="left"/>
      <w:pPr>
        <w:tabs>
          <w:tab w:val="num" w:pos="0"/>
        </w:tabs>
        <w:ind w:left="480" w:hanging="480"/>
      </w:pPr>
    </w:lvl>
    <w:lvl w:ilvl="1">
      <w:start w:val="1"/>
      <w:numFmt w:val="lowerRoman"/>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lowerRoman"/>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lowerRoman"/>
      <w:lvlText w:val="(%7)"/>
      <w:lvlJc w:val="left"/>
      <w:pPr>
        <w:tabs>
          <w:tab w:val="num" w:pos="4320"/>
        </w:tabs>
        <w:ind w:left="4800" w:hanging="480"/>
      </w:pPr>
    </w:lvl>
    <w:lvl w:ilvl="7">
      <w:start w:val="1"/>
      <w:numFmt w:val="lowerRoman"/>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731">
    <w:nsid w:val="91a27d85"/>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2026-07-25T12:23:44Z</dcterms:created>
  <dcterms:modified xsi:type="dcterms:W3CDTF">2026-07-25T12:23:44Z</dcterms:modified>
</cp:coreProperties>
</file>

<file path=docProps/custom.xml><?xml version="1.0" encoding="utf-8"?>
<Properties xmlns="http://schemas.openxmlformats.org/officeDocument/2006/custom-properties" xmlns:vt="http://schemas.openxmlformats.org/officeDocument/2006/docPropsVTypes"/>
</file>