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D0933" w14:textId="5E1AE069" w:rsidR="008A55B5" w:rsidRPr="007E5C07" w:rsidRDefault="00242D9F" w:rsidP="007E5C07">
      <w:pPr>
        <w:pStyle w:val="Title"/>
        <w:rPr>
          <w:rFonts w:eastAsia="MS Mincho"/>
        </w:rPr>
      </w:pPr>
      <w:r w:rsidRPr="007E5C07">
        <w:t>Analysis of the effect in the electricity market equilibrium of a wind-power plant</w:t>
      </w:r>
      <w:r w:rsidR="008A55B5" w:rsidRPr="007E5C07">
        <w:rPr>
          <w:rFonts w:eastAsia="MS Mincho"/>
        </w:rPr>
        <w:t xml:space="preserve"> </w:t>
      </w:r>
    </w:p>
    <w:p w14:paraId="58A3E63F" w14:textId="51626EF1" w:rsidR="008A55B5" w:rsidRPr="007E5C07" w:rsidRDefault="00242D9F" w:rsidP="007E5C07">
      <w:pPr>
        <w:pStyle w:val="Subtitle"/>
      </w:pPr>
      <w:r w:rsidRPr="007E5C07">
        <w:t>Energy Markets - 2on Laboratory Assignment</w:t>
      </w:r>
    </w:p>
    <w:p w14:paraId="22C4EEE8" w14:textId="77777777" w:rsidR="008A55B5" w:rsidRDefault="008A55B5">
      <w:pPr>
        <w:pStyle w:val="Author"/>
        <w:rPr>
          <w:rFonts w:eastAsia="MS Mincho"/>
        </w:rPr>
        <w:sectPr w:rsidR="008A55B5" w:rsidSect="006C4648">
          <w:pgSz w:w="11909" w:h="16834" w:code="9"/>
          <w:pgMar w:top="1080" w:right="734" w:bottom="2434" w:left="734" w:header="720" w:footer="720" w:gutter="0"/>
          <w:cols w:space="720"/>
          <w:docGrid w:linePitch="360"/>
        </w:sectPr>
      </w:pPr>
    </w:p>
    <w:p w14:paraId="780E02F5" w14:textId="33E63C12" w:rsidR="008A55B5" w:rsidRPr="002F36F5" w:rsidRDefault="00242D9F">
      <w:pPr>
        <w:pStyle w:val="Author"/>
        <w:rPr>
          <w:rFonts w:eastAsia="MS Mincho"/>
        </w:rPr>
      </w:pPr>
      <w:r w:rsidRPr="002F36F5">
        <w:rPr>
          <w:rFonts w:eastAsia="MS Mincho"/>
        </w:rPr>
        <w:t>Javier Muñoz Sáez</w:t>
      </w:r>
      <w:r w:rsidR="008A55B5" w:rsidRPr="002F36F5">
        <w:rPr>
          <w:rFonts w:eastAsia="MS Mincho"/>
        </w:rPr>
        <w:t xml:space="preserve"> (</w:t>
      </w:r>
      <w:r w:rsidR="008A55B5" w:rsidRPr="002F36F5">
        <w:rPr>
          <w:rFonts w:eastAsia="MS Mincho"/>
          <w:i/>
        </w:rPr>
        <w:t>Author</w:t>
      </w:r>
      <w:r w:rsidR="008A55B5" w:rsidRPr="002F36F5">
        <w:rPr>
          <w:rFonts w:eastAsia="MS Mincho"/>
        </w:rPr>
        <w:t>)</w:t>
      </w:r>
    </w:p>
    <w:p w14:paraId="76E18353" w14:textId="52B1C797" w:rsidR="008A55B5" w:rsidRDefault="00242D9F">
      <w:pPr>
        <w:pStyle w:val="Affiliation"/>
        <w:rPr>
          <w:rFonts w:eastAsia="MS Mincho"/>
        </w:rPr>
      </w:pPr>
      <w:r>
        <w:rPr>
          <w:rFonts w:eastAsia="MS Mincho"/>
        </w:rPr>
        <w:t>UPC</w:t>
      </w:r>
    </w:p>
    <w:p w14:paraId="4477F9A5" w14:textId="35D9A886" w:rsidR="008A55B5" w:rsidRDefault="00242D9F">
      <w:pPr>
        <w:pStyle w:val="Affiliation"/>
        <w:rPr>
          <w:rFonts w:eastAsia="MS Mincho"/>
        </w:rPr>
      </w:pPr>
      <w:r>
        <w:rPr>
          <w:rFonts w:eastAsia="MS Mincho"/>
        </w:rPr>
        <w:t>Catalonia- Spain</w:t>
      </w:r>
    </w:p>
    <w:p w14:paraId="49B0F766" w14:textId="298A309D" w:rsidR="008A55B5" w:rsidRDefault="00242D9F">
      <w:pPr>
        <w:pStyle w:val="Affiliation"/>
        <w:rPr>
          <w:rFonts w:eastAsia="MS Mincho"/>
        </w:rPr>
      </w:pPr>
      <w:r>
        <w:rPr>
          <w:rFonts w:eastAsia="MS Mincho"/>
        </w:rPr>
        <w:t>Javier.munoz.saez@upc.edu</w:t>
      </w:r>
    </w:p>
    <w:p w14:paraId="1A593FF2" w14:textId="77777777" w:rsidR="008A55B5" w:rsidRDefault="008A55B5">
      <w:pPr>
        <w:pStyle w:val="Affiliation"/>
        <w:rPr>
          <w:rFonts w:eastAsia="MS Mincho"/>
        </w:rPr>
      </w:pPr>
    </w:p>
    <w:p w14:paraId="6CF6E7A6" w14:textId="77777777" w:rsidR="008A55B5" w:rsidRDefault="008A55B5" w:rsidP="009A7743"/>
    <w:p w14:paraId="5721C91C" w14:textId="77777777" w:rsidR="008A55B5" w:rsidRDefault="008A55B5" w:rsidP="009A7743">
      <w:pPr>
        <w:sectPr w:rsidR="008A55B5" w:rsidSect="006C4648">
          <w:type w:val="continuous"/>
          <w:pgSz w:w="11909" w:h="16834" w:code="9"/>
          <w:pgMar w:top="1080" w:right="734" w:bottom="2434" w:left="734" w:header="720" w:footer="720" w:gutter="0"/>
          <w:cols w:space="720"/>
          <w:docGrid w:linePitch="360"/>
        </w:sectPr>
      </w:pPr>
    </w:p>
    <w:p w14:paraId="462D101D" w14:textId="74888365" w:rsidR="008A55B5" w:rsidRDefault="008A55B5">
      <w:pPr>
        <w:pStyle w:val="Abstract"/>
        <w:rPr>
          <w:rFonts w:eastAsia="MS Mincho"/>
        </w:rPr>
      </w:pPr>
      <w:r>
        <w:rPr>
          <w:rFonts w:eastAsia="MS Mincho"/>
          <w:i/>
          <w:iCs/>
        </w:rPr>
        <w:t>Abstract</w:t>
      </w:r>
      <w:r>
        <w:rPr>
          <w:rFonts w:eastAsia="MS Mincho"/>
        </w:rPr>
        <w:t>—</w:t>
      </w:r>
      <w:r w:rsidR="002F36F5">
        <w:t xml:space="preserve">This report presents a study of a small energy distribution-generation-consumption network and examines the impact </w:t>
      </w:r>
      <w:r w:rsidR="00B02F47">
        <w:t xml:space="preserve">in market clearing and power flow </w:t>
      </w:r>
      <w:r w:rsidR="002F36F5">
        <w:t xml:space="preserve">of adding a wind </w:t>
      </w:r>
      <w:r w:rsidR="002F36F5">
        <w:t>power plant</w:t>
      </w:r>
      <w:r w:rsidR="002F36F5">
        <w:t xml:space="preserve">. GAMS (General Algebraic Modeling System) </w:t>
      </w:r>
      <w:r w:rsidR="00B02F47">
        <w:t>is</w:t>
      </w:r>
      <w:r w:rsidR="002F36F5">
        <w:t xml:space="preserve"> used to find the market equilibrium for both scenarios.</w:t>
      </w:r>
    </w:p>
    <w:p w14:paraId="49CFF350" w14:textId="333D488A" w:rsidR="008A55B5" w:rsidRDefault="0072064C">
      <w:pPr>
        <w:pStyle w:val="keywords"/>
      </w:pPr>
      <w:r>
        <w:rPr>
          <w:rFonts w:eastAsia="MS Mincho"/>
        </w:rPr>
        <w:t>Keywords</w:t>
      </w:r>
      <w:r w:rsidR="002F36F5">
        <w:rPr>
          <w:rFonts w:eastAsia="MS Mincho"/>
        </w:rPr>
        <w:t xml:space="preserve">: </w:t>
      </w:r>
      <w:r w:rsidR="002F36F5">
        <w:t xml:space="preserve">Energy Distribution; Energy Generation; Energy Consumption; Wind </w:t>
      </w:r>
      <w:r w:rsidR="002F36F5">
        <w:t>Power Plant</w:t>
      </w:r>
      <w:r w:rsidR="002F36F5">
        <w:t xml:space="preserve"> Integration; Market Equilibrium; Day-Ahead Market; Renewable Energy; GAMS</w:t>
      </w:r>
      <w:r w:rsidR="002F36F5">
        <w:t xml:space="preserve">; </w:t>
      </w:r>
      <w:r w:rsidR="002F36F5">
        <w:t>Electricity Market Analysis</w:t>
      </w:r>
      <w:r w:rsidR="00EC6ECE">
        <w:t>; TCMA.</w:t>
      </w:r>
    </w:p>
    <w:p w14:paraId="1FEB4D8A" w14:textId="77777777" w:rsidR="006D62E4" w:rsidRDefault="006D62E4">
      <w:pPr>
        <w:pStyle w:val="keywords"/>
        <w:rPr>
          <w:rFonts w:eastAsia="MS Mincho"/>
        </w:rPr>
      </w:pPr>
    </w:p>
    <w:p w14:paraId="49B6288B" w14:textId="14234DAC" w:rsidR="008A55B5" w:rsidRDefault="008A55B5" w:rsidP="009A7743">
      <w:pPr>
        <w:pStyle w:val="Heading1"/>
      </w:pPr>
      <w:r>
        <w:t xml:space="preserve"> Introduction </w:t>
      </w:r>
    </w:p>
    <w:p w14:paraId="59B00CD5" w14:textId="1ACB6491" w:rsidR="00C70742" w:rsidRDefault="007E5C07" w:rsidP="00EC6ECE">
      <w:r>
        <w:t xml:space="preserve">A </w:t>
      </w:r>
      <w:r w:rsidR="009A7743" w:rsidRPr="009A7743">
        <w:t>simplified representation of the day-ahead electricity market of a fictitious country is used to analyze the optimization problem, modeling it as a TC</w:t>
      </w:r>
      <w:r w:rsidR="00EC6ECE">
        <w:t>MA</w:t>
      </w:r>
      <w:r w:rsidR="009A7743" w:rsidRPr="009A7743">
        <w:t xml:space="preserve"> (Transmission Constrained Multi-Period Auction Model).</w:t>
      </w:r>
    </w:p>
    <w:p w14:paraId="65F76F97" w14:textId="77777777" w:rsidR="003843AF" w:rsidRPr="00C01C1B" w:rsidRDefault="003843AF" w:rsidP="003843AF">
      <w:r>
        <w:t>The proposed fictitious market has 4 buses, 3 Demand points, 5 Generation points and 5 power lines is organized as seen in Fig 1.</w:t>
      </w:r>
    </w:p>
    <w:p w14:paraId="6080E452" w14:textId="77777777" w:rsidR="003843AF" w:rsidRDefault="003843AF" w:rsidP="003843AF">
      <w:r>
        <w:rPr>
          <w:noProof/>
        </w:rPr>
        <w:drawing>
          <wp:inline distT="0" distB="0" distL="0" distR="0" wp14:anchorId="1F20ED51" wp14:editId="4D3CEC74">
            <wp:extent cx="2824843" cy="19504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29894" cy="1953975"/>
                    </a:xfrm>
                    <a:prstGeom prst="rect">
                      <a:avLst/>
                    </a:prstGeom>
                    <a:noFill/>
                    <a:ln>
                      <a:noFill/>
                    </a:ln>
                  </pic:spPr>
                </pic:pic>
              </a:graphicData>
            </a:graphic>
          </wp:inline>
        </w:drawing>
      </w:r>
    </w:p>
    <w:p w14:paraId="4BC41047" w14:textId="77777777" w:rsidR="003843AF" w:rsidRDefault="003843AF" w:rsidP="003843AF">
      <w:pPr>
        <w:pStyle w:val="Caption"/>
      </w:pPr>
      <w:r w:rsidRPr="00280165">
        <w:t xml:space="preserve">Fig </w:t>
      </w:r>
      <w:r w:rsidRPr="00280165">
        <w:fldChar w:fldCharType="begin"/>
      </w:r>
      <w:r w:rsidRPr="00280165">
        <w:instrText xml:space="preserve"> SEQ Figure \* ARABIC </w:instrText>
      </w:r>
      <w:r w:rsidRPr="00280165">
        <w:fldChar w:fldCharType="separate"/>
      </w:r>
      <w:r w:rsidRPr="00280165">
        <w:rPr>
          <w:noProof/>
        </w:rPr>
        <w:t>1</w:t>
      </w:r>
      <w:r w:rsidRPr="00280165">
        <w:fldChar w:fldCharType="end"/>
      </w:r>
      <w:r>
        <w:t>. Single line diagram of the studied network (WPP in blue)</w:t>
      </w:r>
    </w:p>
    <w:p w14:paraId="3BB1629D" w14:textId="77777777" w:rsidR="003843AF" w:rsidRDefault="003843AF" w:rsidP="003843AF">
      <w:r>
        <w:t xml:space="preserve">The special case in which an extra WPP is added in the bus3 is highlighted in blue. </w:t>
      </w:r>
    </w:p>
    <w:p w14:paraId="07DDE06D" w14:textId="77777777" w:rsidR="003843AF" w:rsidRDefault="003843AF" w:rsidP="00EC6ECE"/>
    <w:p w14:paraId="18434458" w14:textId="73773FBF" w:rsidR="00242D9F" w:rsidRDefault="00242D9F" w:rsidP="009A7743">
      <w:pPr>
        <w:pStyle w:val="Heading2"/>
      </w:pPr>
      <w:r>
        <w:t xml:space="preserve">Objectives of the study </w:t>
      </w:r>
    </w:p>
    <w:p w14:paraId="1C020358" w14:textId="77777777" w:rsidR="006D62E4" w:rsidRDefault="006D62E4" w:rsidP="007E5C07">
      <w:r w:rsidRPr="006D62E4">
        <w:t>The goal is to find the equilibrium points of the base case, which is the system without the wind power plant (WPP). After that, the WPP will be introduced at bus 3, and the equilibrium points identified by GAMS for both scenarios will be compared.</w:t>
      </w:r>
    </w:p>
    <w:p w14:paraId="32B224A7" w14:textId="67182B70" w:rsidR="006D62E4" w:rsidRDefault="006D62E4" w:rsidP="006D62E4">
      <w:r w:rsidRPr="006D62E4">
        <w:t xml:space="preserve"> The key parameters for this comparison will be nodal prices, traded energy at each bus and time period, aggregated generation and demand functions, powerline congestions, economic transactions of producers and consumers, and merchandising surplus.</w:t>
      </w:r>
    </w:p>
    <w:p w14:paraId="6FB129A6" w14:textId="77777777" w:rsidR="006D62E4" w:rsidRPr="007E5C07" w:rsidRDefault="006D62E4" w:rsidP="006D62E4"/>
    <w:p w14:paraId="1B136851" w14:textId="31AE3A48" w:rsidR="003843AF" w:rsidRPr="003843AF" w:rsidRDefault="00242D9F" w:rsidP="003843AF">
      <w:pPr>
        <w:pStyle w:val="Heading2"/>
      </w:pPr>
      <w:r>
        <w:t>Structure of the report</w:t>
      </w:r>
    </w:p>
    <w:p w14:paraId="7982CDAB" w14:textId="4C62E9BD" w:rsidR="006D62E4" w:rsidRDefault="006D62E4" w:rsidP="006D62E4">
      <w:r w:rsidRPr="006D62E4">
        <w:t>The report begins with a description of both mode</w:t>
      </w:r>
      <w:r w:rsidR="00E3596C">
        <w:t>l’s characteristics</w:t>
      </w:r>
      <w:r w:rsidRPr="006D62E4">
        <w:t>, with and without the WPP (</w:t>
      </w:r>
      <w:r>
        <w:t>Single-line diagram</w:t>
      </w:r>
      <w:r w:rsidRPr="006D62E4">
        <w:t>).</w:t>
      </w:r>
    </w:p>
    <w:p w14:paraId="1CCB5AE9" w14:textId="76212F72" w:rsidR="006D62E4" w:rsidRDefault="006D62E4" w:rsidP="006D62E4">
      <w:r w:rsidRPr="006D62E4">
        <w:t xml:space="preserve"> Next, </w:t>
      </w:r>
      <w:r w:rsidR="00E3596C">
        <w:t>point II</w:t>
      </w:r>
      <w:r w:rsidRPr="006D62E4">
        <w:t xml:space="preserve"> explains in detail </w:t>
      </w:r>
      <w:r w:rsidR="00E3596C">
        <w:t xml:space="preserve">the data and </w:t>
      </w:r>
      <w:r w:rsidRPr="006D62E4">
        <w:t xml:space="preserve">how is translated into the TCMA mathematical model. </w:t>
      </w:r>
    </w:p>
    <w:p w14:paraId="27286FF3" w14:textId="3BF79DA0" w:rsidR="006D62E4" w:rsidRDefault="006D62E4" w:rsidP="006D62E4">
      <w:r w:rsidRPr="006D62E4">
        <w:t xml:space="preserve">Following </w:t>
      </w:r>
      <w:r w:rsidR="003843AF">
        <w:t xml:space="preserve">with </w:t>
      </w:r>
      <w:r w:rsidR="003843AF">
        <w:t>point II</w:t>
      </w:r>
      <w:r w:rsidR="003843AF">
        <w:t>I</w:t>
      </w:r>
      <w:r w:rsidRPr="006D62E4">
        <w:t xml:space="preserve">, the results obtained by GAMS are presented. A MATLAB script is used to visualize the different market clearings for each bus and each time period. </w:t>
      </w:r>
    </w:p>
    <w:p w14:paraId="6CC77095" w14:textId="3548088A" w:rsidR="006D62E4" w:rsidRDefault="006D62E4" w:rsidP="006D62E4">
      <w:r w:rsidRPr="006D62E4">
        <w:t xml:space="preserve">Finally, the report </w:t>
      </w:r>
      <w:r w:rsidR="003843AF">
        <w:t>ends with IV</w:t>
      </w:r>
      <w:r w:rsidRPr="006D62E4">
        <w:t xml:space="preserve"> with brief conclusions and references.</w:t>
      </w:r>
    </w:p>
    <w:p w14:paraId="277C6D47" w14:textId="77777777" w:rsidR="003843AF" w:rsidRPr="006D62E4" w:rsidRDefault="003843AF" w:rsidP="006D62E4"/>
    <w:p w14:paraId="274D4EB9" w14:textId="6E4B2F16" w:rsidR="008A55B5" w:rsidRDefault="00242D9F" w:rsidP="009A7743">
      <w:pPr>
        <w:pStyle w:val="Heading1"/>
      </w:pPr>
      <w:r>
        <w:t>DEscription of the problem and mathematical model</w:t>
      </w:r>
    </w:p>
    <w:p w14:paraId="1FE4ADCB" w14:textId="32DB49DE" w:rsidR="00E3596C" w:rsidRDefault="00E3596C" w:rsidP="00E3596C">
      <w:pPr>
        <w:pStyle w:val="Heading2"/>
      </w:pPr>
      <w:r>
        <w:t>Presenting  model characteristics</w:t>
      </w:r>
    </w:p>
    <w:p w14:paraId="1BBF4E19" w14:textId="744A9EDA" w:rsidR="00E3596C" w:rsidRDefault="00E3596C" w:rsidP="00E3596C">
      <w:r>
        <w:t xml:space="preserve">All 5 Generation units are modeled following the data provided in Table1. Each Generator offers two different blocks (indexed as k) with its corresponding power in MW and price in €/Mwh. Limitations such as maximum/minimum powers and ramp up/down parameters are also </w:t>
      </w:r>
      <w:r w:rsidR="00BE357D">
        <w:t>provided;</w:t>
      </w:r>
      <w:r>
        <w:t xml:space="preserve"> those define real market constraints.</w:t>
      </w:r>
    </w:p>
    <w:p w14:paraId="1523DD64" w14:textId="77777777" w:rsidR="00E3596C" w:rsidRDefault="00E3596C" w:rsidP="00E3596C">
      <w:pPr>
        <w:pStyle w:val="Caption"/>
        <w:keepNext/>
        <w:jc w:val="center"/>
      </w:pPr>
      <w:r>
        <w:lastRenderedPageBreak/>
        <w:t xml:space="preserve">Table </w:t>
      </w:r>
      <w:r>
        <w:fldChar w:fldCharType="begin"/>
      </w:r>
      <w:r>
        <w:instrText xml:space="preserve"> SEQ Table \* ARABIC </w:instrText>
      </w:r>
      <w:r>
        <w:fldChar w:fldCharType="separate"/>
      </w:r>
      <w:r>
        <w:rPr>
          <w:noProof/>
        </w:rPr>
        <w:t>1</w:t>
      </w:r>
      <w:r>
        <w:fldChar w:fldCharType="end"/>
      </w:r>
      <w:r>
        <w:t xml:space="preserve">, </w:t>
      </w:r>
      <w:r w:rsidRPr="00D44D52">
        <w:t>Base Model – Producers Characteristics</w:t>
      </w:r>
    </w:p>
    <w:p w14:paraId="1BF103AC" w14:textId="77777777" w:rsidR="00E3596C" w:rsidRDefault="00E3596C" w:rsidP="00E3596C">
      <w:pPr>
        <w:jc w:val="center"/>
      </w:pPr>
      <w:r>
        <w:rPr>
          <w:noProof/>
        </w:rPr>
        <w:drawing>
          <wp:inline distT="0" distB="0" distL="0" distR="0" wp14:anchorId="5886F8B3" wp14:editId="3082EAF2">
            <wp:extent cx="2901043" cy="9169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12672" cy="920613"/>
                    </a:xfrm>
                    <a:prstGeom prst="rect">
                      <a:avLst/>
                    </a:prstGeom>
                    <a:noFill/>
                    <a:ln>
                      <a:noFill/>
                    </a:ln>
                  </pic:spPr>
                </pic:pic>
              </a:graphicData>
            </a:graphic>
          </wp:inline>
        </w:drawing>
      </w:r>
    </w:p>
    <w:p w14:paraId="082695C2" w14:textId="77777777" w:rsidR="00E3596C" w:rsidRDefault="00E3596C" w:rsidP="00E3596C">
      <w:pPr>
        <w:ind w:firstLine="0"/>
      </w:pPr>
    </w:p>
    <w:p w14:paraId="4B4BF6C3" w14:textId="337B55BE" w:rsidR="00E3596C" w:rsidRDefault="00E3596C" w:rsidP="00E3596C">
      <w:pPr>
        <w:ind w:firstLine="0"/>
      </w:pPr>
      <w:r>
        <w:tab/>
        <w:t>The extra WPP (wind power plant) characteristics is modeled following the data in Table2. This new power plant offers its limited energy (in comparison to the other generation plants) at 0 €/MWh</w:t>
      </w:r>
      <w:r w:rsidR="00693D27">
        <w:t>, this 0 price makes its power very attractive and its included first in every auction</w:t>
      </w:r>
      <w:r>
        <w:t xml:space="preserve">. </w:t>
      </w:r>
      <w:r w:rsidRPr="005F081F">
        <w:t>It does not have maximum or minimum power constraints, nor is it limited by any ramp-up or ramp-down limits.</w:t>
      </w:r>
    </w:p>
    <w:p w14:paraId="3C467506" w14:textId="77777777" w:rsidR="00E3596C" w:rsidRDefault="00E3596C" w:rsidP="00E3596C">
      <w:pPr>
        <w:pStyle w:val="Caption"/>
        <w:keepNext/>
        <w:jc w:val="center"/>
      </w:pPr>
      <w:r>
        <w:t xml:space="preserve">Table </w:t>
      </w:r>
      <w:r>
        <w:fldChar w:fldCharType="begin"/>
      </w:r>
      <w:r>
        <w:instrText xml:space="preserve"> SEQ Table \* ARABIC </w:instrText>
      </w:r>
      <w:r>
        <w:fldChar w:fldCharType="separate"/>
      </w:r>
      <w:r>
        <w:rPr>
          <w:noProof/>
        </w:rPr>
        <w:t>2</w:t>
      </w:r>
      <w:r>
        <w:fldChar w:fldCharType="end"/>
      </w:r>
      <w:r>
        <w:t>, Generator 6, Windpower plant characteristics</w:t>
      </w:r>
    </w:p>
    <w:p w14:paraId="76044D61" w14:textId="77777777" w:rsidR="00E3596C" w:rsidRDefault="00E3596C" w:rsidP="00E3596C">
      <w:pPr>
        <w:jc w:val="center"/>
      </w:pPr>
      <w:r w:rsidRPr="005F081F">
        <w:drawing>
          <wp:inline distT="0" distB="0" distL="0" distR="0" wp14:anchorId="0A24F65A" wp14:editId="470B8D59">
            <wp:extent cx="2378529" cy="369636"/>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7694" cy="375723"/>
                    </a:xfrm>
                    <a:prstGeom prst="rect">
                      <a:avLst/>
                    </a:prstGeom>
                  </pic:spPr>
                </pic:pic>
              </a:graphicData>
            </a:graphic>
          </wp:inline>
        </w:drawing>
      </w:r>
    </w:p>
    <w:p w14:paraId="1E197927" w14:textId="77777777" w:rsidR="00E3596C" w:rsidRDefault="00E3596C" w:rsidP="00E3596C"/>
    <w:p w14:paraId="52498AD5" w14:textId="77777777" w:rsidR="00E3596C" w:rsidRDefault="00E3596C" w:rsidP="00E3596C">
      <w:r w:rsidRPr="00E3596C">
        <w:t>The three demand points D1, D2, D3 (indexed by i) will be modeled using the parameters from Table 3. Similar to the generators in Table 1, these also offer multiple demand blocks, in this case three (indexed by k), each with its power in MW and associated price in €/MWh.</w:t>
      </w:r>
    </w:p>
    <w:p w14:paraId="6A5FFA06" w14:textId="77777777" w:rsidR="00E3596C" w:rsidRDefault="00E3596C" w:rsidP="00E3596C">
      <w:pPr>
        <w:pStyle w:val="Caption"/>
        <w:keepNext/>
        <w:jc w:val="center"/>
      </w:pPr>
      <w:r>
        <w:t xml:space="preserve">Table </w:t>
      </w:r>
      <w:r>
        <w:fldChar w:fldCharType="begin"/>
      </w:r>
      <w:r>
        <w:instrText xml:space="preserve"> SEQ Table \* ARABIC </w:instrText>
      </w:r>
      <w:r>
        <w:fldChar w:fldCharType="separate"/>
      </w:r>
      <w:r>
        <w:rPr>
          <w:noProof/>
        </w:rPr>
        <w:t>3</w:t>
      </w:r>
      <w:r>
        <w:fldChar w:fldCharType="end"/>
      </w:r>
      <w:r>
        <w:t>,</w:t>
      </w:r>
      <w:r w:rsidRPr="005F081F">
        <w:t xml:space="preserve"> </w:t>
      </w:r>
      <w:r>
        <w:t>Consumers</w:t>
      </w:r>
      <w:r w:rsidRPr="00D44D52">
        <w:t xml:space="preserve"> Characteristics</w:t>
      </w:r>
    </w:p>
    <w:p w14:paraId="7F07A08D" w14:textId="77777777" w:rsidR="00E3596C" w:rsidRDefault="00E3596C" w:rsidP="00E3596C">
      <w:pPr>
        <w:jc w:val="center"/>
      </w:pPr>
      <w:r w:rsidRPr="005F081F">
        <w:drawing>
          <wp:inline distT="0" distB="0" distL="0" distR="0" wp14:anchorId="213A6115" wp14:editId="57AB1C9F">
            <wp:extent cx="2237014" cy="1842430"/>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49899" cy="1853042"/>
                    </a:xfrm>
                    <a:prstGeom prst="rect">
                      <a:avLst/>
                    </a:prstGeom>
                  </pic:spPr>
                </pic:pic>
              </a:graphicData>
            </a:graphic>
          </wp:inline>
        </w:drawing>
      </w:r>
    </w:p>
    <w:p w14:paraId="62A74266" w14:textId="77777777" w:rsidR="00E3596C" w:rsidRDefault="00E3596C" w:rsidP="00E3596C"/>
    <w:p w14:paraId="45AB2297" w14:textId="77777777" w:rsidR="00E3596C" w:rsidRDefault="00E3596C" w:rsidP="00E3596C">
      <w:r w:rsidRPr="00E3596C">
        <w:t xml:space="preserve">Finally, the five transmission lines are modeled using the data from Table 4. These data complete this DC-OPF model with reactance </w:t>
      </w:r>
      <w:r>
        <w:t>xkl</w:t>
      </w:r>
      <w:r w:rsidRPr="00E3596C">
        <w:t xml:space="preserve"> [p.u.], line capacity </w:t>
      </w:r>
      <w:r>
        <w:t>Smax</w:t>
      </w:r>
      <w:r w:rsidRPr="00E3596C">
        <w:t xml:space="preserve"> [MW], and base power </w:t>
      </w:r>
      <w:r>
        <w:t>sb=100</w:t>
      </w:r>
      <w:r w:rsidRPr="00E3596C">
        <w:t xml:space="preserve"> [MW].</w:t>
      </w:r>
    </w:p>
    <w:p w14:paraId="515AC509" w14:textId="77777777" w:rsidR="00E3596C" w:rsidRDefault="00E3596C" w:rsidP="00E3596C">
      <w:r>
        <w:t>These lines will allow each bus to share excess power or excess demand with other buses</w:t>
      </w:r>
    </w:p>
    <w:p w14:paraId="2245BD5E" w14:textId="77777777" w:rsidR="00E3596C" w:rsidRDefault="00E3596C" w:rsidP="00E3596C">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Transmission lines Characteristics</w:t>
      </w:r>
    </w:p>
    <w:p w14:paraId="21AD987A" w14:textId="50FA03C4" w:rsidR="00E3596C" w:rsidRPr="00E3596C" w:rsidRDefault="00E3596C" w:rsidP="00E3596C">
      <w:pPr>
        <w:ind w:firstLine="0"/>
        <w:jc w:val="center"/>
      </w:pPr>
      <w:r w:rsidRPr="00E3596C">
        <w:drawing>
          <wp:inline distT="0" distB="0" distL="0" distR="0" wp14:anchorId="5A75F03A" wp14:editId="798DD38F">
            <wp:extent cx="1248356" cy="91984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65628" cy="932570"/>
                    </a:xfrm>
                    <a:prstGeom prst="rect">
                      <a:avLst/>
                    </a:prstGeom>
                  </pic:spPr>
                </pic:pic>
              </a:graphicData>
            </a:graphic>
          </wp:inline>
        </w:drawing>
      </w:r>
    </w:p>
    <w:p w14:paraId="2787AE32" w14:textId="10A5F788" w:rsidR="00E3596C" w:rsidRDefault="00E3596C" w:rsidP="00E3596C">
      <w:pPr>
        <w:pStyle w:val="Heading2"/>
      </w:pPr>
      <w:r>
        <w:t xml:space="preserve">Presenting  </w:t>
      </w:r>
      <w:r>
        <w:t>mathematical ecuations</w:t>
      </w:r>
      <w:r w:rsidR="00BE357D">
        <w:t xml:space="preserve"> (</w:t>
      </w:r>
      <w:r w:rsidR="00AA4332">
        <w:t>TC</w:t>
      </w:r>
      <w:r w:rsidR="00BE357D">
        <w:t>MPA</w:t>
      </w:r>
      <w:r w:rsidR="00AA4332">
        <w:t xml:space="preserve"> transmission constrained</w:t>
      </w:r>
      <w:r w:rsidR="00BE357D">
        <w:t xml:space="preserve"> multiperiod auction equations)</w:t>
      </w:r>
    </w:p>
    <w:p w14:paraId="6E2EE824" w14:textId="2DF940E7" w:rsidR="00BE357D" w:rsidRDefault="000833E2" w:rsidP="00BE357D">
      <w:r>
        <w:t xml:space="preserve">The optimization objective is to maximize Social Welfare (SW) </w:t>
      </w:r>
      <w:r w:rsidR="00BE357D">
        <w:t>within every node (bus)</w:t>
      </w:r>
      <w:r w:rsidR="00AA4332">
        <w:t xml:space="preserve"> where all powers (generated or demanded) are positive variables</w:t>
      </w:r>
      <w:r w:rsidR="00BE357D">
        <w:t>.</w:t>
      </w:r>
    </w:p>
    <w:p w14:paraId="7910781F" w14:textId="512594E3" w:rsidR="00BE357D" w:rsidRDefault="00BE357D" w:rsidP="00BE357D">
      <w:pPr>
        <w:pStyle w:val="Caption"/>
        <w:keepNext/>
        <w:jc w:val="center"/>
      </w:pPr>
      <w:r>
        <w:t xml:space="preserve">Equation </w:t>
      </w:r>
      <w:r>
        <w:fldChar w:fldCharType="begin"/>
      </w:r>
      <w:r>
        <w:instrText xml:space="preserve"> SEQ Equation \* ARABIC </w:instrText>
      </w:r>
      <w:r>
        <w:fldChar w:fldCharType="separate"/>
      </w:r>
      <w:r w:rsidR="00C71AAE">
        <w:rPr>
          <w:noProof/>
        </w:rPr>
        <w:t>1</w:t>
      </w:r>
      <w:r>
        <w:fldChar w:fldCharType="end"/>
      </w:r>
      <w:r>
        <w:t>, Social welfare maximization.</w:t>
      </w:r>
    </w:p>
    <w:p w14:paraId="1794B80F" w14:textId="44F057C1" w:rsidR="00BE357D" w:rsidRDefault="00BE357D" w:rsidP="00BE357D">
      <w:pPr>
        <w:jc w:val="center"/>
      </w:pPr>
      <w:r w:rsidRPr="00BE357D">
        <w:drawing>
          <wp:inline distT="0" distB="0" distL="0" distR="0" wp14:anchorId="699CD76A" wp14:editId="6DB8FC9B">
            <wp:extent cx="1285875" cy="9552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94637" cy="961730"/>
                    </a:xfrm>
                    <a:prstGeom prst="rect">
                      <a:avLst/>
                    </a:prstGeom>
                  </pic:spPr>
                </pic:pic>
              </a:graphicData>
            </a:graphic>
          </wp:inline>
        </w:drawing>
      </w:r>
    </w:p>
    <w:p w14:paraId="536351F8" w14:textId="790E8BAA" w:rsidR="00AA4332" w:rsidRDefault="00AA4332" w:rsidP="00AA4332">
      <w:pPr>
        <w:jc w:val="left"/>
      </w:pPr>
      <w:r>
        <w:t>That SW is subject to the following rules Equation2</w:t>
      </w:r>
    </w:p>
    <w:p w14:paraId="1ECB1440" w14:textId="00BF7AD1" w:rsidR="00AA4332" w:rsidRDefault="00AA4332" w:rsidP="00AA4332">
      <w:pPr>
        <w:pStyle w:val="Caption"/>
        <w:keepNext/>
        <w:jc w:val="center"/>
      </w:pPr>
      <w:r>
        <w:t xml:space="preserve">Equation </w:t>
      </w:r>
      <w:r>
        <w:fldChar w:fldCharType="begin"/>
      </w:r>
      <w:r>
        <w:instrText xml:space="preserve"> SEQ Equation \* ARABIC </w:instrText>
      </w:r>
      <w:r>
        <w:fldChar w:fldCharType="separate"/>
      </w:r>
      <w:r w:rsidR="00C71AAE">
        <w:rPr>
          <w:noProof/>
        </w:rPr>
        <w:t>2</w:t>
      </w:r>
      <w:r>
        <w:fldChar w:fldCharType="end"/>
      </w:r>
      <w:r>
        <w:t>, Matched generation and demand</w:t>
      </w:r>
    </w:p>
    <w:p w14:paraId="56349AEC" w14:textId="1E43A1ED" w:rsidR="00AA4332" w:rsidRDefault="00AA4332" w:rsidP="00AD268E">
      <w:pPr>
        <w:jc w:val="center"/>
      </w:pPr>
      <w:r w:rsidRPr="00AA4332">
        <w:drawing>
          <wp:inline distT="0" distB="0" distL="0" distR="0" wp14:anchorId="315197A9" wp14:editId="5B38E823">
            <wp:extent cx="1567542" cy="1103084"/>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88502" cy="1117834"/>
                    </a:xfrm>
                    <a:prstGeom prst="rect">
                      <a:avLst/>
                    </a:prstGeom>
                  </pic:spPr>
                </pic:pic>
              </a:graphicData>
            </a:graphic>
          </wp:inline>
        </w:drawing>
      </w:r>
    </w:p>
    <w:p w14:paraId="3353277E" w14:textId="162CC23B" w:rsidR="00AA4332" w:rsidRDefault="00AA4332" w:rsidP="00AA4332">
      <w:pPr>
        <w:jc w:val="left"/>
      </w:pPr>
      <w:r>
        <w:t>The generation ramp up/down limits are modeled with Equation</w:t>
      </w:r>
      <w:r w:rsidR="00AD268E">
        <w:t>3</w:t>
      </w:r>
      <w:r>
        <w:t>.</w:t>
      </w:r>
    </w:p>
    <w:p w14:paraId="6AECB532" w14:textId="7E633EA1" w:rsidR="00AD268E" w:rsidRDefault="00AD268E" w:rsidP="00AD268E">
      <w:pPr>
        <w:pStyle w:val="Caption"/>
        <w:keepNext/>
        <w:jc w:val="center"/>
      </w:pPr>
      <w:r>
        <w:t xml:space="preserve">Equation </w:t>
      </w:r>
      <w:r>
        <w:fldChar w:fldCharType="begin"/>
      </w:r>
      <w:r>
        <w:instrText xml:space="preserve"> SEQ Equation \* ARABIC </w:instrText>
      </w:r>
      <w:r>
        <w:fldChar w:fldCharType="separate"/>
      </w:r>
      <w:r w:rsidR="00C71AAE">
        <w:rPr>
          <w:noProof/>
        </w:rPr>
        <w:t>3</w:t>
      </w:r>
      <w:r>
        <w:fldChar w:fldCharType="end"/>
      </w:r>
    </w:p>
    <w:p w14:paraId="3CEB6722" w14:textId="220F2F60" w:rsidR="00E3596C" w:rsidRDefault="00AA4332" w:rsidP="00AA4332">
      <w:pPr>
        <w:jc w:val="center"/>
      </w:pPr>
      <w:r w:rsidRPr="00AA4332">
        <w:drawing>
          <wp:inline distT="0" distB="0" distL="0" distR="0" wp14:anchorId="18B458E2" wp14:editId="6D250CBC">
            <wp:extent cx="1681843" cy="49466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29228" cy="508597"/>
                    </a:xfrm>
                    <a:prstGeom prst="rect">
                      <a:avLst/>
                    </a:prstGeom>
                  </pic:spPr>
                </pic:pic>
              </a:graphicData>
            </a:graphic>
          </wp:inline>
        </w:drawing>
      </w:r>
    </w:p>
    <w:p w14:paraId="3B993EEE" w14:textId="55A0FE8B" w:rsidR="00AA4332" w:rsidRPr="00E3596C" w:rsidRDefault="00AA4332" w:rsidP="00E3596C">
      <w:r>
        <w:t>The generation maximum/minimum limits translate to equation</w:t>
      </w:r>
      <w:r w:rsidR="00AD268E">
        <w:t>4</w:t>
      </w:r>
      <w:r>
        <w:t>.</w:t>
      </w:r>
    </w:p>
    <w:p w14:paraId="42BBDD0D" w14:textId="7D9C7FFA" w:rsidR="00AA4332" w:rsidRDefault="00AA4332" w:rsidP="00AA4332">
      <w:pPr>
        <w:pStyle w:val="Caption"/>
        <w:keepNext/>
        <w:jc w:val="center"/>
      </w:pPr>
      <w:r>
        <w:t xml:space="preserve">Equation </w:t>
      </w:r>
      <w:r>
        <w:fldChar w:fldCharType="begin"/>
      </w:r>
      <w:r>
        <w:instrText xml:space="preserve"> SEQ Equation \* ARABIC </w:instrText>
      </w:r>
      <w:r>
        <w:fldChar w:fldCharType="separate"/>
      </w:r>
      <w:r w:rsidR="00C71AAE">
        <w:rPr>
          <w:noProof/>
        </w:rPr>
        <w:t>4</w:t>
      </w:r>
      <w:r>
        <w:fldChar w:fldCharType="end"/>
      </w:r>
    </w:p>
    <w:p w14:paraId="5DDDF833" w14:textId="041B05F4" w:rsidR="00E3596C" w:rsidRDefault="00AA4332" w:rsidP="00AA4332">
      <w:pPr>
        <w:jc w:val="center"/>
      </w:pPr>
      <w:r w:rsidRPr="00AA4332">
        <w:drawing>
          <wp:inline distT="0" distB="0" distL="0" distR="0" wp14:anchorId="03AFADA3" wp14:editId="004AD746">
            <wp:extent cx="1360714" cy="475318"/>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77338" cy="481125"/>
                    </a:xfrm>
                    <a:prstGeom prst="rect">
                      <a:avLst/>
                    </a:prstGeom>
                  </pic:spPr>
                </pic:pic>
              </a:graphicData>
            </a:graphic>
          </wp:inline>
        </w:drawing>
      </w:r>
    </w:p>
    <w:p w14:paraId="5C9AB5A1" w14:textId="13E1BCC4" w:rsidR="00AD268E" w:rsidRDefault="00AD268E" w:rsidP="00C71AAE">
      <w:pPr>
        <w:jc w:val="left"/>
      </w:pPr>
      <w:r>
        <w:t>As there is no energy storage modeled in our grid, the power generated must match the power consumed in every node Equation5 (+imports/exports)</w:t>
      </w:r>
      <w:r>
        <w:t>.</w:t>
      </w:r>
    </w:p>
    <w:p w14:paraId="1BC00323" w14:textId="74157449" w:rsidR="00AD268E" w:rsidRDefault="00AD268E" w:rsidP="00AD268E">
      <w:pPr>
        <w:jc w:val="center"/>
      </w:pPr>
    </w:p>
    <w:p w14:paraId="2A0089CC" w14:textId="1D88D67E" w:rsidR="00C71AAE" w:rsidRDefault="00C71AAE" w:rsidP="00C71AAE">
      <w:pPr>
        <w:pStyle w:val="Caption"/>
        <w:keepNext/>
        <w:ind w:firstLine="0"/>
        <w:jc w:val="center"/>
      </w:pPr>
      <w:r>
        <w:lastRenderedPageBreak/>
        <w:t xml:space="preserve">Equation </w:t>
      </w:r>
      <w:r>
        <w:fldChar w:fldCharType="begin"/>
      </w:r>
      <w:r>
        <w:instrText xml:space="preserve"> SEQ Equation \* ARABIC </w:instrText>
      </w:r>
      <w:r>
        <w:fldChar w:fldCharType="separate"/>
      </w:r>
      <w:r>
        <w:rPr>
          <w:noProof/>
        </w:rPr>
        <w:t>5</w:t>
      </w:r>
      <w:r>
        <w:fldChar w:fldCharType="end"/>
      </w:r>
      <w:r>
        <w:t>, Internodal market equilirbium</w:t>
      </w:r>
    </w:p>
    <w:p w14:paraId="2F930D50" w14:textId="31D5AE96" w:rsidR="00AD268E" w:rsidRDefault="00AD268E" w:rsidP="00AD268E">
      <w:pPr>
        <w:jc w:val="center"/>
      </w:pPr>
      <w:r w:rsidRPr="00AD268E">
        <w:drawing>
          <wp:inline distT="0" distB="0" distL="0" distR="0" wp14:anchorId="4A332B20" wp14:editId="39FCC9C7">
            <wp:extent cx="1132114" cy="7818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46689" cy="791958"/>
                    </a:xfrm>
                    <a:prstGeom prst="rect">
                      <a:avLst/>
                    </a:prstGeom>
                  </pic:spPr>
                </pic:pic>
              </a:graphicData>
            </a:graphic>
          </wp:inline>
        </w:drawing>
      </w:r>
    </w:p>
    <w:p w14:paraId="6D977B6B" w14:textId="121FBEA5" w:rsidR="00C71AAE" w:rsidRDefault="00C71AAE" w:rsidP="00C71AAE">
      <w:pPr>
        <w:jc w:val="left"/>
      </w:pPr>
      <w:r>
        <w:t>In order to model the power flow trough transmission lines , active power flow relates to grid frequency differences Equation6.</w:t>
      </w:r>
    </w:p>
    <w:p w14:paraId="6D949009" w14:textId="17C5E87D" w:rsidR="00C71AAE" w:rsidRDefault="00C71AAE" w:rsidP="00C71AAE">
      <w:pPr>
        <w:pStyle w:val="Caption"/>
        <w:keepNext/>
        <w:jc w:val="center"/>
      </w:pPr>
      <w:r>
        <w:t xml:space="preserve">Equation </w:t>
      </w:r>
      <w:r>
        <w:fldChar w:fldCharType="begin"/>
      </w:r>
      <w:r>
        <w:instrText xml:space="preserve"> SEQ Equation \* ARABIC </w:instrText>
      </w:r>
      <w:r>
        <w:fldChar w:fldCharType="separate"/>
      </w:r>
      <w:r>
        <w:rPr>
          <w:noProof/>
        </w:rPr>
        <w:t>6</w:t>
      </w:r>
      <w:r>
        <w:fldChar w:fldCharType="end"/>
      </w:r>
      <w:r>
        <w:t>, line power flows</w:t>
      </w:r>
    </w:p>
    <w:p w14:paraId="2F72DF74" w14:textId="31AEC4D1" w:rsidR="00C71AAE" w:rsidRPr="00E3596C" w:rsidRDefault="00C71AAE" w:rsidP="00AD268E">
      <w:pPr>
        <w:jc w:val="center"/>
      </w:pPr>
      <w:r w:rsidRPr="00C71AAE">
        <w:drawing>
          <wp:inline distT="0" distB="0" distL="0" distR="0" wp14:anchorId="18C16503" wp14:editId="4D0E189B">
            <wp:extent cx="1736272" cy="4210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751098" cy="424685"/>
                    </a:xfrm>
                    <a:prstGeom prst="rect">
                      <a:avLst/>
                    </a:prstGeom>
                  </pic:spPr>
                </pic:pic>
              </a:graphicData>
            </a:graphic>
          </wp:inline>
        </w:drawing>
      </w:r>
    </w:p>
    <w:p w14:paraId="36149126" w14:textId="399A6BC1" w:rsidR="008A55B5" w:rsidRPr="007E5C07" w:rsidRDefault="00242D9F" w:rsidP="007E5C07">
      <w:pPr>
        <w:pStyle w:val="Heading1"/>
      </w:pPr>
      <w:r w:rsidRPr="007E5C07">
        <w:t>Numerical results</w:t>
      </w:r>
    </w:p>
    <w:p w14:paraId="066EDB57" w14:textId="74CB3D69" w:rsidR="008A55B5" w:rsidRPr="007E5C07" w:rsidRDefault="00242D9F" w:rsidP="007E5C07">
      <w:pPr>
        <w:pStyle w:val="Heading2"/>
      </w:pPr>
      <w:r w:rsidRPr="007E5C07">
        <w:t>Description of the computational test</w:t>
      </w:r>
    </w:p>
    <w:p w14:paraId="2BBBFDCA" w14:textId="6F94E654" w:rsidR="008A55B5" w:rsidRDefault="00242D9F" w:rsidP="009A7743">
      <w:pPr>
        <w:pStyle w:val="Heading2"/>
      </w:pPr>
      <w:r>
        <w:t>Results for the base case test</w:t>
      </w:r>
    </w:p>
    <w:p w14:paraId="1EACA083" w14:textId="3D68B231" w:rsidR="008A55B5" w:rsidRDefault="00242D9F" w:rsidP="009A7743">
      <w:pPr>
        <w:pStyle w:val="Heading2"/>
      </w:pPr>
      <w:r>
        <w:t>Results for the case with the inclusion of the Wind turbine</w:t>
      </w:r>
    </w:p>
    <w:p w14:paraId="277FA003" w14:textId="4146293E" w:rsidR="00242D9F" w:rsidRDefault="00242D9F" w:rsidP="009A7743">
      <w:pPr>
        <w:pStyle w:val="Heading2"/>
      </w:pPr>
      <w:r>
        <w:t>Analysis of the results</w:t>
      </w:r>
    </w:p>
    <w:p w14:paraId="30AE3DA5" w14:textId="77777777" w:rsidR="00242D9F" w:rsidRPr="00242D9F" w:rsidRDefault="00242D9F" w:rsidP="009A7743"/>
    <w:p w14:paraId="10F359C5" w14:textId="79115D54" w:rsidR="00242D9F" w:rsidRDefault="00242D9F" w:rsidP="009A7743">
      <w:pPr>
        <w:pStyle w:val="Heading1"/>
      </w:pPr>
      <w:r>
        <w:t>Conclusions</w:t>
      </w:r>
    </w:p>
    <w:p w14:paraId="2DCA742C" w14:textId="77777777" w:rsidR="008A55B5" w:rsidRDefault="008A55B5">
      <w:pPr>
        <w:pStyle w:val="tablehead"/>
        <w:rPr>
          <w:rFonts w:eastAsia="MS Mincho"/>
          <w:noProof w:val="0"/>
          <w:spacing w:val="-1"/>
        </w:rPr>
      </w:pPr>
      <w:r>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8A55B5" w:rsidRPr="0004390D" w14:paraId="01395859" w14:textId="77777777">
        <w:trPr>
          <w:cantSplit/>
          <w:trHeight w:val="240"/>
          <w:tblHeader/>
          <w:jc w:val="center"/>
        </w:trPr>
        <w:tc>
          <w:tcPr>
            <w:tcW w:w="720" w:type="dxa"/>
            <w:vMerge w:val="restart"/>
            <w:vAlign w:val="center"/>
          </w:tcPr>
          <w:p w14:paraId="4AD78424" w14:textId="77777777" w:rsidR="008A55B5" w:rsidRPr="0004390D" w:rsidRDefault="008A55B5" w:rsidP="009A7743">
            <w:pPr>
              <w:pStyle w:val="tablecolhead"/>
            </w:pPr>
            <w:r w:rsidRPr="0004390D">
              <w:t>Table Head</w:t>
            </w:r>
          </w:p>
        </w:tc>
        <w:tc>
          <w:tcPr>
            <w:tcW w:w="4140" w:type="dxa"/>
            <w:gridSpan w:val="3"/>
            <w:vAlign w:val="center"/>
          </w:tcPr>
          <w:p w14:paraId="48F52FD8" w14:textId="77777777" w:rsidR="008A55B5" w:rsidRPr="0004390D" w:rsidRDefault="008A55B5" w:rsidP="009A7743">
            <w:pPr>
              <w:pStyle w:val="tablecolhead"/>
            </w:pPr>
            <w:r w:rsidRPr="0004390D">
              <w:t>Table Column Head</w:t>
            </w:r>
          </w:p>
        </w:tc>
      </w:tr>
      <w:tr w:rsidR="008A55B5" w:rsidRPr="0004390D" w14:paraId="261F3925" w14:textId="77777777">
        <w:trPr>
          <w:cantSplit/>
          <w:trHeight w:val="240"/>
          <w:tblHeader/>
          <w:jc w:val="center"/>
        </w:trPr>
        <w:tc>
          <w:tcPr>
            <w:tcW w:w="720" w:type="dxa"/>
            <w:vMerge/>
          </w:tcPr>
          <w:p w14:paraId="0FFF10DF" w14:textId="77777777" w:rsidR="008A55B5" w:rsidRPr="0004390D" w:rsidRDefault="008A55B5" w:rsidP="009A7743"/>
        </w:tc>
        <w:tc>
          <w:tcPr>
            <w:tcW w:w="2340" w:type="dxa"/>
            <w:vAlign w:val="center"/>
          </w:tcPr>
          <w:p w14:paraId="4736F9E1" w14:textId="77777777" w:rsidR="008A55B5" w:rsidRPr="0004390D" w:rsidRDefault="008A55B5" w:rsidP="009A7743">
            <w:pPr>
              <w:pStyle w:val="tablecolsubhead"/>
            </w:pPr>
            <w:r w:rsidRPr="0004390D">
              <w:t>Table column subhead</w:t>
            </w:r>
          </w:p>
        </w:tc>
        <w:tc>
          <w:tcPr>
            <w:tcW w:w="900" w:type="dxa"/>
            <w:vAlign w:val="center"/>
          </w:tcPr>
          <w:p w14:paraId="231CFAEE" w14:textId="77777777" w:rsidR="008A55B5" w:rsidRPr="0004390D" w:rsidRDefault="008A55B5" w:rsidP="009A7743">
            <w:pPr>
              <w:pStyle w:val="tablecolsubhead"/>
            </w:pPr>
            <w:r w:rsidRPr="0004390D">
              <w:t>Subhead</w:t>
            </w:r>
          </w:p>
        </w:tc>
        <w:tc>
          <w:tcPr>
            <w:tcW w:w="900" w:type="dxa"/>
            <w:vAlign w:val="center"/>
          </w:tcPr>
          <w:p w14:paraId="29D33183" w14:textId="77777777" w:rsidR="008A55B5" w:rsidRPr="0004390D" w:rsidRDefault="008A55B5" w:rsidP="009A7743">
            <w:pPr>
              <w:pStyle w:val="tablecolsubhead"/>
            </w:pPr>
            <w:r w:rsidRPr="0004390D">
              <w:t>Subhead</w:t>
            </w:r>
          </w:p>
        </w:tc>
      </w:tr>
      <w:tr w:rsidR="008A55B5" w:rsidRPr="0004390D" w14:paraId="18C979EE" w14:textId="77777777">
        <w:trPr>
          <w:trHeight w:val="320"/>
          <w:jc w:val="center"/>
        </w:trPr>
        <w:tc>
          <w:tcPr>
            <w:tcW w:w="720" w:type="dxa"/>
            <w:vAlign w:val="center"/>
          </w:tcPr>
          <w:p w14:paraId="16E01005" w14:textId="77777777" w:rsidR="008A55B5" w:rsidRPr="0004390D" w:rsidRDefault="008A55B5">
            <w:pPr>
              <w:pStyle w:val="tablecopy"/>
              <w:rPr>
                <w:sz w:val="8"/>
                <w:szCs w:val="8"/>
              </w:rPr>
            </w:pPr>
            <w:r w:rsidRPr="0004390D">
              <w:t>copy</w:t>
            </w:r>
          </w:p>
        </w:tc>
        <w:tc>
          <w:tcPr>
            <w:tcW w:w="2340" w:type="dxa"/>
            <w:vAlign w:val="center"/>
          </w:tcPr>
          <w:p w14:paraId="2CD33F8C" w14:textId="77777777" w:rsidR="008A55B5" w:rsidRPr="0004390D" w:rsidRDefault="008A55B5">
            <w:pPr>
              <w:pStyle w:val="tablecopy"/>
            </w:pPr>
            <w:r w:rsidRPr="0004390D">
              <w:t>More table copy</w:t>
            </w:r>
            <w:r w:rsidRPr="0004390D">
              <w:rPr>
                <w:vertAlign w:val="superscript"/>
              </w:rPr>
              <w:t>a</w:t>
            </w:r>
          </w:p>
        </w:tc>
        <w:tc>
          <w:tcPr>
            <w:tcW w:w="900" w:type="dxa"/>
            <w:vAlign w:val="center"/>
          </w:tcPr>
          <w:p w14:paraId="3F39AC62" w14:textId="77777777" w:rsidR="008A55B5" w:rsidRPr="0004390D" w:rsidRDefault="008A55B5" w:rsidP="009A7743"/>
        </w:tc>
        <w:tc>
          <w:tcPr>
            <w:tcW w:w="900" w:type="dxa"/>
            <w:vAlign w:val="center"/>
          </w:tcPr>
          <w:p w14:paraId="2297133B" w14:textId="77777777" w:rsidR="008A55B5" w:rsidRPr="0004390D" w:rsidRDefault="008A55B5" w:rsidP="009A7743"/>
        </w:tc>
      </w:tr>
    </w:tbl>
    <w:p w14:paraId="04575B7C" w14:textId="77777777" w:rsidR="008A55B5" w:rsidRDefault="008A55B5" w:rsidP="00CB66E6">
      <w:pPr>
        <w:pStyle w:val="tablefootnote"/>
        <w:rPr>
          <w:i/>
          <w:iCs/>
        </w:rPr>
      </w:pPr>
      <w:r>
        <w:t xml:space="preserve">Sample of a Table </w:t>
      </w:r>
      <w:r w:rsidRPr="00CB66E6">
        <w:t>footnote</w:t>
      </w:r>
      <w:r>
        <w:t xml:space="preserve">. </w:t>
      </w:r>
      <w:r>
        <w:rPr>
          <w:i/>
          <w:iCs/>
        </w:rPr>
        <w:t>(Table footnote)</w:t>
      </w:r>
    </w:p>
    <w:p w14:paraId="265D441E" w14:textId="77777777" w:rsidR="008A55B5" w:rsidRDefault="008A55B5" w:rsidP="00CB66E6">
      <w:pPr>
        <w:pStyle w:val="tablefootnote"/>
      </w:pPr>
    </w:p>
    <w:p w14:paraId="7CAD0C53" w14:textId="77777777" w:rsidR="008A55B5" w:rsidRDefault="008A55B5" w:rsidP="009A7743">
      <w:pPr>
        <w:pStyle w:val="Heading5"/>
      </w:pPr>
      <w:r>
        <w:t>References</w:t>
      </w:r>
    </w:p>
    <w:p w14:paraId="714D56BF" w14:textId="77777777" w:rsidR="008A55B5" w:rsidRDefault="008A55B5" w:rsidP="009A7743"/>
    <w:p w14:paraId="3F05CB28" w14:textId="5F9BF40F" w:rsidR="008A55B5" w:rsidRDefault="008A55B5">
      <w:pPr>
        <w:pStyle w:val="references"/>
        <w:rPr>
          <w:rFonts w:eastAsia="MS Mincho"/>
        </w:rPr>
      </w:pPr>
      <w:r>
        <w:rPr>
          <w:rFonts w:eastAsia="MS Mincho"/>
        </w:rPr>
        <w:t xml:space="preserve">G. Eason, B. Noble, and I.N. Sneddon, </w:t>
      </w:r>
      <w:r w:rsidR="004445B3">
        <w:rPr>
          <w:rFonts w:eastAsia="MS Mincho"/>
        </w:rPr>
        <w:t>“</w:t>
      </w:r>
      <w:r>
        <w:rPr>
          <w:rFonts w:eastAsia="MS Mincho"/>
        </w:rPr>
        <w:t>On certain integrals of Lipschitz-Hankel type involving products of Bessel functions,</w:t>
      </w:r>
      <w:r w:rsidR="004445B3">
        <w:rPr>
          <w:rFonts w:eastAsia="MS Mincho"/>
        </w:rPr>
        <w:t>”</w:t>
      </w:r>
      <w:r>
        <w:rPr>
          <w:rFonts w:eastAsia="MS Mincho"/>
        </w:rPr>
        <w:t xml:space="preserve"> Phil. Trans. Roy. Soc. London, vol. A247, pp. 529-551, April 1955. (</w:t>
      </w:r>
      <w:r w:rsidRPr="004445B3">
        <w:rPr>
          <w:rFonts w:eastAsia="MS Mincho"/>
          <w:i/>
        </w:rPr>
        <w:t>references</w:t>
      </w:r>
      <w:r>
        <w:rPr>
          <w:rFonts w:eastAsia="MS Mincho"/>
        </w:rPr>
        <w:t>)</w:t>
      </w:r>
    </w:p>
    <w:p w14:paraId="5C4F9B6A" w14:textId="77777777" w:rsidR="008A55B5" w:rsidRDefault="008A55B5">
      <w:pPr>
        <w:pStyle w:val="references"/>
        <w:rPr>
          <w:rFonts w:eastAsia="MS Mincho"/>
        </w:rPr>
      </w:pPr>
      <w:r>
        <w:rPr>
          <w:rFonts w:eastAsia="MS Mincho"/>
        </w:rPr>
        <w:t xml:space="preserve">J. Clerk Maxwell, A Treatise on Electricity and Magnetism, 3rd ed., vol. 2. </w:t>
      </w:r>
      <w:smartTag w:uri="urn:schemas-microsoft-com:office:smarttags" w:element="City">
        <w:smartTag w:uri="urn:schemas-microsoft-com:office:smarttags" w:element="place">
          <w:r>
            <w:rPr>
              <w:rFonts w:eastAsia="MS Mincho"/>
            </w:rPr>
            <w:t>Oxford</w:t>
          </w:r>
        </w:smartTag>
      </w:smartTag>
      <w:r>
        <w:rPr>
          <w:rFonts w:eastAsia="MS Mincho"/>
        </w:rPr>
        <w:t>: Clarendon, 1892, pp.68-73.</w:t>
      </w:r>
    </w:p>
    <w:p w14:paraId="750A2232" w14:textId="77777777" w:rsidR="008A55B5" w:rsidRDefault="008A55B5">
      <w:pPr>
        <w:pStyle w:val="references"/>
        <w:rPr>
          <w:rFonts w:eastAsia="MS Mincho"/>
        </w:rPr>
      </w:pPr>
      <w:r>
        <w:rPr>
          <w:rFonts w:eastAsia="MS Mincho"/>
        </w:rPr>
        <w:t xml:space="preserve">I.S. Jacobs and C.P. Bean, </w:t>
      </w:r>
      <w:r w:rsidR="004445B3">
        <w:rPr>
          <w:rFonts w:eastAsia="MS Mincho"/>
        </w:rPr>
        <w:t>“</w:t>
      </w:r>
      <w:r>
        <w:rPr>
          <w:rFonts w:eastAsia="MS Mincho"/>
        </w:rPr>
        <w:t>Fine particles, thin films and exchange anisotropy,</w:t>
      </w:r>
      <w:r w:rsidR="004445B3">
        <w:rPr>
          <w:rFonts w:eastAsia="MS Mincho"/>
        </w:rPr>
        <w:t>”</w:t>
      </w:r>
      <w:r>
        <w:rPr>
          <w:rFonts w:eastAsia="MS Mincho"/>
        </w:rPr>
        <w:t xml:space="preserve"> in Magnetism, vol. III, G.T. Rado and H. Suhl, Eds. </w:t>
      </w:r>
      <w:smartTag w:uri="urn:schemas-microsoft-com:office:smarttags" w:element="State">
        <w:smartTag w:uri="urn:schemas-microsoft-com:office:smarttags" w:element="place">
          <w:r>
            <w:rPr>
              <w:rFonts w:eastAsia="MS Mincho"/>
            </w:rPr>
            <w:t>New York</w:t>
          </w:r>
        </w:smartTag>
      </w:smartTag>
      <w:r>
        <w:rPr>
          <w:rFonts w:eastAsia="MS Mincho"/>
        </w:rPr>
        <w:t>: Academic, 1963, pp. 271-350.</w:t>
      </w:r>
    </w:p>
    <w:p w14:paraId="20CEDF90" w14:textId="77777777" w:rsidR="008A55B5" w:rsidRDefault="008A55B5">
      <w:pPr>
        <w:pStyle w:val="references"/>
        <w:rPr>
          <w:rFonts w:eastAsia="MS Mincho"/>
        </w:rPr>
      </w:pPr>
      <w:r>
        <w:rPr>
          <w:rFonts w:eastAsia="MS Mincho"/>
        </w:rPr>
        <w:t xml:space="preserve">K. Elissa, </w:t>
      </w:r>
      <w:r w:rsidR="004445B3">
        <w:rPr>
          <w:rFonts w:eastAsia="MS Mincho"/>
        </w:rPr>
        <w:t>“</w:t>
      </w:r>
      <w:r>
        <w:rPr>
          <w:rFonts w:eastAsia="MS Mincho"/>
        </w:rPr>
        <w:t>Title of paper if known,</w:t>
      </w:r>
      <w:r w:rsidR="004445B3">
        <w:rPr>
          <w:rFonts w:eastAsia="MS Mincho"/>
        </w:rPr>
        <w:t>”</w:t>
      </w:r>
      <w:r>
        <w:rPr>
          <w:rFonts w:eastAsia="MS Mincho"/>
        </w:rPr>
        <w:t xml:space="preserve"> unpublished.</w:t>
      </w:r>
    </w:p>
    <w:p w14:paraId="3B63537B" w14:textId="77777777" w:rsidR="008A55B5" w:rsidRDefault="008A55B5">
      <w:pPr>
        <w:pStyle w:val="references"/>
        <w:rPr>
          <w:rFonts w:eastAsia="MS Mincho"/>
        </w:rPr>
      </w:pPr>
      <w:r>
        <w:rPr>
          <w:rFonts w:eastAsia="MS Mincho"/>
        </w:rPr>
        <w:t xml:space="preserve">R. Nicole, </w:t>
      </w:r>
      <w:r w:rsidR="004445B3">
        <w:rPr>
          <w:rFonts w:eastAsia="MS Mincho"/>
        </w:rPr>
        <w:t>“</w:t>
      </w:r>
      <w:r>
        <w:rPr>
          <w:rFonts w:eastAsia="MS Mincho"/>
        </w:rPr>
        <w:t>Title of paper with only first word capitalized,</w:t>
      </w:r>
      <w:r w:rsidR="004445B3">
        <w:rPr>
          <w:rFonts w:eastAsia="MS Mincho"/>
        </w:rPr>
        <w:t>”</w:t>
      </w:r>
      <w:r>
        <w:rPr>
          <w:rFonts w:eastAsia="MS Mincho"/>
        </w:rPr>
        <w:t xml:space="preserve"> J. Name Stand. Abbrev., in press.</w:t>
      </w:r>
    </w:p>
    <w:p w14:paraId="6C866A0D" w14:textId="77777777" w:rsidR="008A55B5" w:rsidRDefault="008A55B5">
      <w:pPr>
        <w:pStyle w:val="references"/>
        <w:rPr>
          <w:rFonts w:eastAsia="MS Mincho"/>
        </w:rPr>
      </w:pPr>
      <w:r>
        <w:rPr>
          <w:rFonts w:eastAsia="MS Mincho"/>
        </w:rPr>
        <w:t xml:space="preserve">Y. Yorozu, M. </w:t>
      </w:r>
      <w:r w:rsidR="004445B3">
        <w:rPr>
          <w:rFonts w:eastAsia="MS Mincho"/>
        </w:rPr>
        <w:t>Hirano, K. Oka, and Y. Tagawa, “</w:t>
      </w:r>
      <w:r>
        <w:rPr>
          <w:rFonts w:eastAsia="MS Mincho"/>
        </w:rPr>
        <w:t>Electron spectroscopy studies on magneto-optical media and plastic substrate interface,</w:t>
      </w:r>
      <w:r w:rsidR="004445B3">
        <w:rPr>
          <w:rFonts w:eastAsia="MS Mincho"/>
        </w:rPr>
        <w:t>”</w:t>
      </w:r>
      <w:r>
        <w:rPr>
          <w:rFonts w:eastAsia="MS Mincho"/>
        </w:rPr>
        <w:t xml:space="preserve"> IEEE Transl. J. Magn. </w:t>
      </w:r>
      <w:smartTag w:uri="urn:schemas-microsoft-com:office:smarttags" w:element="country-region">
        <w:r>
          <w:rPr>
            <w:rFonts w:eastAsia="MS Mincho"/>
          </w:rPr>
          <w:t>Japan</w:t>
        </w:r>
      </w:smartTag>
      <w:r>
        <w:rPr>
          <w:rFonts w:eastAsia="MS Mincho"/>
        </w:rPr>
        <w:t xml:space="preserve">, vol. 2, pp. 740-741, August 1987 [Digests 9th Annual Conf. Magnetics </w:t>
      </w:r>
      <w:smartTag w:uri="urn:schemas-microsoft-com:office:smarttags" w:element="country-region">
        <w:smartTag w:uri="urn:schemas-microsoft-com:office:smarttags" w:element="place">
          <w:r>
            <w:rPr>
              <w:rFonts w:eastAsia="MS Mincho"/>
            </w:rPr>
            <w:t>Japan</w:t>
          </w:r>
        </w:smartTag>
      </w:smartTag>
      <w:r>
        <w:rPr>
          <w:rFonts w:eastAsia="MS Mincho"/>
        </w:rPr>
        <w:t>, p. 301, 1982].</w:t>
      </w:r>
    </w:p>
    <w:p w14:paraId="7B9F62CA" w14:textId="77777777" w:rsidR="008A55B5" w:rsidRDefault="008A55B5">
      <w:pPr>
        <w:pStyle w:val="references"/>
        <w:rPr>
          <w:rFonts w:eastAsia="MS Mincho"/>
        </w:rPr>
      </w:pPr>
      <w:r>
        <w:rPr>
          <w:rFonts w:eastAsia="MS Mincho"/>
        </w:rPr>
        <w:t>M. Young, The Technical Writer</w:t>
      </w:r>
      <w:r w:rsidR="00276735">
        <w:rPr>
          <w:rFonts w:eastAsia="MS Mincho"/>
        </w:rPr>
        <w:t>’</w:t>
      </w:r>
      <w:r>
        <w:rPr>
          <w:rFonts w:eastAsia="MS Mincho"/>
        </w:rPr>
        <w:t xml:space="preserve">s Handbook. </w:t>
      </w:r>
      <w:smartTag w:uri="urn:schemas-microsoft-com:office:smarttags" w:element="place">
        <w:smartTag w:uri="urn:schemas-microsoft-com:office:smarttags" w:element="City">
          <w:r>
            <w:rPr>
              <w:rFonts w:eastAsia="MS Mincho"/>
            </w:rPr>
            <w:t>Mill Valley</w:t>
          </w:r>
        </w:smartTag>
        <w:r>
          <w:rPr>
            <w:rFonts w:eastAsia="MS Mincho"/>
          </w:rPr>
          <w:t xml:space="preserve">, </w:t>
        </w:r>
        <w:smartTag w:uri="urn:schemas-microsoft-com:office:smarttags" w:element="State">
          <w:r>
            <w:rPr>
              <w:rFonts w:eastAsia="MS Mincho"/>
            </w:rPr>
            <w:t>CA</w:t>
          </w:r>
        </w:smartTag>
      </w:smartTag>
      <w:r>
        <w:rPr>
          <w:rFonts w:eastAsia="MS Mincho"/>
        </w:rPr>
        <w:t>: University Science, 1989.</w:t>
      </w:r>
    </w:p>
    <w:p w14:paraId="2C9DD925" w14:textId="77777777" w:rsidR="008A55B5" w:rsidRDefault="008A55B5">
      <w:pPr>
        <w:pStyle w:val="references"/>
        <w:rPr>
          <w:rFonts w:eastAsia="MS Mincho"/>
        </w:rPr>
        <w:sectPr w:rsidR="008A55B5" w:rsidSect="004445B3">
          <w:type w:val="continuous"/>
          <w:pgSz w:w="11909" w:h="16834" w:code="9"/>
          <w:pgMar w:top="1080" w:right="734" w:bottom="2434" w:left="734" w:header="720" w:footer="720" w:gutter="0"/>
          <w:cols w:num="2" w:space="360"/>
          <w:docGrid w:linePitch="360"/>
        </w:sectPr>
      </w:pPr>
    </w:p>
    <w:p w14:paraId="3EA01A5D" w14:textId="6DB2939F" w:rsidR="008A55B5" w:rsidRDefault="008A55B5" w:rsidP="009A7743"/>
    <w:sectPr w:rsidR="008A55B5" w:rsidSect="006C4648">
      <w:type w:val="continuous"/>
      <w:pgSz w:w="11909" w:h="16834" w:code="9"/>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189603E"/>
    <w:multiLevelType w:val="multilevel"/>
    <w:tmpl w:val="5B148B3C"/>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6"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8"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abstractNumId w:val="2"/>
  </w:num>
  <w:num w:numId="2">
    <w:abstractNumId w:val="6"/>
  </w:num>
  <w:num w:numId="3">
    <w:abstractNumId w:val="1"/>
  </w:num>
  <w:num w:numId="4">
    <w:abstractNumId w:val="4"/>
  </w:num>
  <w:num w:numId="5">
    <w:abstractNumId w:val="4"/>
  </w:num>
  <w:num w:numId="6">
    <w:abstractNumId w:val="4"/>
  </w:num>
  <w:num w:numId="7">
    <w:abstractNumId w:val="4"/>
  </w:num>
  <w:num w:numId="8">
    <w:abstractNumId w:val="5"/>
  </w:num>
  <w:num w:numId="9">
    <w:abstractNumId w:val="7"/>
  </w:num>
  <w:num w:numId="10">
    <w:abstractNumId w:val="3"/>
  </w:num>
  <w:num w:numId="11">
    <w:abstractNumId w:val="0"/>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833E2"/>
    <w:rsid w:val="000B4641"/>
    <w:rsid w:val="0010711E"/>
    <w:rsid w:val="00127EDD"/>
    <w:rsid w:val="00242D9F"/>
    <w:rsid w:val="00276735"/>
    <w:rsid w:val="00280165"/>
    <w:rsid w:val="002864A3"/>
    <w:rsid w:val="002B3B81"/>
    <w:rsid w:val="002F36F5"/>
    <w:rsid w:val="00314015"/>
    <w:rsid w:val="003843AF"/>
    <w:rsid w:val="003A47B5"/>
    <w:rsid w:val="003A59A6"/>
    <w:rsid w:val="004059FE"/>
    <w:rsid w:val="004445B3"/>
    <w:rsid w:val="00526A06"/>
    <w:rsid w:val="005B520E"/>
    <w:rsid w:val="005B535B"/>
    <w:rsid w:val="005F081F"/>
    <w:rsid w:val="006108A4"/>
    <w:rsid w:val="00693D27"/>
    <w:rsid w:val="006C4648"/>
    <w:rsid w:val="006D62E4"/>
    <w:rsid w:val="0072064C"/>
    <w:rsid w:val="00740E13"/>
    <w:rsid w:val="007442B3"/>
    <w:rsid w:val="00753F7B"/>
    <w:rsid w:val="00787C5A"/>
    <w:rsid w:val="007919DE"/>
    <w:rsid w:val="007C0308"/>
    <w:rsid w:val="007E5C07"/>
    <w:rsid w:val="008014D2"/>
    <w:rsid w:val="008054BC"/>
    <w:rsid w:val="0089670F"/>
    <w:rsid w:val="008A55B5"/>
    <w:rsid w:val="008A75C8"/>
    <w:rsid w:val="0097508D"/>
    <w:rsid w:val="009A7743"/>
    <w:rsid w:val="00A510F7"/>
    <w:rsid w:val="00AA4332"/>
    <w:rsid w:val="00AB5070"/>
    <w:rsid w:val="00AC6519"/>
    <w:rsid w:val="00AD268E"/>
    <w:rsid w:val="00AF477D"/>
    <w:rsid w:val="00B02F47"/>
    <w:rsid w:val="00BE357D"/>
    <w:rsid w:val="00C01C1B"/>
    <w:rsid w:val="00C70742"/>
    <w:rsid w:val="00C71AAE"/>
    <w:rsid w:val="00CB66E6"/>
    <w:rsid w:val="00D9156D"/>
    <w:rsid w:val="00E3596C"/>
    <w:rsid w:val="00E91219"/>
    <w:rsid w:val="00EA506F"/>
    <w:rsid w:val="00EC6ECE"/>
    <w:rsid w:val="00EE4362"/>
    <w:rsid w:val="00EF18D7"/>
    <w:rsid w:val="00EF1E8A"/>
    <w:rsid w:val="00EF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State"/>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32FB6C25"/>
  <w15:chartTrackingRefBased/>
  <w15:docId w15:val="{EBDFF570-BF39-48BF-8C90-5DAEE265B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743"/>
    <w:pPr>
      <w:tabs>
        <w:tab w:val="left" w:pos="288"/>
      </w:tabs>
      <w:spacing w:after="120" w:line="228" w:lineRule="auto"/>
      <w:ind w:firstLine="288"/>
      <w:jc w:val="both"/>
    </w:pPr>
    <w:rPr>
      <w:rFonts w:ascii="Times New Roman" w:eastAsia="MS Mincho" w:hAnsi="Times New Roman"/>
      <w:spacing w:val="-1"/>
    </w:rPr>
  </w:style>
  <w:style w:type="paragraph" w:styleId="Heading1">
    <w:name w:val="heading 1"/>
    <w:basedOn w:val="Normal"/>
    <w:next w:val="Normal"/>
    <w:link w:val="Heading1Char"/>
    <w:uiPriority w:val="99"/>
    <w:qFormat/>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outlineLvl w:val="2"/>
    </w:pPr>
    <w:rPr>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outlineLvl w:val="3"/>
    </w:pPr>
    <w:rPr>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paragraph" w:styleId="Heading6">
    <w:name w:val="heading 6"/>
    <w:basedOn w:val="Heading1"/>
    <w:next w:val="Normal"/>
    <w:link w:val="Heading6Char"/>
    <w:uiPriority w:val="9"/>
    <w:unhideWhenUsed/>
    <w:qFormat/>
    <w:rsid w:val="007E5C07"/>
    <w:pPr>
      <w:outlineLvl w:val="5"/>
    </w:pPr>
  </w:style>
  <w:style w:type="paragraph" w:styleId="Heading7">
    <w:name w:val="heading 7"/>
    <w:basedOn w:val="Heading2"/>
    <w:next w:val="Normal"/>
    <w:link w:val="Heading7Char"/>
    <w:uiPriority w:val="9"/>
    <w:unhideWhenUsed/>
    <w:qFormat/>
    <w:rsid w:val="007E5C07"/>
    <w:pPr>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eastAsia="Times New Roman" w:hAnsi="Cambria" w:cs="Times New Roman"/>
      <w:b/>
      <w:bCs/>
      <w:kern w:val="32"/>
      <w:sz w:val="32"/>
      <w:szCs w:val="32"/>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Caption">
    <w:name w:val="caption"/>
    <w:basedOn w:val="Normal"/>
    <w:next w:val="Normal"/>
    <w:uiPriority w:val="35"/>
    <w:unhideWhenUsed/>
    <w:qFormat/>
    <w:rsid w:val="00280165"/>
    <w:pPr>
      <w:spacing w:after="200"/>
    </w:pPr>
    <w:rPr>
      <w:i/>
      <w:iCs/>
      <w:color w:val="44546A" w:themeColor="text2"/>
      <w:sz w:val="18"/>
      <w:szCs w:val="18"/>
    </w:rPr>
  </w:style>
  <w:style w:type="paragraph" w:styleId="Title">
    <w:name w:val="Title"/>
    <w:basedOn w:val="papertitle"/>
    <w:next w:val="Normal"/>
    <w:link w:val="TitleChar"/>
    <w:uiPriority w:val="10"/>
    <w:qFormat/>
    <w:rsid w:val="007E5C07"/>
    <w:rPr>
      <w:b/>
      <w:bCs w:val="0"/>
    </w:rPr>
  </w:style>
  <w:style w:type="character" w:customStyle="1" w:styleId="TitleChar">
    <w:name w:val="Title Char"/>
    <w:basedOn w:val="DefaultParagraphFont"/>
    <w:link w:val="Title"/>
    <w:uiPriority w:val="10"/>
    <w:rsid w:val="007E5C07"/>
    <w:rPr>
      <w:rFonts w:ascii="Times New Roman" w:hAnsi="Times New Roman"/>
      <w:b/>
      <w:noProof/>
      <w:sz w:val="48"/>
      <w:szCs w:val="48"/>
    </w:rPr>
  </w:style>
  <w:style w:type="paragraph" w:styleId="Subtitle">
    <w:name w:val="Subtitle"/>
    <w:basedOn w:val="Normal"/>
    <w:next w:val="Normal"/>
    <w:link w:val="SubtitleChar"/>
    <w:uiPriority w:val="11"/>
    <w:qFormat/>
    <w:rsid w:val="007E5C07"/>
    <w:pPr>
      <w:jc w:val="center"/>
    </w:pPr>
  </w:style>
  <w:style w:type="character" w:customStyle="1" w:styleId="SubtitleChar">
    <w:name w:val="Subtitle Char"/>
    <w:basedOn w:val="DefaultParagraphFont"/>
    <w:link w:val="Subtitle"/>
    <w:uiPriority w:val="11"/>
    <w:rsid w:val="007E5C07"/>
    <w:rPr>
      <w:rFonts w:ascii="Times New Roman" w:eastAsia="MS Mincho" w:hAnsi="Times New Roman"/>
      <w:spacing w:val="-1"/>
    </w:rPr>
  </w:style>
  <w:style w:type="character" w:customStyle="1" w:styleId="Heading6Char">
    <w:name w:val="Heading 6 Char"/>
    <w:basedOn w:val="DefaultParagraphFont"/>
    <w:link w:val="Heading6"/>
    <w:uiPriority w:val="9"/>
    <w:rsid w:val="007E5C07"/>
    <w:rPr>
      <w:rFonts w:ascii="Times New Roman" w:eastAsia="MS Mincho" w:hAnsi="Times New Roman"/>
      <w:smallCaps/>
      <w:noProof/>
      <w:spacing w:val="-1"/>
    </w:rPr>
  </w:style>
  <w:style w:type="character" w:customStyle="1" w:styleId="Heading7Char">
    <w:name w:val="Heading 7 Char"/>
    <w:basedOn w:val="DefaultParagraphFont"/>
    <w:link w:val="Heading7"/>
    <w:uiPriority w:val="9"/>
    <w:rsid w:val="007E5C07"/>
    <w:rPr>
      <w:rFonts w:ascii="Times New Roman" w:eastAsia="MS Mincho" w:hAnsi="Times New Roman"/>
      <w:i/>
      <w:iCs/>
      <w:noProof/>
      <w:spacing w:val="-1"/>
    </w:rPr>
  </w:style>
  <w:style w:type="character" w:styleId="PlaceholderText">
    <w:name w:val="Placeholder Text"/>
    <w:basedOn w:val="DefaultParagraphFont"/>
    <w:uiPriority w:val="99"/>
    <w:semiHidden/>
    <w:rsid w:val="00BE357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968220">
      <w:bodyDiv w:val="1"/>
      <w:marLeft w:val="0"/>
      <w:marRight w:val="0"/>
      <w:marTop w:val="0"/>
      <w:marBottom w:val="0"/>
      <w:divBdr>
        <w:top w:val="none" w:sz="0" w:space="0" w:color="auto"/>
        <w:left w:val="none" w:sz="0" w:space="0" w:color="auto"/>
        <w:bottom w:val="none" w:sz="0" w:space="0" w:color="auto"/>
        <w:right w:val="none" w:sz="0" w:space="0" w:color="auto"/>
      </w:divBdr>
    </w:div>
    <w:div w:id="1071083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E2110D7-DE12-4C0C-97E6-9702462B5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3</Pages>
  <Words>932</Words>
  <Characters>5318</Characters>
  <Application>Microsoft Office Word</Application>
  <DocSecurity>0</DocSecurity>
  <Lines>44</Lines>
  <Paragraphs>12</Paragraphs>
  <ScaleCrop>false</ScaleCrop>
  <HeadingPairs>
    <vt:vector size="6" baseType="variant">
      <vt:variant>
        <vt:lpstr>Title</vt:lpstr>
      </vt:variant>
      <vt:variant>
        <vt:i4>1</vt:i4>
      </vt:variant>
      <vt:variant>
        <vt:lpstr>Título</vt:lpstr>
      </vt:variant>
      <vt:variant>
        <vt:i4>1</vt:i4>
      </vt:variant>
      <vt:variant>
        <vt:lpstr>Títulos</vt:lpstr>
      </vt:variant>
      <vt:variant>
        <vt:i4>16</vt:i4>
      </vt:variant>
    </vt:vector>
  </HeadingPairs>
  <TitlesOfParts>
    <vt:vector size="18"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author/s of only one affiliation (Heading 3): To change the default, adjust </vt:lpstr>
      <vt:lpstr>        For author/s of more than two affiliations: To change the default, adjust the te</vt:lpstr>
      <vt:lpstr>    Identify the Headings</vt:lpstr>
      <vt:lpstr>    Figures and Tables</vt:lpstr>
      <vt:lpstr>        Positioning Figures and Tables: Place figures and tables at the top and bottom o</vt:lpstr>
    </vt:vector>
  </TitlesOfParts>
  <Company>IEEE</Company>
  <LinksUpToDate>false</LinksUpToDate>
  <CharactersWithSpaces>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Javier Muñoz</cp:lastModifiedBy>
  <cp:revision>5</cp:revision>
  <dcterms:created xsi:type="dcterms:W3CDTF">2024-06-22T11:50:00Z</dcterms:created>
  <dcterms:modified xsi:type="dcterms:W3CDTF">2024-06-23T09:02:00Z</dcterms:modified>
</cp:coreProperties>
</file>