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4D8B83" w14:textId="77777777" w:rsidR="009E4634" w:rsidRDefault="009E4634"/>
    <w:p w14:paraId="268C24FA" w14:textId="77777777" w:rsidR="009E4634" w:rsidRDefault="009E4634"/>
    <w:p w14:paraId="3E9D5A67" w14:textId="5AA9006D" w:rsidR="00273374" w:rsidRDefault="009A244E" w:rsidP="009E4634">
      <w:pPr>
        <w:jc w:val="center"/>
      </w:pPr>
      <w:r w:rsidRPr="009A244E">
        <w:rPr>
          <w:noProof/>
        </w:rPr>
        <w:drawing>
          <wp:inline distT="0" distB="0" distL="0" distR="0" wp14:anchorId="33734B9C" wp14:editId="0581D7B5">
            <wp:extent cx="5936673" cy="3349527"/>
            <wp:effectExtent l="0" t="0" r="698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66778" cy="3366513"/>
                    </a:xfrm>
                    <a:prstGeom prst="rect">
                      <a:avLst/>
                    </a:prstGeom>
                  </pic:spPr>
                </pic:pic>
              </a:graphicData>
            </a:graphic>
          </wp:inline>
        </w:drawing>
      </w:r>
    </w:p>
    <w:p w14:paraId="219CE900" w14:textId="40540476" w:rsidR="009A244E" w:rsidRDefault="009E4634" w:rsidP="009E4634">
      <w:pPr>
        <w:jc w:val="center"/>
      </w:pPr>
      <w:r>
        <w:rPr>
          <w:noProof/>
        </w:rPr>
        <w:drawing>
          <wp:inline distT="0" distB="0" distL="0" distR="0" wp14:anchorId="7448F356" wp14:editId="3CBB6857">
            <wp:extent cx="3401233" cy="2039867"/>
            <wp:effectExtent l="0" t="0" r="889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2194" cy="2046441"/>
                    </a:xfrm>
                    <a:prstGeom prst="rect">
                      <a:avLst/>
                    </a:prstGeom>
                    <a:ln>
                      <a:noFill/>
                    </a:ln>
                    <a:effectLst>
                      <a:softEdge rad="112500"/>
                    </a:effectLst>
                  </pic:spPr>
                </pic:pic>
              </a:graphicData>
            </a:graphic>
          </wp:inline>
        </w:drawing>
      </w:r>
    </w:p>
    <w:p w14:paraId="77C5978F" w14:textId="22629C62" w:rsidR="009A244E" w:rsidRDefault="009A244E" w:rsidP="00314011">
      <w:pPr>
        <w:pStyle w:val="TOCHeading"/>
      </w:pPr>
    </w:p>
    <w:p w14:paraId="3C1615F9" w14:textId="3655B80A" w:rsidR="00314011" w:rsidRDefault="00314011" w:rsidP="00314011"/>
    <w:p w14:paraId="11823585" w14:textId="0932A5EB" w:rsidR="00314011" w:rsidRDefault="00314011" w:rsidP="00314011"/>
    <w:p w14:paraId="7713CF68" w14:textId="69B10D2D" w:rsidR="00314011" w:rsidRDefault="00314011" w:rsidP="00314011"/>
    <w:p w14:paraId="4853729B" w14:textId="40BF0BF9" w:rsidR="00314011" w:rsidRDefault="00314011" w:rsidP="00314011"/>
    <w:p w14:paraId="7C3B1D74" w14:textId="77777777" w:rsidR="00314011" w:rsidRPr="00314011" w:rsidRDefault="00314011" w:rsidP="00314011"/>
    <w:p w14:paraId="278143BD" w14:textId="17D107F7" w:rsidR="009A244E" w:rsidRDefault="009A244E" w:rsidP="003F2E71">
      <w:pPr>
        <w:pStyle w:val="Heading2"/>
        <w:numPr>
          <w:ilvl w:val="0"/>
          <w:numId w:val="1"/>
        </w:numPr>
        <w:ind w:left="360"/>
      </w:pPr>
      <w:bookmarkStart w:id="0" w:name="_Toc153967131"/>
      <w:r w:rsidRPr="003F2E71">
        <w:lastRenderedPageBreak/>
        <w:t>A brief description of the two activities carried out during the laboratory session</w:t>
      </w:r>
      <w:bookmarkEnd w:id="0"/>
    </w:p>
    <w:p w14:paraId="492B5C0E" w14:textId="77777777" w:rsidR="003F2E71" w:rsidRPr="003F2E71" w:rsidRDefault="003F2E71" w:rsidP="003F2E71"/>
    <w:p w14:paraId="45348278" w14:textId="77777777" w:rsidR="003F2E71" w:rsidRPr="003F2E71" w:rsidRDefault="009E4634" w:rsidP="003F2E71">
      <w:r w:rsidRPr="003F2E71">
        <w:t>Activity1</w:t>
      </w:r>
      <w:r w:rsidR="003F2E71" w:rsidRPr="003F2E71">
        <w:t xml:space="preserve">: </w:t>
      </w:r>
    </w:p>
    <w:p w14:paraId="5555F230" w14:textId="0E07930F" w:rsidR="00A32036" w:rsidRDefault="003F2E71" w:rsidP="003F2E71">
      <w:pPr>
        <w:ind w:left="360"/>
      </w:pPr>
      <w:r w:rsidRPr="003F2E71">
        <w:br/>
        <w:t>Using SFT2841 software in the lab PC LAN connected with our SEPAM with known IP address.</w:t>
      </w:r>
      <w:r w:rsidRPr="003F2E71">
        <w:br/>
        <w:t>We configur</w:t>
      </w:r>
      <w:r>
        <w:t>ed</w:t>
      </w:r>
      <w:r w:rsidRPr="003F2E71">
        <w:t xml:space="preserve"> our SEPAM’s RELE </w:t>
      </w:r>
      <w:r>
        <w:t>short-circuit and overloads protection</w:t>
      </w:r>
      <w:r w:rsidRPr="003F2E71">
        <w:t xml:space="preserve"> levels (voltage and time)</w:t>
      </w:r>
      <w:r>
        <w:t xml:space="preserve">, </w:t>
      </w:r>
      <w:r w:rsidRPr="003F2E71">
        <w:t>the reaction time and voltage trip levels were tested in the lab and confirmed to be working.</w:t>
      </w:r>
      <w:r w:rsidR="009851D0">
        <w:br/>
        <w:t xml:space="preserve">We acknowledged </w:t>
      </w:r>
      <w:r w:rsidR="00A642FA">
        <w:t xml:space="preserve">each RELE trip by noise and error information in the SEPAM screen </w:t>
      </w:r>
      <w:r w:rsidR="00AF5FBA">
        <w:t xml:space="preserve">+ </w:t>
      </w:r>
      <w:proofErr w:type="spellStart"/>
      <w:r w:rsidR="00AF5FBA">
        <w:t>leds</w:t>
      </w:r>
      <w:proofErr w:type="spellEnd"/>
      <w:r w:rsidR="00AF5FBA">
        <w:t>.</w:t>
      </w:r>
      <w:r>
        <w:br/>
      </w:r>
    </w:p>
    <w:p w14:paraId="467005FC" w14:textId="6DE381B4" w:rsidR="006916A6" w:rsidRDefault="00A32036" w:rsidP="006916A6">
      <w:r>
        <w:t>Activity2</w:t>
      </w:r>
      <w:r w:rsidR="003F2E71">
        <w:t>:</w:t>
      </w:r>
    </w:p>
    <w:p w14:paraId="3EF2A0CC" w14:textId="470B72EE" w:rsidR="006916A6" w:rsidRDefault="006916A6" w:rsidP="006916A6">
      <w:pPr>
        <w:ind w:left="360"/>
      </w:pPr>
      <w:r>
        <w:t>In this lab, the focus is on the intricacies of IEC 61850 communication configuration using the Substation Configuration Language (SCL). The process involves the generation of ICD and CID files, facilitated by tools such as SFT2841 and CET850</w:t>
      </w:r>
      <w:r>
        <w:t>.</w:t>
      </w:r>
    </w:p>
    <w:p w14:paraId="58A998C0" w14:textId="70922D49" w:rsidR="006916A6" w:rsidRDefault="006916A6" w:rsidP="006916A6">
      <w:pPr>
        <w:ind w:left="360"/>
      </w:pPr>
      <w:r>
        <w:t xml:space="preserve">The </w:t>
      </w:r>
      <w:r>
        <w:t>activity</w:t>
      </w:r>
      <w:r>
        <w:t xml:space="preserve"> then delves into the activation of </w:t>
      </w:r>
      <w:r w:rsidRPr="006916A6">
        <w:rPr>
          <w:b/>
          <w:bCs/>
        </w:rPr>
        <w:t>G</w:t>
      </w:r>
      <w:r>
        <w:t xml:space="preserve">eneric </w:t>
      </w:r>
      <w:r w:rsidRPr="006916A6">
        <w:rPr>
          <w:b/>
          <w:bCs/>
        </w:rPr>
        <w:t>O</w:t>
      </w:r>
      <w:r>
        <w:t>bject-Oriented</w:t>
      </w:r>
      <w:r>
        <w:t xml:space="preserve"> </w:t>
      </w:r>
      <w:r w:rsidRPr="006916A6">
        <w:rPr>
          <w:b/>
          <w:bCs/>
        </w:rPr>
        <w:t>S</w:t>
      </w:r>
      <w:r>
        <w:t xml:space="preserve">ubstation </w:t>
      </w:r>
      <w:r w:rsidRPr="006916A6">
        <w:rPr>
          <w:b/>
          <w:bCs/>
        </w:rPr>
        <w:t>E</w:t>
      </w:r>
      <w:r>
        <w:t>vent (GOOSE) messages. This entails creating datasets and configuring internal variables for the GOOSE messages using CET850. The configuration involves the establishment of a GOOSE Control Block, configuring the sender (publisher) and the recipient (subscriber) SEPAM devices.</w:t>
      </w:r>
    </w:p>
    <w:p w14:paraId="26E985A2" w14:textId="79BB4D80" w:rsidR="00314011" w:rsidRDefault="006916A6" w:rsidP="00314011">
      <w:pPr>
        <w:ind w:left="360"/>
      </w:pPr>
      <w:r>
        <w:t>After creating all files, we find ourselves</w:t>
      </w:r>
      <w:r>
        <w:t xml:space="preserve"> uploading CID files to the SEPAM devices</w:t>
      </w:r>
      <w:r>
        <w:t xml:space="preserve"> in our LAN network</w:t>
      </w:r>
      <w:r>
        <w:t xml:space="preserve"> using SFT2841. The subscriber SEPAM is configured to respond to received GOOSE message</w:t>
      </w:r>
      <w:r>
        <w:t>s, by activating its RELE protection</w:t>
      </w:r>
      <w:r>
        <w:t>.</w:t>
      </w:r>
    </w:p>
    <w:p w14:paraId="21992B4D" w14:textId="77777777" w:rsidR="00314011" w:rsidRDefault="00314011" w:rsidP="00314011">
      <w:pPr>
        <w:ind w:left="360"/>
      </w:pPr>
    </w:p>
    <w:p w14:paraId="5196EA2F" w14:textId="0C22EA0E" w:rsidR="009A244E" w:rsidRDefault="009A244E" w:rsidP="00314011">
      <w:pPr>
        <w:pStyle w:val="Heading2"/>
        <w:numPr>
          <w:ilvl w:val="0"/>
          <w:numId w:val="1"/>
        </w:numPr>
      </w:pPr>
      <w:bookmarkStart w:id="1" w:name="_Toc153967132"/>
      <w:r w:rsidRPr="009A244E">
        <w:t>The outcome of the activity proposed below:</w:t>
      </w:r>
      <w:bookmarkEnd w:id="1"/>
    </w:p>
    <w:p w14:paraId="3279C473" w14:textId="77777777" w:rsidR="00314011" w:rsidRPr="00314011" w:rsidRDefault="00314011" w:rsidP="00314011"/>
    <w:p w14:paraId="6B697D67" w14:textId="02403064" w:rsidR="00F149F0" w:rsidRDefault="00F149F0" w:rsidP="00314011">
      <w:pPr>
        <w:ind w:left="360"/>
      </w:pPr>
      <w:r>
        <w:t>Our S12_receiver S82-substation is subscribed to the GOOSE messages for the PTRC1 trigger event status (</w:t>
      </w:r>
      <w:proofErr w:type="gramStart"/>
      <w:r>
        <w:t>PTRC1.Tr.general</w:t>
      </w:r>
      <w:proofErr w:type="gramEnd"/>
      <w:r>
        <w:t>) of the S12_publisher S82-Substation.</w:t>
      </w:r>
    </w:p>
    <w:p w14:paraId="19E757D4" w14:textId="17D56785" w:rsidR="00314011" w:rsidRDefault="00F149F0" w:rsidP="00314011">
      <w:pPr>
        <w:ind w:left="360"/>
      </w:pPr>
      <w:r>
        <w:t xml:space="preserve">As </w:t>
      </w:r>
      <w:r w:rsidR="00314011">
        <w:t>a</w:t>
      </w:r>
      <w:r>
        <w:t xml:space="preserve"> hypothetical use of this configuration, we could be having a </w:t>
      </w:r>
      <w:r w:rsidR="00314011">
        <w:t>hierarchy</w:t>
      </w:r>
      <w:r>
        <w:t xml:space="preserve"> of substations</w:t>
      </w:r>
      <w:r w:rsidR="00314011">
        <w:t>, S12 is subscribed and listens for all its substations trips.</w:t>
      </w:r>
      <w:r w:rsidR="00553AD4">
        <w:br/>
      </w:r>
      <w:r w:rsidR="00314011">
        <w:br/>
        <w:t xml:space="preserve">When S12 receives only one goose trip from one of its substations, it doesn’t do </w:t>
      </w:r>
      <w:proofErr w:type="gramStart"/>
      <w:r w:rsidR="00314011">
        <w:t>anything .</w:t>
      </w:r>
      <w:proofErr w:type="gramEnd"/>
      <w:r w:rsidR="00314011">
        <w:br/>
        <w:t xml:space="preserve">But if more than one substations trip at the same time, S12 RELE opens and </w:t>
      </w:r>
      <w:proofErr w:type="spellStart"/>
      <w:r w:rsidR="00314011">
        <w:t>isulates</w:t>
      </w:r>
      <w:proofErr w:type="spellEnd"/>
      <w:r w:rsidR="00314011">
        <w:t xml:space="preserve"> the rest of substations from the grid.</w:t>
      </w:r>
    </w:p>
    <w:p w14:paraId="738D111D" w14:textId="0C1EEFEF" w:rsidR="00F149F0" w:rsidRPr="00F149F0" w:rsidRDefault="00314011" w:rsidP="00F149F0">
      <w:r>
        <w:lastRenderedPageBreak/>
        <w:br/>
      </w:r>
      <w:r>
        <w:rPr>
          <w:noProof/>
        </w:rPr>
        <w:drawing>
          <wp:inline distT="0" distB="0" distL="0" distR="0" wp14:anchorId="48C98CF8" wp14:editId="6BAFE226">
            <wp:extent cx="4177145" cy="1937731"/>
            <wp:effectExtent l="0" t="0" r="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181403" cy="1939706"/>
                    </a:xfrm>
                    <a:prstGeom prst="rect">
                      <a:avLst/>
                    </a:prstGeom>
                    <a:noFill/>
                    <a:ln>
                      <a:noFill/>
                    </a:ln>
                  </pic:spPr>
                </pic:pic>
              </a:graphicData>
            </a:graphic>
          </wp:inline>
        </w:drawing>
      </w:r>
    </w:p>
    <w:sectPr w:rsidR="00F149F0" w:rsidRPr="00F149F0">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C98238" w14:textId="77777777" w:rsidR="00234E27" w:rsidRDefault="00234E27" w:rsidP="009A244E">
      <w:pPr>
        <w:spacing w:after="0" w:line="240" w:lineRule="auto"/>
      </w:pPr>
      <w:r>
        <w:separator/>
      </w:r>
    </w:p>
  </w:endnote>
  <w:endnote w:type="continuationSeparator" w:id="0">
    <w:p w14:paraId="6D327B24" w14:textId="77777777" w:rsidR="00234E27" w:rsidRDefault="00234E27" w:rsidP="009A24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C519E6" w14:textId="77777777" w:rsidR="00234E27" w:rsidRDefault="00234E27" w:rsidP="009A244E">
      <w:pPr>
        <w:spacing w:after="0" w:line="240" w:lineRule="auto"/>
      </w:pPr>
      <w:r>
        <w:separator/>
      </w:r>
    </w:p>
  </w:footnote>
  <w:footnote w:type="continuationSeparator" w:id="0">
    <w:p w14:paraId="03398C62" w14:textId="77777777" w:rsidR="00234E27" w:rsidRDefault="00234E27" w:rsidP="009A244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6FD5C" w14:textId="032195A9" w:rsidR="009A244E" w:rsidRDefault="009A244E">
    <w:pPr>
      <w:pStyle w:val="Header"/>
    </w:pPr>
    <w:r>
      <w:t>20/12/2023</w:t>
    </w:r>
    <w:r>
      <w:tab/>
    </w:r>
    <w:r w:rsidR="009E4634">
      <w:tab/>
      <w:t>Smart Grids (Group2)</w:t>
    </w:r>
    <w:r>
      <w:tab/>
    </w:r>
  </w:p>
  <w:p w14:paraId="265520F7" w14:textId="77777777" w:rsidR="009A244E" w:rsidRDefault="009A24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9B1708"/>
    <w:multiLevelType w:val="hybridMultilevel"/>
    <w:tmpl w:val="8B0CBA0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44E"/>
    <w:rsid w:val="00234E27"/>
    <w:rsid w:val="00273374"/>
    <w:rsid w:val="00314011"/>
    <w:rsid w:val="003F2E71"/>
    <w:rsid w:val="004D337B"/>
    <w:rsid w:val="00553AD4"/>
    <w:rsid w:val="006916A6"/>
    <w:rsid w:val="009851D0"/>
    <w:rsid w:val="009A244E"/>
    <w:rsid w:val="009C4C4B"/>
    <w:rsid w:val="009E4634"/>
    <w:rsid w:val="00A32036"/>
    <w:rsid w:val="00A642FA"/>
    <w:rsid w:val="00A73CDA"/>
    <w:rsid w:val="00AF5FBA"/>
    <w:rsid w:val="00F149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FF64C"/>
  <w15:chartTrackingRefBased/>
  <w15:docId w15:val="{FC8BBD97-1716-44EA-B113-DFE759ABE8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463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A244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E463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A244E"/>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244E"/>
  </w:style>
  <w:style w:type="paragraph" w:styleId="Footer">
    <w:name w:val="footer"/>
    <w:basedOn w:val="Normal"/>
    <w:link w:val="FooterChar"/>
    <w:uiPriority w:val="99"/>
    <w:unhideWhenUsed/>
    <w:rsid w:val="009A244E"/>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244E"/>
  </w:style>
  <w:style w:type="character" w:customStyle="1" w:styleId="Heading2Char">
    <w:name w:val="Heading 2 Char"/>
    <w:basedOn w:val="DefaultParagraphFont"/>
    <w:link w:val="Heading2"/>
    <w:uiPriority w:val="9"/>
    <w:rsid w:val="009A244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9E463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9E4634"/>
    <w:pPr>
      <w:outlineLvl w:val="9"/>
    </w:pPr>
  </w:style>
  <w:style w:type="paragraph" w:styleId="TOC2">
    <w:name w:val="toc 2"/>
    <w:basedOn w:val="Normal"/>
    <w:next w:val="Normal"/>
    <w:autoRedefine/>
    <w:uiPriority w:val="39"/>
    <w:unhideWhenUsed/>
    <w:rsid w:val="009E4634"/>
    <w:pPr>
      <w:spacing w:after="100"/>
      <w:ind w:left="220"/>
    </w:pPr>
  </w:style>
  <w:style w:type="character" w:styleId="Hyperlink">
    <w:name w:val="Hyperlink"/>
    <w:basedOn w:val="DefaultParagraphFont"/>
    <w:uiPriority w:val="99"/>
    <w:unhideWhenUsed/>
    <w:rsid w:val="009E4634"/>
    <w:rPr>
      <w:color w:val="0563C1" w:themeColor="hyperlink"/>
      <w:u w:val="single"/>
    </w:rPr>
  </w:style>
  <w:style w:type="character" w:customStyle="1" w:styleId="Heading3Char">
    <w:name w:val="Heading 3 Char"/>
    <w:basedOn w:val="DefaultParagraphFont"/>
    <w:link w:val="Heading3"/>
    <w:uiPriority w:val="9"/>
    <w:rsid w:val="009E4634"/>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9E4634"/>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998478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1017984-36BA-4C6D-B9AD-884AE1B1F7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3</Pages>
  <Words>284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UPC</Company>
  <LinksUpToDate>false</LinksUpToDate>
  <CharactersWithSpaces>1900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Muñoz</dc:creator>
  <cp:keywords/>
  <dc:description/>
  <cp:lastModifiedBy>Javier Muñoz</cp:lastModifiedBy>
  <cp:revision>7</cp:revision>
  <dcterms:created xsi:type="dcterms:W3CDTF">2023-12-20T11:12:00Z</dcterms:created>
  <dcterms:modified xsi:type="dcterms:W3CDTF">2023-12-20T12:46:00Z</dcterms:modified>
</cp:coreProperties>
</file>