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105"/>
        <w:gridCol w:w="4291"/>
        <w:gridCol w:w="1428"/>
        <w:gridCol w:w="1428"/>
        <w:tblGridChange w:id="0">
          <w:tblGrid>
            <w:gridCol w:w="2742"/>
            <w:gridCol w:w="3105"/>
            <w:gridCol w:w="429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BC">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C2">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C8">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Presenté evidencias de avance que cumplen los estándares de la disciplina.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CE">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Utilicé lenguaje técnico de mi disciplina siempre de manera precisa. </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D4">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DA">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de avance cumple con todos los aspectos del formato establecido por la disciplina.</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E0">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b w:val="0"/>
                <w:i w:val="0"/>
                <w:smallCaps w:val="0"/>
                <w:color w:val="000000"/>
                <w:sz w:val="20"/>
                <w:szCs w:val="20"/>
                <w:highlight w:val="green"/>
              </w:rPr>
            </w:pPr>
            <w:r w:rsidDel="00000000" w:rsidR="00000000" w:rsidRPr="00000000">
              <w:rPr>
                <w:rFonts w:ascii="Calibri" w:cs="Calibri" w:eastAsia="Calibri" w:hAnsi="Calibri"/>
                <w:b w:val="0"/>
                <w:i w:val="0"/>
                <w:smallCaps w:val="0"/>
                <w:color w:val="000000"/>
                <w:sz w:val="20"/>
                <w:szCs w:val="20"/>
                <w:highlight w:val="green"/>
                <w:rtl w:val="0"/>
              </w:rPr>
              <w:t xml:space="preserve">Redacta los apartados solicitados en inglés, comunicando en un 100% en un nivel intermedio alto según lo solicitado.</w:t>
            </w:r>
          </w:p>
        </w:tc>
        <w:tc>
          <w:tcPr/>
          <w:p w:rsidR="00000000" w:rsidDel="00000000" w:rsidP="00000000" w:rsidRDefault="00000000" w:rsidRPr="00000000" w14:paraId="000000E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E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E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bookmarkStart w:colFirst="0" w:colLast="0" w:name="_heading=h.gjdgxs"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Dx3HXlmpRqzT0OIAQMT5KEtPtw==">CgMxLjAyCGguZ2pkZ3hzOAByITEza3VuUFN3bXpjcHpYYzgwR181dVBicjVHVDZfYkhuNw==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