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5rk1zfkeun4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la fecha, hemos logrado avanzar significativamente en el desarrollo del sistema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StockWise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alcanzando varios de los objetivos específicos propuestos. Las actividades completadas incluyen el diseño de la base de datos, la implementación del módulo de gestión de inventarios, y el desarrollo del primer prototipo de la interfaz de usuario. Además, se ha avanzado en el análisis de los requisitos del sistema y la preparación de los informes de Business Intelligence. También hemos comenzado con las pruebas iniciales de integración entre la base de datos y el módulo de BI.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y estructuración de la base de datos.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del módulo de gestión de inventarios.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dashboards básicos para Business Intelligence.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Prototipo de la interfaz de usuario funcional.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Continuamos utilizando la metodología tradicional en cascada, respetando las etapas planificadas de diseño, desarrollo, pruebas e implementación.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permite(n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) dar cuenta del desarrollo del proyecto.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Diccionario de datos de la base de datos no relacional: Documento que describe cada una de las tablas y su estructura en la base de datos, asegurando la correcta organización y manejo de los datos dentro del sistema.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Desarrollo del 30% de la aplicación: Incluye la implementación del sistema de login, usabilidad y funcionalidades básicas. La aplicación se encuentra hosteada y operativa, lo que permite a los usuarios acceder y probar el sistema.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750.0" w:type="dxa"/>
            <w:jc w:val="left"/>
            <w:tblInd w:w="-572.0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750"/>
            <w:tblGridChange w:id="0">
              <w:tblGrid>
                <w:gridCol w:w="975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 </w:t>
                </w:r>
              </w:p>
            </w:tc>
          </w:tr>
          <w:tr>
            <w:trPr>
              <w:cantSplit w:val="0"/>
              <w:trHeight w:val="800" w:hRule="atLeast"/>
              <w:tblHeader w:val="0"/>
            </w:trPr>
            <w:tc>
              <w:tcPr>
                <w:shd w:fill="d9e2f3" w:val="clear"/>
                <w:vAlign w:val="center"/>
              </w:tcPr>
              <w:p w:rsidR="00000000" w:rsidDel="00000000" w:rsidP="00000000" w:rsidRDefault="00000000" w:rsidRPr="00000000" w14:paraId="00000025">
                <w:pPr>
                  <w:jc w:val="both"/>
                  <w:rPr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Examina cuidadosamente tu plan de trabajo, 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enfocándote</w:t>
                </w:r>
                <w:r w:rsidDel="00000000" w:rsidR="00000000" w:rsidRPr="00000000">
                  <w:rPr>
                    <w:color w:val="1f3864"/>
                    <w:rtl w:val="0"/>
                  </w:rPr>
                  <w:t xml:space="preserve"> especialmente en la columna de estado de avance y monitoreo.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rPr>
          <w:color w:val="1f386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916.364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y desarrollo de aplicaciones.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bases de datos.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 la base de datos.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del módulo de inventario.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Pruebas de integración.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bases de datos.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Desarrollo de Software.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Cada una de las actividades tiene una duración aproximada de 2 a 3 semanas.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Martin, responsable de base de datos.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Javier, responsable de desarrollo de software.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Jorge, responsable de integración.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abordaste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Facilitadores: La excelente comunicación entre los miembros del equipo, la clara definición de roles y responsabilidades, y el uso de herramientas colaborativas han sido clave para mantener un avance constante y coordinado en cada etapa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8XeRYO7u1vxomZ2O+xfAeQ4UQ==">CgMxLjAaHwoBMBIaChgICVIUChJ0YWJsZS4yNjI3b3U4czh2d2UyDmguNXJrMXpma2V1bjRjMghoLmdqZGd4czgAciExdFlwNlFkZGN5ZktKNFVHT1ZPMXowaDA5dXVXV01sa24=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