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E68C52" w14:textId="77777777" w:rsidR="00B20F9F" w:rsidRPr="00B20F9F" w:rsidRDefault="00B20F9F" w:rsidP="00B20F9F">
      <w:pPr>
        <w:rPr>
          <w:b/>
          <w:bCs/>
        </w:rPr>
      </w:pPr>
      <w:r w:rsidRPr="00B20F9F">
        <w:rPr>
          <w:b/>
          <w:bCs/>
        </w:rPr>
        <w:t>Resumen del proyecto: Clasificación de Retinopatía Diabética</w:t>
      </w:r>
    </w:p>
    <w:p w14:paraId="42A20ACB" w14:textId="77777777" w:rsidR="00B20F9F" w:rsidRPr="00B20F9F" w:rsidRDefault="00B20F9F" w:rsidP="00B20F9F">
      <w:pPr>
        <w:rPr>
          <w:b/>
          <w:bCs/>
        </w:rPr>
      </w:pPr>
      <w:r w:rsidRPr="00B20F9F">
        <w:rPr>
          <w:b/>
          <w:bCs/>
        </w:rPr>
        <w:t>La retinopatía diabética consiste en el daño a los vasos sanguíneos de la retina debido a niveles altos de azúcar en sangre. Puede causar visión borrosa, manchas oscuras, pérdida de visión y ceguera si no se trata a tiempo.</w:t>
      </w:r>
    </w:p>
    <w:p w14:paraId="5D84E1E4" w14:textId="77777777" w:rsidR="00B20F9F" w:rsidRPr="00B20F9F" w:rsidRDefault="00B20F9F" w:rsidP="00B20F9F">
      <w:pPr>
        <w:rPr>
          <w:b/>
          <w:bCs/>
        </w:rPr>
      </w:pPr>
      <w:r w:rsidRPr="00B20F9F">
        <w:rPr>
          <w:b/>
          <w:bCs/>
        </w:rPr>
        <w:t>Introducción y EDA</w:t>
      </w:r>
    </w:p>
    <w:p w14:paraId="4DDAC0FE" w14:textId="77777777" w:rsidR="00B20F9F" w:rsidRPr="00B20F9F" w:rsidRDefault="00B20F9F" w:rsidP="00B20F9F">
      <w:r w:rsidRPr="00B20F9F">
        <w:t xml:space="preserve">Exploramos el </w:t>
      </w:r>
      <w:proofErr w:type="spellStart"/>
      <w:r w:rsidRPr="00B20F9F">
        <w:t>dataset</w:t>
      </w:r>
      <w:proofErr w:type="spellEnd"/>
      <w:r w:rsidRPr="00B20F9F">
        <w:t xml:space="preserve"> APTOS 2019, que contiene </w:t>
      </w:r>
      <w:proofErr w:type="spellStart"/>
      <w:r w:rsidRPr="00B20F9F">
        <w:t>retinografías</w:t>
      </w:r>
      <w:proofErr w:type="spellEnd"/>
      <w:r w:rsidRPr="00B20F9F">
        <w:t xml:space="preserve"> etiquetadas en cinco grados de severidad (0 = sin RD, 4 = proliferativa). Lo primero que hacemos es analizar la distribución de clases, porque como vimos en la </w:t>
      </w:r>
      <w:r w:rsidRPr="00B20F9F">
        <w:rPr>
          <w:b/>
          <w:bCs/>
        </w:rPr>
        <w:t>Práctica 01</w:t>
      </w:r>
      <w:r w:rsidRPr="00B20F9F">
        <w:t>, conocer los datos antes de procesarlos es el primer paso obligatorio en imagen médica. Aquí detectamos el desbalance principal: G0 representa casi el 49% del conjunto de entrenamiento, mientras que G3 (Severa) apenas alcanza el 3%.</w:t>
      </w:r>
    </w:p>
    <w:p w14:paraId="5C2AAFF5" w14:textId="77777777" w:rsidR="00B20F9F" w:rsidRPr="00B20F9F" w:rsidRDefault="00B20F9F" w:rsidP="00B20F9F">
      <w:pPr>
        <w:rPr>
          <w:b/>
          <w:bCs/>
        </w:rPr>
      </w:pPr>
      <w:r w:rsidRPr="00B20F9F">
        <w:rPr>
          <w:b/>
          <w:bCs/>
        </w:rPr>
        <w:t>Preprocesamiento</w:t>
      </w:r>
    </w:p>
    <w:p w14:paraId="6CAD221E" w14:textId="77777777" w:rsidR="00B20F9F" w:rsidRPr="00B20F9F" w:rsidRDefault="00B20F9F" w:rsidP="00B20F9F">
      <w:r w:rsidRPr="00B20F9F">
        <w:t xml:space="preserve">Aplicamos dos etapas específicas para </w:t>
      </w:r>
      <w:proofErr w:type="spellStart"/>
      <w:r w:rsidRPr="00B20F9F">
        <w:t>retinografías</w:t>
      </w:r>
      <w:proofErr w:type="spellEnd"/>
      <w:r w:rsidRPr="00B20F9F">
        <w:t xml:space="preserve">. La primera es una </w:t>
      </w:r>
      <w:r w:rsidRPr="00B20F9F">
        <w:rPr>
          <w:b/>
          <w:bCs/>
        </w:rPr>
        <w:t>máscara circular</w:t>
      </w:r>
      <w:r w:rsidRPr="00B20F9F">
        <w:t xml:space="preserve"> que elimina el fondo negro fuera del disco retiniano, un artefacto de adquisición que no contiene información clínica y que podría confundir al modelo. La segunda es </w:t>
      </w:r>
      <w:r w:rsidRPr="00B20F9F">
        <w:rPr>
          <w:b/>
          <w:bCs/>
        </w:rPr>
        <w:t>CLAHE</w:t>
      </w:r>
      <w:r w:rsidRPr="00B20F9F">
        <w:t xml:space="preserve"> (ecualización adaptativa de histograma con límite de contraste), que mejora el contraste local de la imagen para hacer más visibles </w:t>
      </w:r>
      <w:proofErr w:type="spellStart"/>
      <w:r w:rsidRPr="00B20F9F">
        <w:t>microaneurismas</w:t>
      </w:r>
      <w:proofErr w:type="spellEnd"/>
      <w:r w:rsidRPr="00B20F9F">
        <w:t xml:space="preserve"> y exudados de bajo contraste. Ambas técnicas conectan directamente con los conceptos de artefactos de adquisición, naturaleza cuantitativa de la imagen médica y contraste local (SNR/CNR) estudiados en las </w:t>
      </w:r>
      <w:r w:rsidRPr="00B20F9F">
        <w:rPr>
          <w:b/>
          <w:bCs/>
        </w:rPr>
        <w:t>Prácticas 01 y 02</w:t>
      </w:r>
      <w:r w:rsidRPr="00B20F9F">
        <w:t>. Las imágenes preprocesadas se guardan en disco para no reprocesarlas en cada ejecución.</w:t>
      </w:r>
    </w:p>
    <w:p w14:paraId="4902CA1D" w14:textId="77777777" w:rsidR="00B20F9F" w:rsidRPr="00B20F9F" w:rsidRDefault="00B20F9F" w:rsidP="00B20F9F">
      <w:pPr>
        <w:rPr>
          <w:b/>
          <w:bCs/>
        </w:rPr>
      </w:pPr>
      <w:r w:rsidRPr="00B20F9F">
        <w:rPr>
          <w:b/>
          <w:bCs/>
        </w:rPr>
        <w:t xml:space="preserve">Dataset y </w:t>
      </w:r>
      <w:proofErr w:type="spellStart"/>
      <w:r w:rsidRPr="00B20F9F">
        <w:rPr>
          <w:b/>
          <w:bCs/>
        </w:rPr>
        <w:t>DataLoaders</w:t>
      </w:r>
      <w:proofErr w:type="spellEnd"/>
      <w:r w:rsidRPr="00B20F9F">
        <w:rPr>
          <w:b/>
          <w:bCs/>
        </w:rPr>
        <w:t xml:space="preserve"> con MONAI</w:t>
      </w:r>
    </w:p>
    <w:p w14:paraId="0B10A610" w14:textId="77777777" w:rsidR="00B20F9F" w:rsidRPr="00B20F9F" w:rsidRDefault="00B20F9F" w:rsidP="00B20F9F">
      <w:r w:rsidRPr="00B20F9F">
        <w:t xml:space="preserve">Construimos el pipeline de datos siguiendo el esquema de la </w:t>
      </w:r>
      <w:r w:rsidRPr="00B20F9F">
        <w:rPr>
          <w:b/>
          <w:bCs/>
        </w:rPr>
        <w:t>Práctica 04</w:t>
      </w:r>
      <w:r w:rsidRPr="00B20F9F">
        <w:t xml:space="preserve">: un Dataset de </w:t>
      </w:r>
      <w:proofErr w:type="spellStart"/>
      <w:r w:rsidRPr="00B20F9F">
        <w:t>PyTorch</w:t>
      </w:r>
      <w:proofErr w:type="spellEnd"/>
      <w:r w:rsidRPr="00B20F9F">
        <w:t xml:space="preserve"> que carga las imágenes preprocesadas y las normaliza con los estadísticos de </w:t>
      </w:r>
      <w:proofErr w:type="spellStart"/>
      <w:r w:rsidRPr="00B20F9F">
        <w:t>ImageNet</w:t>
      </w:r>
      <w:proofErr w:type="spellEnd"/>
      <w:r w:rsidRPr="00B20F9F">
        <w:t xml:space="preserve"> (necesario porque usaremos transfer </w:t>
      </w:r>
      <w:proofErr w:type="spellStart"/>
      <w:r w:rsidRPr="00B20F9F">
        <w:t>learning</w:t>
      </w:r>
      <w:proofErr w:type="spellEnd"/>
      <w:r w:rsidRPr="00B20F9F">
        <w:t xml:space="preserve">), y un conjunto de </w:t>
      </w:r>
      <w:proofErr w:type="spellStart"/>
      <w:r w:rsidRPr="00B20F9F">
        <w:t>Transforms</w:t>
      </w:r>
      <w:proofErr w:type="spellEnd"/>
      <w:r w:rsidRPr="00B20F9F">
        <w:t xml:space="preserve"> de MONAI para aumentación aleatoria durante el entrenamiento (</w:t>
      </w:r>
      <w:proofErr w:type="spellStart"/>
      <w:r w:rsidRPr="00B20F9F">
        <w:t>flips</w:t>
      </w:r>
      <w:proofErr w:type="spellEnd"/>
      <w:r w:rsidRPr="00B20F9F">
        <w:t>, rotaciones, deformaciones afines, ruido gaussiano). En validación y test no se aplica aumentación, para que la evaluación sea fiel al rendimiento real del modelo.</w:t>
      </w:r>
    </w:p>
    <w:p w14:paraId="18BF5A07" w14:textId="77777777" w:rsidR="00B20F9F" w:rsidRPr="00B20F9F" w:rsidRDefault="00B20F9F" w:rsidP="00B20F9F">
      <w:pPr>
        <w:rPr>
          <w:b/>
          <w:bCs/>
        </w:rPr>
      </w:pPr>
      <w:r w:rsidRPr="00B20F9F">
        <w:rPr>
          <w:b/>
          <w:bCs/>
        </w:rPr>
        <w:t xml:space="preserve">Modelo: </w:t>
      </w:r>
      <w:proofErr w:type="spellStart"/>
      <w:r w:rsidRPr="00B20F9F">
        <w:rPr>
          <w:b/>
          <w:bCs/>
        </w:rPr>
        <w:t>EfficientNetBN</w:t>
      </w:r>
      <w:proofErr w:type="spellEnd"/>
      <w:r w:rsidRPr="00B20F9F">
        <w:rPr>
          <w:b/>
          <w:bCs/>
        </w:rPr>
        <w:t xml:space="preserve"> con transfer </w:t>
      </w:r>
      <w:proofErr w:type="spellStart"/>
      <w:r w:rsidRPr="00B20F9F">
        <w:rPr>
          <w:b/>
          <w:bCs/>
        </w:rPr>
        <w:t>learning</w:t>
      </w:r>
      <w:proofErr w:type="spellEnd"/>
    </w:p>
    <w:p w14:paraId="7FED8A71" w14:textId="77777777" w:rsidR="00B20F9F" w:rsidRPr="00B20F9F" w:rsidRDefault="00B20F9F" w:rsidP="00B20F9F">
      <w:r w:rsidRPr="00B20F9F">
        <w:t xml:space="preserve">Usamos </w:t>
      </w:r>
      <w:r w:rsidRPr="00B20F9F">
        <w:rPr>
          <w:b/>
          <w:bCs/>
        </w:rPr>
        <w:t>EfficientNet-B3</w:t>
      </w:r>
      <w:r w:rsidRPr="00B20F9F">
        <w:t xml:space="preserve"> disponible en </w:t>
      </w:r>
      <w:proofErr w:type="spellStart"/>
      <w:proofErr w:type="gramStart"/>
      <w:r w:rsidRPr="00B20F9F">
        <w:t>monai.networks</w:t>
      </w:r>
      <w:proofErr w:type="gramEnd"/>
      <w:r w:rsidRPr="00B20F9F">
        <w:t>.nets</w:t>
      </w:r>
      <w:proofErr w:type="spellEnd"/>
      <w:r w:rsidRPr="00B20F9F">
        <w:t xml:space="preserve">, tal como se vio en la </w:t>
      </w:r>
      <w:r w:rsidRPr="00B20F9F">
        <w:rPr>
          <w:b/>
          <w:bCs/>
        </w:rPr>
        <w:t>Práctica 04</w:t>
      </w:r>
      <w:r w:rsidRPr="00B20F9F">
        <w:t xml:space="preserve">. Inicializamos sus pesos desde </w:t>
      </w:r>
      <w:proofErr w:type="spellStart"/>
      <w:r w:rsidRPr="00B20F9F">
        <w:t>ImageNet</w:t>
      </w:r>
      <w:proofErr w:type="spellEnd"/>
      <w:r w:rsidRPr="00B20F9F">
        <w:t xml:space="preserve"> (</w:t>
      </w:r>
      <w:proofErr w:type="spellStart"/>
      <w:r w:rsidRPr="00B20F9F">
        <w:t>pretrained</w:t>
      </w:r>
      <w:proofErr w:type="spellEnd"/>
      <w:r w:rsidRPr="00B20F9F">
        <w:t xml:space="preserve">=True) porque el </w:t>
      </w:r>
      <w:proofErr w:type="spellStart"/>
      <w:r w:rsidRPr="00B20F9F">
        <w:t>dataset</w:t>
      </w:r>
      <w:proofErr w:type="spellEnd"/>
      <w:r w:rsidRPr="00B20F9F">
        <w:t xml:space="preserve"> es de tamaño moderado y el transfer </w:t>
      </w:r>
      <w:proofErr w:type="spellStart"/>
      <w:r w:rsidRPr="00B20F9F">
        <w:t>learning</w:t>
      </w:r>
      <w:proofErr w:type="spellEnd"/>
      <w:r w:rsidRPr="00B20F9F">
        <w:t xml:space="preserve"> permite aprovechar detectores de bordes y texturas ya aprendidos. Para compensar el desbalance de clases, la </w:t>
      </w:r>
      <w:proofErr w:type="spellStart"/>
      <w:r w:rsidRPr="00B20F9F">
        <w:t>CrossEntropyLoss</w:t>
      </w:r>
      <w:proofErr w:type="spellEnd"/>
      <w:r w:rsidRPr="00B20F9F">
        <w:t xml:space="preserve"> recibe un vector de pesos inversamente proporcional a la frecuencia de cada grado, de modo que los errores en clases minoritarias penalizan más durante el entrenamiento.</w:t>
      </w:r>
    </w:p>
    <w:p w14:paraId="56E51154" w14:textId="77777777" w:rsidR="00B20F9F" w:rsidRPr="00B20F9F" w:rsidRDefault="00B20F9F" w:rsidP="00B20F9F">
      <w:pPr>
        <w:rPr>
          <w:b/>
          <w:bCs/>
        </w:rPr>
      </w:pPr>
      <w:r w:rsidRPr="00B20F9F">
        <w:rPr>
          <w:b/>
          <w:bCs/>
        </w:rPr>
        <w:t xml:space="preserve">Entrenamiento y evaluación </w:t>
      </w:r>
      <w:proofErr w:type="spellStart"/>
      <w:r w:rsidRPr="00B20F9F">
        <w:rPr>
          <w:b/>
          <w:bCs/>
        </w:rPr>
        <w:t>baseline</w:t>
      </w:r>
      <w:proofErr w:type="spellEnd"/>
    </w:p>
    <w:p w14:paraId="2CD69C28" w14:textId="77777777" w:rsidR="00B20F9F" w:rsidRPr="00B20F9F" w:rsidRDefault="00B20F9F" w:rsidP="00B20F9F">
      <w:r w:rsidRPr="00B20F9F">
        <w:t xml:space="preserve">El bucle de entrenamiento sigue el mismo esquema que en la Práctica 04 con </w:t>
      </w:r>
      <w:proofErr w:type="spellStart"/>
      <w:r w:rsidRPr="00B20F9F">
        <w:t>DynUNet</w:t>
      </w:r>
      <w:proofErr w:type="spellEnd"/>
      <w:r w:rsidRPr="00B20F9F">
        <w:t xml:space="preserve">: propagación hacia delante, cálculo de pérdida, </w:t>
      </w:r>
      <w:proofErr w:type="spellStart"/>
      <w:r w:rsidRPr="00B20F9F">
        <w:t>retropropagación</w:t>
      </w:r>
      <w:proofErr w:type="spellEnd"/>
      <w:r w:rsidRPr="00B20F9F">
        <w:t xml:space="preserve"> y actualización con Adam. La métrica principal es el </w:t>
      </w:r>
      <w:proofErr w:type="gramStart"/>
      <w:r w:rsidRPr="00B20F9F">
        <w:rPr>
          <w:b/>
          <w:bCs/>
        </w:rPr>
        <w:t>kappa cuadrático</w:t>
      </w:r>
      <w:proofErr w:type="gramEnd"/>
      <w:r w:rsidRPr="00B20F9F">
        <w:rPr>
          <w:b/>
          <w:bCs/>
        </w:rPr>
        <w:t xml:space="preserve"> ponderado</w:t>
      </w:r>
      <w:r w:rsidRPr="00B20F9F">
        <w:t xml:space="preserve">, estándar en gradación de retinopatía porque penaliza los errores de forma proporcional al cuadrado de la distancia ordinal entre grados. Los </w:t>
      </w:r>
      <w:proofErr w:type="spellStart"/>
      <w:r w:rsidRPr="00B20F9F">
        <w:t>checkpoints</w:t>
      </w:r>
      <w:proofErr w:type="spellEnd"/>
      <w:r w:rsidRPr="00B20F9F">
        <w:t xml:space="preserve"> se guardan en disco para no reentrenar en ejecuciones posteriores. El </w:t>
      </w:r>
      <w:proofErr w:type="spellStart"/>
      <w:r w:rsidRPr="00B20F9F">
        <w:t>baseline</w:t>
      </w:r>
      <w:proofErr w:type="spellEnd"/>
      <w:r w:rsidRPr="00B20F9F">
        <w:t xml:space="preserve"> obtiene κ=0.83, con G0 casi perfecto (F1=0.97) pero G3 y G4 muy débiles (F1≈0.36–0.46), lo que guiará todos los experimentos siguientes.</w:t>
      </w:r>
    </w:p>
    <w:p w14:paraId="40317FCD" w14:textId="77777777" w:rsidR="00B20F9F" w:rsidRPr="00B20F9F" w:rsidRDefault="00B20F9F" w:rsidP="00B20F9F">
      <w:pPr>
        <w:rPr>
          <w:b/>
          <w:bCs/>
        </w:rPr>
      </w:pPr>
      <w:r w:rsidRPr="00B20F9F">
        <w:rPr>
          <w:b/>
          <w:bCs/>
        </w:rPr>
        <w:lastRenderedPageBreak/>
        <w:t>Grad-CAM</w:t>
      </w:r>
    </w:p>
    <w:p w14:paraId="4600AA13" w14:textId="77777777" w:rsidR="00B20F9F" w:rsidRPr="00B20F9F" w:rsidRDefault="00B20F9F" w:rsidP="00B20F9F">
      <w:r w:rsidRPr="00B20F9F">
        <w:t xml:space="preserve">Aplicamos </w:t>
      </w:r>
      <w:r w:rsidRPr="00B20F9F">
        <w:rPr>
          <w:b/>
          <w:bCs/>
        </w:rPr>
        <w:t>Grad-CAM</w:t>
      </w:r>
      <w:r w:rsidRPr="00B20F9F">
        <w:t xml:space="preserve"> sobre la última capa convolucional del modelo, exactamente como se hizo en la </w:t>
      </w:r>
      <w:r w:rsidRPr="00B20F9F">
        <w:rPr>
          <w:b/>
          <w:bCs/>
        </w:rPr>
        <w:t>Práctica 04 (Tema 5)</w:t>
      </w:r>
      <w:r w:rsidRPr="00B20F9F">
        <w:t xml:space="preserve">. El objetivo es verificar que el modelo activa las regiones clínicamente relevantes (zona macular, vasos sanguíneos) y no artefactos del fondo negro o del preprocesamiento. Esto es fundamental en imagen médica antes de cualquier aplicación real: </w:t>
      </w:r>
      <w:proofErr w:type="gramStart"/>
      <w:r w:rsidRPr="00B20F9F">
        <w:t>un kappa</w:t>
      </w:r>
      <w:proofErr w:type="gramEnd"/>
      <w:r w:rsidRPr="00B20F9F">
        <w:t xml:space="preserve"> alto no garantiza que el modelo esté aprendiendo la información correcta.</w:t>
      </w:r>
    </w:p>
    <w:p w14:paraId="22896323" w14:textId="77777777" w:rsidR="00B20F9F" w:rsidRPr="00B20F9F" w:rsidRDefault="00B20F9F" w:rsidP="00B20F9F">
      <w:r w:rsidRPr="00B20F9F">
        <w:pict w14:anchorId="5ACBCF8F">
          <v:rect id="_x0000_i1031" style="width:0;height:1.5pt" o:hralign="center" o:hrstd="t" o:hr="t" fillcolor="#a0a0a0" stroked="f"/>
        </w:pict>
      </w:r>
    </w:p>
    <w:p w14:paraId="0BACED17" w14:textId="77777777" w:rsidR="00B20F9F" w:rsidRPr="00B20F9F" w:rsidRDefault="00B20F9F" w:rsidP="00B20F9F">
      <w:pPr>
        <w:rPr>
          <w:b/>
          <w:bCs/>
        </w:rPr>
      </w:pPr>
      <w:r w:rsidRPr="00B20F9F">
        <w:rPr>
          <w:b/>
          <w:bCs/>
        </w:rPr>
        <w:t xml:space="preserve">Experimento A — </w:t>
      </w:r>
      <w:proofErr w:type="spellStart"/>
      <w:r w:rsidRPr="00B20F9F">
        <w:rPr>
          <w:b/>
          <w:bCs/>
        </w:rPr>
        <w:t>Sobremuestreo</w:t>
      </w:r>
      <w:proofErr w:type="spellEnd"/>
      <w:r w:rsidRPr="00B20F9F">
        <w:rPr>
          <w:b/>
          <w:bCs/>
        </w:rPr>
        <w:t xml:space="preserve"> de clases minoritarias </w:t>
      </w:r>
      <w:r w:rsidRPr="00B20F9F">
        <w:rPr>
          <w:b/>
          <w:bCs/>
          <w:i/>
          <w:iCs/>
        </w:rPr>
        <w:t>(P02 + P04)</w:t>
      </w:r>
    </w:p>
    <w:p w14:paraId="041047C0" w14:textId="77777777" w:rsidR="00B20F9F" w:rsidRPr="00B20F9F" w:rsidRDefault="00B20F9F" w:rsidP="00B20F9F">
      <w:r w:rsidRPr="00B20F9F">
        <w:t xml:space="preserve">El análisis de errores del </w:t>
      </w:r>
      <w:proofErr w:type="spellStart"/>
      <w:r w:rsidRPr="00B20F9F">
        <w:t>baseline</w:t>
      </w:r>
      <w:proofErr w:type="spellEnd"/>
      <w:r w:rsidRPr="00B20F9F">
        <w:t xml:space="preserve"> confirma que G3 falla en el 59% de los casos. La causa principal es el desbalance: el modelo ve 16 veces más ejemplos de G0 que de G3. La solución que aplicamos es </w:t>
      </w:r>
      <w:proofErr w:type="spellStart"/>
      <w:r w:rsidRPr="00B20F9F">
        <w:rPr>
          <w:b/>
          <w:bCs/>
        </w:rPr>
        <w:t>sobremuestreo</w:t>
      </w:r>
      <w:proofErr w:type="spellEnd"/>
      <w:r w:rsidRPr="00B20F9F">
        <w:rPr>
          <w:b/>
          <w:bCs/>
        </w:rPr>
        <w:t xml:space="preserve"> manual</w:t>
      </w:r>
      <w:r w:rsidRPr="00B20F9F">
        <w:t xml:space="preserve">: repetimos filas del </w:t>
      </w:r>
      <w:proofErr w:type="spellStart"/>
      <w:r w:rsidRPr="00B20F9F">
        <w:t>DataFrame</w:t>
      </w:r>
      <w:proofErr w:type="spellEnd"/>
      <w:r w:rsidRPr="00B20F9F">
        <w:t xml:space="preserve"> de entrenamiento para G1, G3 y G4 hasta que cada clase represente al menos el 12% del total. Al combinar esto con las MONAI </w:t>
      </w:r>
      <w:proofErr w:type="spellStart"/>
      <w:r w:rsidRPr="00B20F9F">
        <w:t>Transforms</w:t>
      </w:r>
      <w:proofErr w:type="spellEnd"/>
      <w:r w:rsidRPr="00B20F9F">
        <w:t xml:space="preserve">, cada copia de la imagen recibe una aumentación diferente en cada época, por lo que no son duplicados exactos. La técnica no modifica el </w:t>
      </w:r>
      <w:proofErr w:type="spellStart"/>
      <w:r w:rsidRPr="00B20F9F">
        <w:t>DataLoader</w:t>
      </w:r>
      <w:proofErr w:type="spellEnd"/>
      <w:r w:rsidRPr="00B20F9F">
        <w:t xml:space="preserve"> ni requiere nada fuera del temario. Mejora </w:t>
      </w:r>
      <w:proofErr w:type="gramStart"/>
      <w:r w:rsidRPr="00B20F9F">
        <w:t>el kappa</w:t>
      </w:r>
      <w:proofErr w:type="gramEnd"/>
      <w:r w:rsidRPr="00B20F9F">
        <w:t xml:space="preserve"> hasta 0.845 (+0.014).</w:t>
      </w:r>
    </w:p>
    <w:p w14:paraId="7F9D53A8" w14:textId="77777777" w:rsidR="00B20F9F" w:rsidRPr="00B20F9F" w:rsidRDefault="00B20F9F" w:rsidP="00B20F9F">
      <w:pPr>
        <w:rPr>
          <w:b/>
          <w:bCs/>
        </w:rPr>
      </w:pPr>
      <w:r w:rsidRPr="00B20F9F">
        <w:rPr>
          <w:b/>
          <w:bCs/>
        </w:rPr>
        <w:t xml:space="preserve">Experimento B — </w:t>
      </w:r>
      <w:proofErr w:type="spellStart"/>
      <w:r w:rsidRPr="00B20F9F">
        <w:rPr>
          <w:b/>
          <w:bCs/>
        </w:rPr>
        <w:t>Radiómica</w:t>
      </w:r>
      <w:proofErr w:type="spellEnd"/>
      <w:r w:rsidRPr="00B20F9F">
        <w:rPr>
          <w:b/>
          <w:bCs/>
        </w:rPr>
        <w:t xml:space="preserve"> con </w:t>
      </w:r>
      <w:proofErr w:type="spellStart"/>
      <w:r w:rsidRPr="00B20F9F">
        <w:rPr>
          <w:b/>
          <w:bCs/>
        </w:rPr>
        <w:t>PyRadiomics</w:t>
      </w:r>
      <w:proofErr w:type="spellEnd"/>
      <w:r w:rsidRPr="00B20F9F">
        <w:rPr>
          <w:b/>
          <w:bCs/>
        </w:rPr>
        <w:t xml:space="preserve"> </w:t>
      </w:r>
      <w:r w:rsidRPr="00B20F9F">
        <w:rPr>
          <w:b/>
          <w:bCs/>
          <w:i/>
          <w:iCs/>
        </w:rPr>
        <w:t>(P04)</w:t>
      </w:r>
    </w:p>
    <w:p w14:paraId="519F5C1A" w14:textId="77777777" w:rsidR="00B20F9F" w:rsidRPr="00B20F9F" w:rsidRDefault="00B20F9F" w:rsidP="00B20F9F">
      <w:r w:rsidRPr="00B20F9F">
        <w:t xml:space="preserve">Aplicamos exactamente la metodología de la sección de </w:t>
      </w:r>
      <w:proofErr w:type="spellStart"/>
      <w:r w:rsidRPr="00B20F9F">
        <w:t>radiómica</w:t>
      </w:r>
      <w:proofErr w:type="spellEnd"/>
      <w:r w:rsidRPr="00B20F9F">
        <w:t xml:space="preserve"> de la </w:t>
      </w:r>
      <w:r w:rsidRPr="00B20F9F">
        <w:rPr>
          <w:b/>
          <w:bCs/>
        </w:rPr>
        <w:t>Práctica 04</w:t>
      </w:r>
      <w:r w:rsidRPr="00B20F9F">
        <w:t xml:space="preserve">, sustituyendo la máscara de lesión mamaria por la </w:t>
      </w:r>
      <w:r w:rsidRPr="00B20F9F">
        <w:rPr>
          <w:b/>
          <w:bCs/>
        </w:rPr>
        <w:t>máscara circular del disco retiniano</w:t>
      </w:r>
      <w:r w:rsidRPr="00B20F9F">
        <w:t xml:space="preserve"> que ya construimos en el preprocesamiento. Extraemos </w:t>
      </w:r>
      <w:proofErr w:type="spellStart"/>
      <w:r w:rsidRPr="00B20F9F">
        <w:t>features</w:t>
      </w:r>
      <w:proofErr w:type="spellEnd"/>
      <w:r w:rsidRPr="00B20F9F">
        <w:t xml:space="preserve"> de primer orden (media, entropía, asimetría) y de textura GLCM (contraste, homogeneidad) del canal verde de la </w:t>
      </w:r>
      <w:proofErr w:type="spellStart"/>
      <w:r w:rsidRPr="00B20F9F">
        <w:t>retinografía</w:t>
      </w:r>
      <w:proofErr w:type="spellEnd"/>
      <w:r w:rsidRPr="00B20F9F">
        <w:t xml:space="preserve">, que es el de mayor contraste para vasos y </w:t>
      </w:r>
      <w:proofErr w:type="spellStart"/>
      <w:r w:rsidRPr="00B20F9F">
        <w:t>microaneurismas</w:t>
      </w:r>
      <w:proofErr w:type="spellEnd"/>
      <w:r w:rsidRPr="00B20F9F">
        <w:t xml:space="preserve">. Sobre estos </w:t>
      </w:r>
      <w:proofErr w:type="spellStart"/>
      <w:r w:rsidRPr="00B20F9F">
        <w:t>features</w:t>
      </w:r>
      <w:proofErr w:type="spellEnd"/>
      <w:r w:rsidRPr="00B20F9F">
        <w:t xml:space="preserve"> entrenamos una regresión logística con penalización L1, que realiza selección automática de los descriptores más relevantes. El objetivo no es superar al modelo de </w:t>
      </w:r>
      <w:proofErr w:type="spellStart"/>
      <w:r w:rsidRPr="00B20F9F">
        <w:t>deep</w:t>
      </w:r>
      <w:proofErr w:type="spellEnd"/>
      <w:r w:rsidRPr="00B20F9F">
        <w:t xml:space="preserve"> </w:t>
      </w:r>
      <w:proofErr w:type="spellStart"/>
      <w:r w:rsidRPr="00B20F9F">
        <w:t>learning</w:t>
      </w:r>
      <w:proofErr w:type="spellEnd"/>
      <w:r w:rsidRPr="00B20F9F">
        <w:t xml:space="preserve"> (κ=0.62, claramente inferior) sino obtener un clasificador </w:t>
      </w:r>
      <w:r w:rsidRPr="00B20F9F">
        <w:rPr>
          <w:b/>
          <w:bCs/>
        </w:rPr>
        <w:t>interpretable y auditable</w:t>
      </w:r>
      <w:r w:rsidRPr="00B20F9F">
        <w:t>: sabemos exactamente qué variables usa para decidir, lo que tiene valor en contextos clínicos donde la transparencia es un requisito.</w:t>
      </w:r>
    </w:p>
    <w:p w14:paraId="699D25E3" w14:textId="77777777" w:rsidR="00B20F9F" w:rsidRPr="00B20F9F" w:rsidRDefault="00B20F9F" w:rsidP="00B20F9F">
      <w:pPr>
        <w:rPr>
          <w:b/>
          <w:bCs/>
        </w:rPr>
      </w:pPr>
      <w:r w:rsidRPr="00B20F9F">
        <w:rPr>
          <w:b/>
          <w:bCs/>
        </w:rPr>
        <w:t>Experimento C — Zero-</w:t>
      </w:r>
      <w:proofErr w:type="spellStart"/>
      <w:r w:rsidRPr="00B20F9F">
        <w:rPr>
          <w:b/>
          <w:bCs/>
        </w:rPr>
        <w:t>shot</w:t>
      </w:r>
      <w:proofErr w:type="spellEnd"/>
      <w:r w:rsidRPr="00B20F9F">
        <w:rPr>
          <w:b/>
          <w:bCs/>
        </w:rPr>
        <w:t xml:space="preserve"> con </w:t>
      </w:r>
      <w:proofErr w:type="spellStart"/>
      <w:r w:rsidRPr="00B20F9F">
        <w:rPr>
          <w:b/>
          <w:bCs/>
        </w:rPr>
        <w:t>BiomedCLIP</w:t>
      </w:r>
      <w:proofErr w:type="spellEnd"/>
      <w:r w:rsidRPr="00B20F9F">
        <w:rPr>
          <w:b/>
          <w:bCs/>
        </w:rPr>
        <w:t xml:space="preserve"> </w:t>
      </w:r>
      <w:r w:rsidRPr="00B20F9F">
        <w:rPr>
          <w:b/>
          <w:bCs/>
          <w:i/>
          <w:iCs/>
        </w:rPr>
        <w:t>(P04)</w:t>
      </w:r>
    </w:p>
    <w:p w14:paraId="4CC36A81" w14:textId="77777777" w:rsidR="00B20F9F" w:rsidRPr="00B20F9F" w:rsidRDefault="00B20F9F" w:rsidP="00B20F9F">
      <w:r w:rsidRPr="00B20F9F">
        <w:t xml:space="preserve">Aplicamos la clasificación </w:t>
      </w:r>
      <w:proofErr w:type="spellStart"/>
      <w:r w:rsidRPr="00B20F9F">
        <w:t>zero-shot</w:t>
      </w:r>
      <w:proofErr w:type="spellEnd"/>
      <w:r w:rsidRPr="00B20F9F">
        <w:t xml:space="preserve"> con </w:t>
      </w:r>
      <w:proofErr w:type="spellStart"/>
      <w:r w:rsidRPr="00B20F9F">
        <w:rPr>
          <w:b/>
          <w:bCs/>
        </w:rPr>
        <w:t>BiomedCLIP</w:t>
      </w:r>
      <w:proofErr w:type="spellEnd"/>
      <w:r w:rsidRPr="00B20F9F">
        <w:t xml:space="preserve"> exactamente como se vio en la </w:t>
      </w:r>
      <w:r w:rsidRPr="00B20F9F">
        <w:rPr>
          <w:b/>
          <w:bCs/>
        </w:rPr>
        <w:t>Práctica 04</w:t>
      </w:r>
      <w:r w:rsidRPr="00B20F9F">
        <w:t xml:space="preserve">, comparando dos estrategias de </w:t>
      </w:r>
      <w:proofErr w:type="spellStart"/>
      <w:r w:rsidRPr="00B20F9F">
        <w:t>prompts</w:t>
      </w:r>
      <w:proofErr w:type="spellEnd"/>
      <w:r w:rsidRPr="00B20F9F">
        <w:t xml:space="preserve">. La novedad es que </w:t>
      </w:r>
      <w:proofErr w:type="spellStart"/>
      <w:r w:rsidRPr="00B20F9F">
        <w:t>BiomedCLIP</w:t>
      </w:r>
      <w:proofErr w:type="spellEnd"/>
      <w:r w:rsidRPr="00B20F9F">
        <w:t xml:space="preserve"> fue entrenado sobre 15 millones de pares imagen-texto de PubMed, por lo que en principio debería reconocer terminología clínica de </w:t>
      </w:r>
      <w:proofErr w:type="spellStart"/>
      <w:r w:rsidRPr="00B20F9F">
        <w:t>retinografías</w:t>
      </w:r>
      <w:proofErr w:type="spellEnd"/>
      <w:r w:rsidRPr="00B20F9F">
        <w:t xml:space="preserve">. Probamos </w:t>
      </w:r>
      <w:proofErr w:type="spellStart"/>
      <w:r w:rsidRPr="00B20F9F">
        <w:t>prompts</w:t>
      </w:r>
      <w:proofErr w:type="spellEnd"/>
      <w:r w:rsidRPr="00B20F9F">
        <w:t xml:space="preserve"> genéricos ("retinal </w:t>
      </w:r>
      <w:proofErr w:type="spellStart"/>
      <w:r w:rsidRPr="00B20F9F">
        <w:t>fundus</w:t>
      </w:r>
      <w:proofErr w:type="spellEnd"/>
      <w:r w:rsidRPr="00B20F9F">
        <w:t xml:space="preserve"> </w:t>
      </w:r>
      <w:proofErr w:type="spellStart"/>
      <w:r w:rsidRPr="00B20F9F">
        <w:t>photograph</w:t>
      </w:r>
      <w:proofErr w:type="spellEnd"/>
      <w:r w:rsidRPr="00B20F9F">
        <w:t xml:space="preserve"> </w:t>
      </w:r>
      <w:proofErr w:type="spellStart"/>
      <w:r w:rsidRPr="00B20F9F">
        <w:t>with</w:t>
      </w:r>
      <w:proofErr w:type="spellEnd"/>
      <w:r w:rsidRPr="00B20F9F">
        <w:t xml:space="preserve"> </w:t>
      </w:r>
      <w:proofErr w:type="spellStart"/>
      <w:r w:rsidRPr="00B20F9F">
        <w:t>mild</w:t>
      </w:r>
      <w:proofErr w:type="spellEnd"/>
      <w:r w:rsidRPr="00B20F9F">
        <w:t xml:space="preserve"> </w:t>
      </w:r>
      <w:proofErr w:type="spellStart"/>
      <w:r w:rsidRPr="00B20F9F">
        <w:t>diabetic</w:t>
      </w:r>
      <w:proofErr w:type="spellEnd"/>
      <w:r w:rsidRPr="00B20F9F">
        <w:t xml:space="preserve"> </w:t>
      </w:r>
      <w:proofErr w:type="spellStart"/>
      <w:r w:rsidRPr="00B20F9F">
        <w:t>retinopathy</w:t>
      </w:r>
      <w:proofErr w:type="spellEnd"/>
      <w:r w:rsidRPr="00B20F9F">
        <w:t xml:space="preserve">") frente a </w:t>
      </w:r>
      <w:proofErr w:type="spellStart"/>
      <w:r w:rsidRPr="00B20F9F">
        <w:t>prompts</w:t>
      </w:r>
      <w:proofErr w:type="spellEnd"/>
      <w:r w:rsidRPr="00B20F9F">
        <w:t xml:space="preserve"> clínicos detallados que describen los hallazgos visuales esperados (</w:t>
      </w:r>
      <w:proofErr w:type="spellStart"/>
      <w:r w:rsidRPr="00B20F9F">
        <w:t>microaneurismas</w:t>
      </w:r>
      <w:proofErr w:type="spellEnd"/>
      <w:r w:rsidRPr="00B20F9F">
        <w:t xml:space="preserve">, hemorragias en cuadrantes, neovascularización). El resultado (κ=0.71 genérico, κ=0.52 clínico) muestra que </w:t>
      </w:r>
      <w:proofErr w:type="spellStart"/>
      <w:r w:rsidRPr="00B20F9F">
        <w:t>BiomedCLIP</w:t>
      </w:r>
      <w:proofErr w:type="spellEnd"/>
      <w:r w:rsidRPr="00B20F9F">
        <w:t xml:space="preserve"> clasifica sin ningún entrenamiento, aunque por debajo del modelo supervisado. Sorprendentemente, los </w:t>
      </w:r>
      <w:proofErr w:type="spellStart"/>
      <w:r w:rsidRPr="00B20F9F">
        <w:t>prompts</w:t>
      </w:r>
      <w:proofErr w:type="spellEnd"/>
      <w:r w:rsidRPr="00B20F9F">
        <w:t xml:space="preserve"> clínicos son peores que los genéricos, lo que sugiere que el modelo no ha aprendido suficiente terminología retiniana específica de APTOS en su entrenamiento sobre PubMed.</w:t>
      </w:r>
    </w:p>
    <w:p w14:paraId="7FD9A60F" w14:textId="77777777" w:rsidR="00B20F9F" w:rsidRPr="00B20F9F" w:rsidRDefault="00B20F9F" w:rsidP="00B20F9F">
      <w:pPr>
        <w:rPr>
          <w:b/>
          <w:bCs/>
        </w:rPr>
      </w:pPr>
      <w:r w:rsidRPr="00B20F9F">
        <w:rPr>
          <w:b/>
          <w:bCs/>
        </w:rPr>
        <w:t xml:space="preserve">Experimento D — Clasificación en dos etapas </w:t>
      </w:r>
      <w:r w:rsidRPr="00B20F9F">
        <w:rPr>
          <w:b/>
          <w:bCs/>
          <w:i/>
          <w:iCs/>
        </w:rPr>
        <w:t>(investigación propia)</w:t>
      </w:r>
    </w:p>
    <w:p w14:paraId="5BC48D6D" w14:textId="77777777" w:rsidR="00B20F9F" w:rsidRPr="00B20F9F" w:rsidRDefault="00B20F9F" w:rsidP="00B20F9F">
      <w:r w:rsidRPr="00B20F9F">
        <w:t xml:space="preserve">El análisis de la matriz de confusión revela que G0 es casi trivial para el </w:t>
      </w:r>
      <w:proofErr w:type="gramStart"/>
      <w:r w:rsidRPr="00B20F9F">
        <w:t>modelo</w:t>
      </w:r>
      <w:proofErr w:type="gramEnd"/>
      <w:r w:rsidRPr="00B20F9F">
        <w:t xml:space="preserve"> pero ocupa la mitad del espacio de representación aprendido. Proponemos separar el problema en dos clasificadores independientes: uno binario (¿tiene RD o no?) y otro de cuatro clases solo sobre </w:t>
      </w:r>
      <w:r w:rsidRPr="00B20F9F">
        <w:lastRenderedPageBreak/>
        <w:t xml:space="preserve">los casos positivos (¿cuál de los grados G1-G4?). De esta forma, cada modelo resuelve un subproblema más homogéneo. Esta arquitectura va más allá del </w:t>
      </w:r>
      <w:proofErr w:type="gramStart"/>
      <w:r w:rsidRPr="00B20F9F">
        <w:t>temario</w:t>
      </w:r>
      <w:proofErr w:type="gramEnd"/>
      <w:r w:rsidRPr="00B20F9F">
        <w:t xml:space="preserve"> pero usa exclusivamente herramientas ya conocidas. Mejora </w:t>
      </w:r>
      <w:proofErr w:type="gramStart"/>
      <w:r w:rsidRPr="00B20F9F">
        <w:t>el kappa</w:t>
      </w:r>
      <w:proofErr w:type="gramEnd"/>
      <w:r w:rsidRPr="00B20F9F">
        <w:t xml:space="preserve"> hasta 0.850 (+0.019) y es el mejor resultado en kappa entre todos los experimentos.</w:t>
      </w:r>
    </w:p>
    <w:p w14:paraId="1E7271BB" w14:textId="77777777" w:rsidR="00B20F9F" w:rsidRPr="00B20F9F" w:rsidRDefault="00B20F9F" w:rsidP="00B20F9F">
      <w:pPr>
        <w:rPr>
          <w:b/>
          <w:bCs/>
        </w:rPr>
      </w:pPr>
      <w:r w:rsidRPr="00B20F9F">
        <w:rPr>
          <w:b/>
          <w:bCs/>
        </w:rPr>
        <w:t xml:space="preserve">Experimento E — Clasificación jerárquica en tres niveles </w:t>
      </w:r>
      <w:r w:rsidRPr="00B20F9F">
        <w:rPr>
          <w:b/>
          <w:bCs/>
          <w:i/>
          <w:iCs/>
        </w:rPr>
        <w:t>(investigación propia)</w:t>
      </w:r>
    </w:p>
    <w:p w14:paraId="2781D253" w14:textId="77777777" w:rsidR="00B20F9F" w:rsidRPr="00B20F9F" w:rsidRDefault="00B20F9F" w:rsidP="00B20F9F">
      <w:r w:rsidRPr="00B20F9F">
        <w:t xml:space="preserve">Extendemos la idea del Experimento D. Observando que los errores se concentran en la frontera G1/G2 y en la frontera G3/G4, proponemos una jerarquía de árbol de cuatro modelos: el binario RD/no-RD del Experimento D (reutilizado sin reentrenar), un segundo clasificador binario que separa el grupo </w:t>
      </w:r>
      <w:proofErr w:type="spellStart"/>
      <w:r w:rsidRPr="00B20F9F">
        <w:t>Leve+Moderada</w:t>
      </w:r>
      <w:proofErr w:type="spellEnd"/>
      <w:r w:rsidRPr="00B20F9F">
        <w:t xml:space="preserve"> del grupo </w:t>
      </w:r>
      <w:proofErr w:type="spellStart"/>
      <w:r w:rsidRPr="00B20F9F">
        <w:t>Severa+Proliferativa</w:t>
      </w:r>
      <w:proofErr w:type="spellEnd"/>
      <w:r w:rsidRPr="00B20F9F">
        <w:t xml:space="preserve"> (distinción clínicamente muy marcada: </w:t>
      </w:r>
      <w:proofErr w:type="spellStart"/>
      <w:r w:rsidRPr="00B20F9F">
        <w:t>microlesiones</w:t>
      </w:r>
      <w:proofErr w:type="spellEnd"/>
      <w:r w:rsidRPr="00B20F9F">
        <w:t xml:space="preserve"> vs hemorragias extensas y neovascularización), y dos clasificadores binarios finales, uno para G1 vs G2 y otro para G3 vs G4. La hipótesis es que la separación Mild/Severe es visualmente más fácil de aprender que distinguir cuatro grados simultáneamente, y que cada clasificador binario final trabaja con imágenes más homogéneas y con más muestras por clase. Este experimento es el que directamente responde a la intuición propuesta por el equipo de que unir </w:t>
      </w:r>
      <w:proofErr w:type="spellStart"/>
      <w:r w:rsidRPr="00B20F9F">
        <w:t>Leve+Moderada</w:t>
      </w:r>
      <w:proofErr w:type="spellEnd"/>
      <w:r w:rsidRPr="00B20F9F">
        <w:t xml:space="preserve"> y </w:t>
      </w:r>
      <w:proofErr w:type="spellStart"/>
      <w:r w:rsidRPr="00B20F9F">
        <w:t>Severa+Proliferativa</w:t>
      </w:r>
      <w:proofErr w:type="spellEnd"/>
      <w:r w:rsidRPr="00B20F9F">
        <w:t xml:space="preserve"> podría facilitar la clasificación.</w:t>
      </w:r>
    </w:p>
    <w:p w14:paraId="5CAA8384" w14:textId="77777777" w:rsidR="0078355C" w:rsidRDefault="0078355C"/>
    <w:sectPr w:rsidR="0078355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332C"/>
    <w:rsid w:val="004C7AB9"/>
    <w:rsid w:val="0078355C"/>
    <w:rsid w:val="0084332C"/>
    <w:rsid w:val="00992EAA"/>
    <w:rsid w:val="00A62F2A"/>
    <w:rsid w:val="00B20F9F"/>
    <w:rsid w:val="00B92E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C23FC62-8263-4750-A8DF-B402019A56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433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433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4332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433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4332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433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433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433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433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4332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4332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4332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4332C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4332C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4332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4332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4332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4332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433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433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433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433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433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4332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4332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4332C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4332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4332C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4332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1163</Words>
  <Characters>6663</Characters>
  <Application>Microsoft Office Word</Application>
  <DocSecurity>0</DocSecurity>
  <Lines>100</Lines>
  <Paragraphs>24</Paragraphs>
  <ScaleCrop>false</ScaleCrop>
  <Company/>
  <LinksUpToDate>false</LinksUpToDate>
  <CharactersWithSpaces>7806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JAVIER GARCIA FERNANDEZ</dc:creator>
  <cp:keywords/>
  <dc:description/>
  <cp:lastModifiedBy>JAVIER GARCIA FERNANDEZ</cp:lastModifiedBy>
  <cp:revision>4</cp:revision>
  <dcterms:created xsi:type="dcterms:W3CDTF">2026-04-12T15:55:00Z</dcterms:created>
  <dcterms:modified xsi:type="dcterms:W3CDTF">2026-04-12T15:55:00Z</dcterms:modified>
</cp:coreProperties>
</file>