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pacing w:val="60"/>
          <w:sz w:val="24"/>
          <w:szCs w:val="24"/>
        </w:rPr>
        <w:t xml:space="preserve">AVANCE DE PROYECTO FINAL 3</w:t>
      </w:r>
    </w:p>
    <w:p>
      <w:pPr>
        <w:spacing w:after="60"/>
      </w:pPr>
      <w:r>
        <w:rPr>
          <w:b/>
          <w:bCs/>
          <w:sz w:val="88"/>
          <w:szCs w:val="88"/>
        </w:rPr>
        <w:t xml:space="preserve">AutoGestión</w:t>
      </w:r>
    </w:p>
    <w:p>
      <w:pPr>
        <w:spacing w:after="200"/>
      </w:pPr>
      <w:r>
        <w:rPr>
          <w:sz w:val="36"/>
          <w:szCs w:val="36"/>
        </w:rPr>
        <w:t xml:space="preserve">Sistema de Autogestión para Taller Mecánico</w:t>
      </w:r>
    </w:p>
    <w:p>
      <w:pPr>
        <w:pBdr>
          <w:bottom w:val="single" w:color="2F5496" w:sz="18" w:space="1"/>
        </w:pBdr>
        <w:spacing w:after="200"/>
      </w:pPr>
    </w:p>
    <w:p>
      <w:pPr>
        <w:spacing w:after="1300"/>
      </w:pPr>
      <w:r>
        <w:rPr>
          <w:i/>
          <w:iCs/>
          <w:sz w:val="24"/>
          <w:szCs w:val="24"/>
        </w:rPr>
        <w:t xml:space="preserve">Desarrollo de la solución informática: arquitectura MVC, DAO y SOLID, TDD, librerías Java y control de versiones</w:t>
      </w:r>
    </w:p>
    <w:tbl>
      <w:tblPr>
        <w:tblW w:type="dxa" w:w="9026"/>
        <w:tblBorders>
          <w:top w:val="single" w:color="7F7F7F" w:sz="4"/>
          <w:left w:val="none" w:color="FFFFFF" w:sz="0"/>
          <w:bottom w:val="single" w:color="7F7F7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aps/>
                <w:sz w:val="20"/>
                <w:szCs w:val="20"/>
              </w:rPr>
              <w:t xml:space="preserve">Curso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Curso Integrador I: Sistemas Software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aps/>
                <w:sz w:val="20"/>
                <w:szCs w:val="20"/>
              </w:rPr>
              <w:t xml:space="preserve">Docente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Denny John Fuentes Adrianzen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aps/>
                <w:sz w:val="20"/>
                <w:szCs w:val="20"/>
              </w:rPr>
              <w:t xml:space="preserve">Integrantes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Benites Moran Anthony Jordan</w:t>
            </w:r>
          </w:p>
          <w:p>
            <w:r>
              <w:rPr>
                <w:sz w:val="22"/>
                <w:szCs w:val="22"/>
              </w:rPr>
              <w:t xml:space="preserve">Kung Bobadilla wenglian</w:t>
            </w:r>
          </w:p>
          <w:p>
            <w:r>
              <w:rPr>
                <w:sz w:val="22"/>
                <w:szCs w:val="22"/>
              </w:rPr>
              <w:t xml:space="preserve">Valle Cobeñas Carlos Javier</w:t>
            </w:r>
          </w:p>
          <w:p>
            <w:r>
              <w:rPr>
                <w:sz w:val="22"/>
                <w:szCs w:val="22"/>
              </w:rPr>
              <w:t xml:space="preserve">Zapata Sanchez Eduar Trinidad</w:t>
            </w:r>
          </w:p>
          <w:p>
            <w:r>
              <w:rPr>
                <w:sz w:val="22"/>
                <w:szCs w:val="22"/>
              </w:rPr>
              <w:t xml:space="preserve">Zegarra Requejo juan David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b/>
                <w:bCs/>
                <w:caps/>
                <w:sz w:val="20"/>
                <w:szCs w:val="20"/>
              </w:rPr>
              <w:t xml:space="preserve">Repositorio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>https://github.com/javier-valle/SistemaAutoGestion</w:t>
            </w:r>
          </w:p>
        </w:tc>
      </w:tr>
    </w:tbl>
    <w:p>
      <w:pPr>
        <w:spacing w:before="2400"/>
        <w:jc w:val="center"/>
      </w:pPr>
      <w:r>
        <w:rPr>
          <w:b/>
          <w:bCs/>
        </w:rPr>
        <w:t xml:space="preserve">Chiclayo, Perú</w:t>
      </w:r>
    </w:p>
    <w:p>
      <w:pPr>
        <w:jc w:val="center"/>
      </w:pPr>
      <w:r>
        <w:t xml:space="preserve">Octubre de 2026</w:t>
      </w:r>
    </w:p>
    <w:p>
      <w:r>
        <w:br w:type="page"/>
      </w:r>
    </w:p>
    <w:p>
      <w:pPr>
        <w:spacing w:after="160"/>
      </w:pPr>
      <w:r>
        <w:rPr>
          <w:b/>
          <w:bCs/>
          <w:sz w:val="30"/>
          <w:szCs w:val="30"/>
        </w:rPr>
        <w:t xml:space="preserve">Contenido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1. Resumen del avance y cumplimiento de la rúbrica</w:t>
      </w:r>
      <w:r>
        <w:rPr>
          <w:b/>
          <w:bCs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1.1 Avance funcional frente al alcance comprometido</w:t>
      </w:r>
      <w:r>
        <w:rPr>
          <w:b w:val="false"/>
          <w:bCs w:val="false"/>
          <w:sz w:val="20"/>
          <w:szCs w:val="20"/>
        </w:rPr>
        <w:t xml:space="preserve">	3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2. Arquitectura de la solución</w:t>
      </w:r>
      <w:r>
        <w:rPr>
          <w:b/>
          <w:bCs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2.1 Patrón MVC</w:t>
      </w:r>
      <w:r>
        <w:rPr>
          <w:b w:val="false"/>
          <w:bCs w:val="fals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2.2 Patrón DAO</w:t>
      </w:r>
      <w:r>
        <w:rPr>
          <w:b w:val="false"/>
          <w:bCs w:val="fals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2.3 Principios SOLID aplicados</w:t>
      </w:r>
      <w:r>
        <w:rPr>
          <w:b w:val="false"/>
          <w:bCs w:val="fals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3. Desarrollo guiado por pruebas (TDD)</w:t>
      </w:r>
      <w:r>
        <w:rPr>
          <w:b/>
          <w:bCs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4. Consideraciones de seguridad</w:t>
      </w:r>
      <w:r>
        <w:rPr>
          <w:b/>
          <w:bCs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5. Uso de librerías de apoyo a la codificación</w:t>
      </w:r>
      <w:r>
        <w:rPr>
          <w:b/>
          <w:bCs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6. Control de versiones con Git y GitHub</w:t>
      </w:r>
      <w:r>
        <w:rPr>
          <w:b/>
          <w:bCs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6.1 Repositorio y flujo de trabajo</w:t>
      </w:r>
      <w:r>
        <w:rPr>
          <w:b w:val="false"/>
          <w:bCs w:val="fals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20"/>
        <w:ind w:left="240"/>
      </w:pPr>
      <w:r>
        <w:rPr>
          <w:b w:val="false"/>
          <w:bCs w:val="false"/>
          <w:sz w:val="20"/>
          <w:szCs w:val="20"/>
        </w:rPr>
        <w:t xml:space="preserve">6.2 Evidencia</w:t>
      </w:r>
      <w:r>
        <w:rPr>
          <w:b w:val="false"/>
          <w:bCs w:val="false"/>
          <w:sz w:val="20"/>
          <w:szCs w:val="20"/>
        </w:rPr>
        <w:t xml:space="preserve">	7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7. Interfaces gráficas (UX/UI)</w:t>
      </w:r>
      <w:r>
        <w:rPr>
          <w:b/>
          <w:bCs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8. Documentación técnica (Javadoc)</w:t>
      </w:r>
      <w:r>
        <w:rPr>
          <w:b/>
          <w:bCs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9. Coherencia entre documentación y código</w:t>
      </w:r>
      <w:r>
        <w:rPr>
          <w:b/>
          <w:bCs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10. Plan de sustentación oral (10 minutos)</w:t>
      </w:r>
      <w:r>
        <w:rPr>
          <w:b/>
          <w:bCs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11. Conclusiones</w:t>
      </w:r>
      <w:r>
        <w:rPr>
          <w:b/>
          <w:bCs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12. Referencias</w:t>
      </w:r>
      <w:r>
        <w:rPr>
          <w:b/>
          <w:bCs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40" w:before="80"/>
      </w:pPr>
      <w:r>
        <w:rPr>
          <w:b/>
          <w:bCs/>
          <w:sz w:val="22"/>
          <w:szCs w:val="22"/>
        </w:rPr>
        <w:t xml:space="preserve">Anexos</w:t>
      </w:r>
      <w:r>
        <w:rPr>
          <w:b/>
          <w:bCs/>
          <w:sz w:val="22"/>
          <w:szCs w:val="22"/>
        </w:rPr>
        <w:t xml:space="preserve">	10</w:t>
      </w:r>
    </w:p>
    <w:p>
      <w:r>
        <w:br w:type="page"/>
      </w:r>
    </w:p>
    <w:p>
      <w:pPr>
        <w:pStyle w:val="Heading1"/>
        <w:keepNext/>
      </w:pPr>
      <w:r>
        <w:t xml:space="preserve">1. Resumen del avance y cumplimiento de la rúbrica</w:t>
      </w:r>
    </w:p>
    <w:p>
      <w:pPr>
        <w:spacing w:after="120" w:line="276"/>
      </w:pPr>
      <w:r>
        <w:t xml:space="preserve">Este informe documenta la construcción de la solución AutoGestión (Alternativa B del Avance 2: API REST en Java 21 con Spring Boot 3, frontend web desacoplado y PostgreSQL 16 sobre Docker Compose). El código vive en GitHub y el sistema ya cubre los 15 requerimientos funcionales definidos en el SRS, además de módulos adicionales (comprobantes, portal del cliente, reportes con exportación).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4027"/>
        <w:gridCol w:w="3220"/>
      </w:tblGrid>
      <w:tr>
        <w:trPr>
          <w:tblHeader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Criterio de la rúbrica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Evidencia en el proyecto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Sección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Diseño de la solución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Arquitectura en capas MVC; capa DAO con Spring Data JPA; SOLID (Strategy/DIP en proveedores y reglas de documento); pruebas automáticas (TDD); seguridad JWT + BCrypt + roles.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2, 3, 4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Uso de recursos Java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Apache POI (Excel), Guava (caché del límite de consultas), Apache Commons Lang3, Logback (logging rotativo); además PDFBox, JJWT, Flyway y Lombok.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Repositorio Git en GitHub, convención de commits (Conventional Commits), CHANGELOG versionado y 65 commits.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Interfaces gráficas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26 páginas HTML: 15 del personal (incluido el login), 10 del portal del cliente y la portada.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Producto final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Backend con 20 controladores, 25 servicios, 25 repositorios, 39 entidades (26 JPA + 13 enums) y migraciones Flyway V1–V9; documentación alineada con el código.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8, 9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Sustentación oral</w:t>
            </w:r>
          </w:p>
        </w:tc>
        <w:tc>
          <w:tcPr>
            <w:tcW w:type="dxa" w:w="40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Guion de 10 minutos con reparto por integrante.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2"/>
        <w:keepNext/>
      </w:pPr>
      <w:r>
        <w:t xml:space="preserve">1.1 Avance funcional frente al alcance comprometido</w:t>
      </w:r>
    </w:p>
    <w:p>
      <w:pPr>
        <w:spacing w:after="120" w:line="276"/>
      </w:pPr>
      <w:r>
        <w:t xml:space="preserve">El alcance mínimo exigido es 30 %. Los 15 requerimientos funcionales del SRS cuentan con implementación en el backend y pantalla asociada: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3465"/>
        <w:gridCol w:w="2997"/>
        <w:gridCol w:w="1721"/>
      </w:tblGrid>
      <w:tr>
        <w:trPr>
          <w:tblHeader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ID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Clases principales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Autenticación con JWT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AuthController, AuthService, JwtAuthFilter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RF-02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Acceso por rol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SecurityConfig, @RolesAllowed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RF-03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Clientes y vehículos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ClienteController, VehiculoController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RF-04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Recepción de vehículos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RecepcionController, RecepcionService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RF-05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DiagnosticoController, DiagnosticoService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RF-06/07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Cotización, aprobar/rechazar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CotizacionController, CotizacionService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RF-08/09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OT desde cotización; estados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OrdenTrabajoController, OrdenTrabajoService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RF-10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Productos usados y stock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OrdenTrabajoService, InventarioService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RF-11/12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Inventario y alertas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InventarioController, ProductoRepository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RF-13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Pago único y entrega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PagoEntregaController, ComprobanteService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RF-14/15</w:t>
            </w:r>
          </w:p>
        </w:tc>
        <w:tc>
          <w:tcPr>
            <w:tcW w:type="dxa" w:w="34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Dashboard y reportes</w:t>
            </w:r>
          </w:p>
        </w:tc>
        <w:tc>
          <w:tcPr>
            <w:tcW w:type="dxa" w:w="29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ReporteController, ReporteService</w:t>
            </w:r>
          </w:p>
        </w:tc>
        <w:tc>
          <w:tcPr>
            <w:tcW w:type="dxa" w:w="17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 w:before="120"/>
      </w:pPr>
      <w:r>
        <w:t xml:space="preserve">Módulos adicionales construidos: comprobantes (boleta/factura internas con serie y correlativo), portal del cliente, solicitudes de cotización, proveedores, gastos operativos, equipo de trabajo, exportación a Excel y PDF y consulta de documentos (DNI/RUC) con varias fuentes.</w:t>
      </w:r>
    </w:p>
    <w:p>
      <w:pPr>
        <w:pStyle w:val="Heading1"/>
        <w:keepNext/>
      </w:pPr>
      <w:r>
        <w:t xml:space="preserve">2. Arquitectura de la solución</w:t>
      </w:r>
    </w:p>
    <w:p>
      <w:pPr>
        <w:pStyle w:val="Heading2"/>
        <w:keepNext/>
      </w:pPr>
      <w:r>
        <w:t xml:space="preserve">2.1 Patrón MVC</w:t>
      </w:r>
    </w:p>
    <w:p>
      <w:pPr>
        <w:spacing w:after="120" w:line="276"/>
      </w:pPr>
      <w:r>
        <w:t xml:space="preserve">El sistema separa la presentación de la lógica y de los datos. Al ser una arquitectura API REST, la Vista es el frontend (HTML, CSS y JavaScript) servido por Nginx; el Controlador son las clases @RestController; y el Modelo agrupa servicios, repositorios y entidades.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266825"/>
            <wp:effectExtent t="0" r="0" b="0" l="0"/>
            <wp:docPr id="1" name="Figura 1. Arquitectura por capas (MVC + DAO) y seguridad." descr="Figura 1. Arquitectura por capas (MVC + DAO) y seguridad." title="Figura 1. Arquitectura por capas (MVC + DAO) y segu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1. Arquitectura por capas (MVC + DAO) y seguridad.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3090"/>
        <w:gridCol w:w="4157"/>
      </w:tblGrid>
      <w:tr>
        <w:trPr>
          <w:tblHeader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Componente MVC</w:t>
            </w:r>
          </w:p>
        </w:tc>
        <w:tc>
          <w:tcPr>
            <w:tcW w:type="dxa" w:w="3090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Paquete / ubicación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Vista</w:t>
            </w:r>
          </w:p>
        </w:tc>
        <w:tc>
          <w:tcPr>
            <w:tcW w:type="dxa" w:w="3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frontend/admin, frontend/portal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Pantallas por rol; api.js y portal-api.js consumen la API con el token JWT.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Controlador</w:t>
            </w:r>
          </w:p>
        </w:tc>
        <w:tc>
          <w:tcPr>
            <w:tcW w:type="dxa" w:w="3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com.autogestion.controller (20)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Recibe la petición, valida con @Valid y delega al servicio. No contiene reglas de negocio.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Modelo – servicio</w:t>
            </w:r>
          </w:p>
        </w:tc>
        <w:tc>
          <w:tcPr>
            <w:tcW w:type="dxa" w:w="3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com.autogestion.service (25)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Reglas de negocio y transacciones (@Transactional): transiciones de estado, descuento de stock, totales.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Modelo – entidad/DTO</w:t>
            </w:r>
          </w:p>
        </w:tc>
        <w:tc>
          <w:tcPr>
            <w:tcW w:type="dxa" w:w="3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entity (39), dto (48)</w:t>
            </w:r>
          </w:p>
        </w:tc>
        <w:tc>
          <w:tcPr>
            <w:tcW w:type="dxa" w:w="41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Entidades JPA y objetos de transferencia que evitan exponer la base de datos.</w:t>
            </w:r>
          </w:p>
        </w:tc>
      </w:tr>
    </w:tbl>
    <w:p>
      <w:pPr>
        <w:pStyle w:val="Heading2"/>
        <w:keepNext/>
      </w:pPr>
      <w:r>
        <w:t xml:space="preserve">2.2 Patrón DAO</w:t>
      </w:r>
    </w:p>
    <w:p>
      <w:pPr>
        <w:spacing w:after="120" w:line="276"/>
      </w:pPr>
      <w:r>
        <w:t xml:space="preserve">El acceso a datos está aislado en 25 interfaces del paquete com.autogestion.repository, que extienden JpaRepository (Spring Data JPA). Cada una actúa como DAO de su entidad: ofrece las operaciones CRUD y consultas específicas con @Query parametrizada. Los servicios dependen solo de estas interfaces, por lo que el motor de base de datos puede cambiar sin modificar la lógica de negocio.</w:t>
      </w:r>
    </w:p>
    <w:p>
      <w:pPr>
        <w:spacing w:after="120" w:line="276"/>
      </w:pPr>
      <w:r>
        <w:t xml:space="preserve">Ejemplo: ProductoRepository expone findConStockBajo() y valorInventario() sin que el servicio conozca el SQL/JPQL subyacente. Las consultas son parametrizadas, lo que previene inyección SQL.</w:t>
      </w:r>
    </w:p>
    <w:p>
      <w:pPr>
        <w:pStyle w:val="Heading2"/>
        <w:keepNext/>
      </w:pPr>
      <w:r>
        <w:t xml:space="preserve">2.3 Principios SOLID aplicados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4181475"/>
            <wp:effectExtent t="0" r="0" b="0" l="0"/>
            <wp:docPr id="1" name="Figura 2. Strategy y DIP: proveedores y reglas de documento." descr="Figura 2. Strategy y DIP: proveedores y reglas de documento." title="Figura 2. Strategy y DIP: proveedores y reglas de docum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2. Strategy y DIP: proveedores y reglas de documento.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7"/>
        <w:gridCol w:w="7059"/>
      </w:tblGrid>
      <w:tr>
        <w:trPr>
          <w:tblHeader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Principio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Aplicación en el código</w:t>
            </w:r>
          </w:p>
        </w:tc>
      </w:tr>
      <w:tr>
        <w:trPr>
          <w:cantSplit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 – Responsabilidad única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Cada clase tiene un propósito: ConsultaDocumentoRateLimit solo limita consultas; ReporteExcelGenerator solo genera Excel; TicketPdf solo genera tickets.</w:t>
            </w:r>
          </w:p>
        </w:tc>
      </w:tr>
      <w:tr>
        <w:trPr>
          <w:cantSplit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 – Abierto/Cerrado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Para sumar una nueva fuente de documentos basta crear otra clase que implemente ProveedorDocumento; para un nuevo tipo de documento, una ReglaDocumento y registrarla en ReglasDocumento. No se modifica el código existente.</w:t>
            </w:r>
          </w:p>
        </w:tc>
      </w:tr>
      <w:tr>
        <w:trPr>
          <w:cantSplit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L – Sustitución de Liskov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Las seis implementaciones de ProveedorDocumento devuelven Optional.empty() ante “no encontrado” (contrato documentado), por lo que son intercambiables.</w:t>
            </w:r>
          </w:p>
        </w:tc>
      </w:tr>
      <w:tr>
        <w:trPr>
          <w:cantSplit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 – Segregación de interfaces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Interfaces pequeñas y específicas (ProveedorDocumento, ReglaDocumento) y un repositorio por entidad en lugar de una interfaz única de acceso a datos.</w:t>
            </w:r>
          </w:p>
        </w:tc>
      </w:tr>
      <w:tr>
        <w:trPr>
          <w:cantSplit/>
        </w:trPr>
        <w:tc>
          <w:tcPr>
            <w:tcW w:type="dxa" w:w="19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 – Inversión de dependencias</w:t>
            </w:r>
          </w:p>
        </w:tc>
        <w:tc>
          <w:tcPr>
            <w:tcW w:type="dxa" w:w="70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ConsultaDocumentoService recibe List&lt;ProveedorDocumento&gt; por constructor y depende de la abstracción, no de SunatDniProvider ni de ScrallDniProvider. Los servicios usan inyección por constructor (Spring).</w:t>
            </w:r>
          </w:p>
        </w:tc>
      </w:tr>
    </w:tbl>
    <w:p>
      <w:pPr>
        <w:pStyle w:val="Heading1"/>
        <w:keepNext/>
      </w:pPr>
      <w:r>
        <w:t xml:space="preserve">3. Desarrollo guiado por pruebas (TDD)</w:t>
      </w:r>
    </w:p>
    <w:p>
      <w:pPr>
        <w:spacing w:after="120" w:line="276"/>
      </w:pPr>
      <w:r>
        <w:t xml:space="preserve">El proyecto incluye 24 clases de prueba con 98 casos (@Test) bajo backend/src/test, ejecutadas con JUnit 5, Mockito y Spring Boot Test (base H2 en memoria). El ciclo aplicado es rojo → verde → refactor: se escribe primero la prueba que describe la regla de negocio, luego el código mínimo que la satisface y finalmente se refactoriza.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6872"/>
      </w:tblGrid>
      <w:tr>
        <w:trPr>
          <w:tblHeader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Tipo de prueba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Ejemplos en el repositorio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Unitarias de servicio (Mockito)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OrdenTrabajoServiceTest (el consumo de stock existe una sola vez), InventarioServiceTest, ClienteServiceTest, RecepcionServiceTest, UsuarioServiceTest.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Unitarias de utilidades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DocumentoValidatorTest (dígito verificador del RUC), NumeroALetrasTest, TicketPdfTest, ReporteExcelGeneratorTest, ReportePdfGeneratorTest.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Proveedores externos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SunatDniProviderTest, ScrallDniProviderTest, DniPeruProviderTest, OpenRucProviderTest.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ReporteControllerSecurityTest (acceso por rol a los endpoints de reportes).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ReporteFlujoIT (recepción → OT → comprobante → reportes), SchemaSmokeTest (migraciones Flyway), PortalContextTest.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Nueva en este avance</w:t>
            </w:r>
          </w:p>
        </w:tc>
        <w:tc>
          <w:tcPr>
            <w:tcW w:type="dxa" w:w="6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ConsultaDocumentoRateLimitTest: tres casos que fijan el comportamiento del límite por IP antes de refactorizarlo con Guava.</w:t>
            </w:r>
          </w:p>
        </w:tc>
      </w:tr>
    </w:tbl>
    <w:p>
      <w:pPr>
        <w:spacing w:after="120" w:line="276"/>
      </w:pPr>
      <w:r>
        <w:t xml:space="preserve">Comando de ejecución: mvn test (desde backend/). Resultado y captura de la ejecución se incluyen en el Anexo B.</w:t>
      </w:r>
    </w:p>
    <w:p>
      <w:pPr>
        <w:pStyle w:val="Heading1"/>
        <w:keepNext/>
      </w:pPr>
      <w:r>
        <w:t xml:space="preserve">4. Consideraciones de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2"/>
        <w:gridCol w:w="6404"/>
      </w:tblGrid>
      <w:tr>
        <w:trPr>
          <w:tblHeader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Medida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Implementación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JWT sin estado (JJWT 0.12.6). Dos tipos de token: personal (rol de BD) y cliente (tipo=CLIENTE, vence en 30 min, solo abre /api/portal/**).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Autorización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SecurityConfig con reglas por ruta y @RolesAllowed en servicios; el frontend oculta pantallas según ROLE_PAGES/ROLE_NAV, pero la decisión final está en el backend.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Contraseñas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Hash BCrypt; contraseñas distintas por rol en modo demo, configurables por variables de entorno.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Validación de entrada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Bean Validation (@Valid), validadores de DNI/RUC/CE/pasaporte y placa peruana.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Integridad del dinero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El total del comprobante se calcula en el servidor desde la cotización (BigDecimal); el navegador no puede alterarlo.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Protección contra abuso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Límite de 20 req/min por IP en Nginx para /api/public/ y límite propio en el backend para la consulta de documentos (Guava Cache).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Datos personales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Documentos enmascarados en logs; nombre del navegador ignorado si una fuente externa responde; trazabilidad con fuente_verificacion.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Secretos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Variables de entorno (.env fuera del repositorio, .env.example como plantilla).</w:t>
            </w:r>
          </w:p>
        </w:tc>
      </w:tr>
      <w:tr>
        <w:trPr>
          <w:cantSplit/>
        </w:trPr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4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Consultas parametrizadas, restricciones CHECK/UNIQUE/FK y migraciones versionadas con Flyway.</w:t>
            </w:r>
          </w:p>
        </w:tc>
      </w:tr>
    </w:tbl>
    <w:p>
      <w:pPr>
        <w:pStyle w:val="Heading1"/>
        <w:keepNext/>
      </w:pPr>
      <w:r>
        <w:t xml:space="preserve">5. Uso de librerías de apoyo a la codificación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9"/>
        <w:gridCol w:w="1873"/>
        <w:gridCol w:w="5374"/>
      </w:tblGrid>
      <w:tr>
        <w:trPr>
          <w:tblHeader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Librería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Dependencia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Uso en AutoGestión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Apache POI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poi-ooxml 5.3.0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ReporteExcelGenerator genera el libro Excel de reportes (resumen, ingresos, inventario, gastos, resultado) con secciones y formato.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Google Guava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guava 33.3.1-jre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ConsultaDocumentoRateLimit usa Cache con tamaño máximo y expiración para el límite por IP, y Preconditions para validar parámetros.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Apache Commons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commons-lang3 (BOM de Spring Boot)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StringUtils.defaultIfBlank para normalizar la IP del cliente y evitar valores nulos.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Logback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spring-boot-starter-logging + logback-spring.xml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Registro en consola y archivo rotativo (10 MB, 14 días, tope 200 MB); 11 clases usan SLF4J. Sin contraseñas, tokens ni documentos completos.</w:t>
            </w:r>
          </w:p>
        </w:tc>
      </w:tr>
      <w:tr>
        <w:trPr>
          <w:cantSplit/>
        </w:trPr>
        <w:tc>
          <w:tcPr>
            <w:tcW w:type="dxa" w:w="17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Otras</w:t>
            </w:r>
          </w:p>
        </w:tc>
        <w:tc>
          <w:tcPr>
            <w:tcW w:type="dxa" w:w="1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PDFBox 3.0.3, JJWT, Flyway, Lombok</w:t>
            </w:r>
          </w:p>
        </w:tc>
        <w:tc>
          <w:tcPr>
            <w:tcW w:type="dxa" w:w="53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Tickets y reportes en PDF, tokens JWT, migraciones de esquema y reducción de código repetitivo.</w:t>
            </w:r>
          </w:p>
        </w:tc>
      </w:tr>
    </w:tbl>
    <w:p>
      <w:pPr>
        <w:spacing w:after="120" w:before="120"/>
      </w:pPr>
      <w:r>
        <w:t xml:space="preserve">Seguridad en el uso de librerías: versiones fijadas en el pom.xml, dependencias administradas por el BOM de Spring Boot cuando existe, y ninguna credencial ni dato personal se escribe en los registros.</w:t>
      </w:r>
    </w:p>
    <w:p>
      <w:pPr>
        <w:pStyle w:val="Heading1"/>
        <w:keepNext/>
      </w:pPr>
      <w:r>
        <w:t xml:space="preserve">6. Control de versiones con Git y GitHub</w:t>
      </w:r>
    </w:p>
    <w:p>
      <w:pPr>
        <w:pStyle w:val="Heading2"/>
        <w:keepNext/>
      </w:pPr>
      <w:r>
        <w:t xml:space="preserve">6.1 Repositorio y flujo de trabajo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Repositorio: </w:t>
      </w:r>
      <w:r>
        <w:t xml:space="preserve">https://github.com/javier-valle/SistemaAutoGestion (rama principal main).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Ramas: </w:t>
      </w:r>
      <w:r>
        <w:t xml:space="preserve">main como única rama de trabajo (proyecto individual); cada avance entra con commits agrupados por intención (test, fix, refactor, feat, chore, docs).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Commits: </w:t>
      </w:r>
      <w:r>
        <w:t xml:space="preserve">convención Conventional Commits (feat:, fix:, test:, docs:, refactor:), un cambio lógico por commit y el commit de la prueba antes del de la implementación cuando se aplica TDD.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Versionado: </w:t>
      </w:r>
      <w:r>
        <w:t xml:space="preserve">versiones semánticas registradas en CHANGELOG.md (de v1.0.0 a v2.14.0); los tags de Git todavía no se publican.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Gestión: </w:t>
      </w:r>
      <w:r>
        <w:t xml:space="preserve">Issues de GitHub para las tareas pendientes; al ser un proyecto individual, el estudiante asume también el rol de responsable de control de versiones.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Seguridad del repositorio: </w:t>
      </w:r>
      <w:r>
        <w:t xml:space="preserve">.gitignore excluye .env, logs y artefactos; solo se versiona .env.example.</w:t>
      </w:r>
    </w:p>
    <w:p>
      <w:pPr>
        <w:pStyle w:val="Heading2"/>
        <w:keepNext/>
      </w:pPr>
      <w:r>
        <w:t xml:space="preserve">6.2 Evidencia</w:t>
      </w:r>
    </w:p>
    <w:p>
      <w:pPr>
        <w:spacing w:after="120" w:line="276"/>
      </w:pPr>
      <w:r>
        <w:t>La evidencia del control de versiones está en el Anexo D: historial de commits sobre la rama main y gráfico de contribuciones. El repositorio se trabajó con commits directos, sin Pull Requests ni tableros: cada avance se subió en commits separados por intención (test, fix, refactor, feat, chore, docs).</w:t>
      </w:r>
    </w:p>
    <w:p>
      <w:pPr>
        <w:spacing w:after="120" w:line="276"/>
      </w:pPr>
      <w:r>
        <w:t xml:space="preserve">Distribución de responsabilidades por integrante (completar con el área real de cada uno):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5655"/>
      </w:tblGrid>
      <w:tr>
        <w:trPr>
          <w:tblHeader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Integrante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Benites Moran Anthony Jordan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Kung Bobadilla Wenglian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Valle Cobeñas Carlos Javier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Zapata Sanchez Eduar Trinidad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Zegarra Requejo Juan David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</w:pPr>
      <w:r>
        <w:t xml:space="preserve">7. Interfaces gráficas (UX/UI)</w:t>
      </w:r>
    </w:p>
    <w:p>
      <w:pPr>
        <w:spacing w:after="120" w:line="276"/>
      </w:pPr>
      <w:r>
        <w:t xml:space="preserve">La interfaz usa un estilo industrial (acero, aceite y señalización), modo claro/oscuro, animaciones que respetan prefers-reduced-motion y diseño adaptable. El sistema entrega 26 páginas: login del personal, 14 pantallas administrativas (dashboard, recepción, clientes, cotización, órdenes de trabajo, inventario, pago/entrega, equipo, reportes, paneles de mecánico y recepcionista, tutorial, acceso denegado y políticas) y 10 pantallas del portal del cliente.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47950"/>
            <wp:effectExtent t="0" r="0" b="0" l="0"/>
            <wp:docPr id="1" name="Figura 3. Inicio de sesión del personal (sistema en ejecución)." descr="Figura 3. Inicio de sesión del personal (sistema en ejecución)." title="Figura 3. Inicio de sesión del personal (sistema en ejecució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3. Inicio de sesión del personal (sistema en ejecución).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Figura 4. Dashboard con indicadores." descr="Figura 4. Dashboard con indicadores." title="Figura 4. Dashboard con indic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4. Dashboard con indicadores.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86050"/>
            <wp:effectExtent t="0" r="0" b="0" l="0"/>
            <wp:docPr id="1" name="Figura 5. Diagnóstico y cotización." descr="Figura 5. Diagnóstico y cotización." title="Figura 5. Diagnóstico y cotiz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5. Diagnóstico y cotización.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86050"/>
            <wp:effectExtent t="0" r="0" b="0" l="0"/>
            <wp:docPr id="1" name="Figura 6. Inventario y alertas de stock." descr="Figura 6. Inventario y alertas de stock." title="Figura 6. Inventario y alertas de sto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6. Inventario y alertas de 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7-portal-cli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7. Portal del cliente: acceso con documento y placa (sistema en ejecución).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39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8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8. Dashboard del personal con indicadores del taller.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3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9-repor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9. Reportes por rango, con exportación a Excel y PDF.</w:t>
      </w:r>
    </w:p>
    <w:p>
      <w:pPr>
        <w:pStyle w:val="Heading1"/>
        <w:keepNext/>
      </w:pPr>
      <w:r>
        <w:t xml:space="preserve">8. Documentación técnica (Javadoc)</w:t>
      </w:r>
    </w:p>
    <w:p>
      <w:pPr>
        <w:spacing w:after="120" w:line="276"/>
      </w:pPr>
      <w:r>
        <w:t xml:space="preserve">El código contiene alrededor de 236 bloques de documentación Javadoc en clases y métodos principales. Con maven-javadoc-plugin configurado en el pom.xml, la documentación HTML se genera con el comando mvn javadoc:javadoc y queda en backend/target/site/apidocs. En el Anexo A se adjunta la captura del índice generado.</w:t>
      </w:r>
    </w:p>
    <w:p>
      <w:pPr>
        <w:spacing w:after="120" w:line="276"/>
      </w:pPr>
      <w:r>
        <w:t xml:space="preserve">Documentación complementaria en el repositorio: README.md (instalación y uso), CHANGELOG.md, PLAN.md, docs/permisos.md, docs/GUIA_DESARROLLO.md, docs/MANUAL_USUARIO.md y docs/PREGUNTAS_PROFE.md.</w:t>
      </w:r>
    </w:p>
    <w:p>
      <w:pPr>
        <w:pStyle w:val="Heading1"/>
        <w:keepNext/>
      </w:pPr>
      <w:r>
        <w:t xml:space="preserve">9. Coherencia entre documentación y código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1"/>
        <w:gridCol w:w="5655"/>
      </w:tblGrid>
      <w:tr>
        <w:trPr>
          <w:tblHeader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Elemento del Avance 2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Estado actual</w:t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14 entidades JPA, 10 controllers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Ahora 39 entidades y 20 controladores por el crecimiento del alcance (comprobantes, portal, proveedores, gastos).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Alcance: sin portal del cliente ni facturación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Se agregó portal del cliente y comprobantes internos (no SUNAT). Alcance actualizado en este informe.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Esquema en database/init.sql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Esquema versionado con Flyway (V1–V9) en backend/src/main/resources/db/migration.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9 pantallas del prototipo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26 páginas implementadas; las 9 originales se conservan.</w:t>
            </w:r>
          </w:p>
        </w:tc>
      </w:tr>
    </w:tbl>
    <w:p>
      <w:pPr>
        <w:pStyle w:val="Heading1"/>
        <w:keepNext/>
      </w:pPr>
      <w:r>
        <w:t xml:space="preserve">10. Plan de sustentación oral (10 minutos)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"/>
        <w:gridCol w:w="2622"/>
        <w:gridCol w:w="4063"/>
        <w:gridCol w:w="1685"/>
      </w:tblGrid>
      <w:tr>
        <w:trPr>
          <w:tblHeader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Min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Tema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Contenido clave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single" w:color="7F7F7F" w:sz="4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aps/>
                <w:sz w:val="19"/>
                <w:szCs w:val="19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Contexto y alcance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Problema del taller, alternativa B, 15 RF cubiertos.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1–3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Arquitectura MVC + DAO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Figura 1, flujo controller → service → repository.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3–5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SOLID y seguridad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Strategy en proveedores (Figura 2), JWT, roles, BCrypt.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TDD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mvn test, un caso rojo → verde (RateLimit).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6–7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Librerías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POI, Guava, Commons, Logback: dónde y por qué.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7–8:30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Git y GitHub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Convención de commits y historial en GitHub (proyecto individual).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8:30–10</w:t>
            </w:r>
          </w:p>
        </w:tc>
        <w:tc>
          <w:tcPr>
            <w:tcW w:type="dxa" w:w="2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Demo y cierre</w:t>
            </w:r>
          </w:p>
        </w:tc>
        <w:tc>
          <w:tcPr>
            <w:tcW w:type="dxa" w:w="4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>Recepción → cotización → OT → pago; conclusiones.</w:t>
            </w:r>
          </w:p>
        </w:tc>
        <w:tc>
          <w:tcPr>
            <w:tcW w:type="dxa" w:w="1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ap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120"/>
      </w:pPr>
      <w:r>
        <w:t xml:space="preserve">Todos los integrantes participan; cada uno responde sobre la sección que presenta vinculándola con los conceptos del curso.</w:t>
      </w:r>
    </w:p>
    <w:p>
      <w:pPr>
        <w:pStyle w:val="Heading1"/>
        <w:keepNext/>
      </w:pPr>
      <w:r>
        <w:t xml:space="preserve">11. Conclusiones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arquitectura en capas con DAO (Spring Data) y servicios transaccionales mantiene la lógica de negocio aislada de la interfaz y de la base de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SOLID se evidencia en puntos concretos del código (Strategy/DIP en proveedores y reglas de documento) y no solo en la teoría.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Las 24 clases de prueba (98 casos) protegen las reglas críticas: stock, comprobantes, validación de documentos y permisos por rol.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Las librerías incorporadas resuelven problemas reales: reportes Excel/PDF, caché y límite de consultas, registro de eventos.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historial de GitHub, con commits separados por intención, permite trazar cada avance del proyecto.</w:t>
      </w:r>
    </w:p>
    <w:p>
      <w:pPr>
        <w:pStyle w:val="Heading1"/>
        <w:keepNext/>
      </w:pPr>
      <w:r>
        <w:t xml:space="preserve">12. Referencias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Martin, R. C. (2017). Clean Architecture: A Craftsman’s Guide to Software Structure and Design. Prentice Hall.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Beck, K. (2002). Test-Driven Development: By Example. Addison-Wesley.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Fowler, M. (2002). Patterns of Enterprise Application Architecture. Addison-Wesley.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Broadcom. (2024). Spring Boot Reference Documentation 3.3. https://docs.spring.io/spring-boot/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Broadcom. (2024). Spring Data JPA Reference. https://docs.spring.io/spring-data/jpa/reference/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Google. (2024). Guava: Google Core Libraries for Java. https://github.com/google/guava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Apache Software Foundation. (2024). Apache POI y Apache Commons Lang. https://poi.apache.org / https://commons.apache.org/proper/commons-lang/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QOS.ch. (2024). Logback Manual. https://logback.qos.ch/manual/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Chacon, S. y Straub, B. (2014). Pro Git (2.ª ed.). Apress. https://git-scm.com/book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Preston-Werner, T. (2013). Semantic Versioning 2.0.0. https://semver.org</w:t>
      </w:r>
    </w:p>
    <w:p>
      <w:pPr>
        <w:pStyle w:val="Heading1"/>
        <w:keepNext/>
      </w:pPr>
      <w:r>
        <w:t xml:space="preserve">Anexos</w:t>
      </w:r>
    </w:p>
    <w:p>
      <w:pPr>
        <w:spacing w:after="120" w:line="276"/>
      </w:pPr>
      <w:r>
        <w:rPr>
          <w:b/>
          <w:bCs/>
        </w:rPr>
        <w:t xml:space="preserve">Anexo A. </w:t>
      </w:r>
      <w:r>
        <w:t xml:space="preserve">Documentación Javadoc generada con mvn javadoc:javadoc: 481 páginas en backend/target/site/apidocs. </w:t>
      </w:r>
      <w:r>
        <w:rPr>
          <w:highlight w:val="yellow"/>
          <w:highlightCs w:val="yellow"/>
        </w:rPr>
        <w:t xml:space="preserve">Captura del índice en docs/evidencia/anexo-a-javadoc.png.</w:t>
      </w:r>
    </w:p>
    <w:p>
      <w:pPr>
        <w:spacing w:after="120" w:line="276"/>
      </w:pPr>
      <w:r>
        <w:rPr>
          <w:b/>
          <w:bCs/>
        </w:rPr>
        <w:t xml:space="preserve">Anexo B. </w:t>
      </w:r>
      <w:r>
        <w:t xml:space="preserve">Resultado de mvn test: 98 pruebas ejecutadas, 0 fallos, BUILD SUCCESS. </w:t>
      </w:r>
      <w:r>
        <w:rPr>
          <w:highlight w:val="yellow"/>
          <w:highlightCs w:val="yellow"/>
        </w:rPr>
        <w:t xml:space="preserve">Salida completa en docs/evidencia/mvn-test-completo.txt.</w:t>
      </w:r>
    </w:p>
    <w:p>
      <w:pPr>
        <w:spacing w:after="120" w:line="276"/>
      </w:pPr>
      <w:r>
        <w:t>Anexo C. Diagramas del proyecto. C.1 Modelo de datos del núcleo operativo, elaborado desde las migraciones Flyway V1–V9. C.2 Arquitectura por capas (MVC + DAO + SOLID) y seguridad transversal. Los diagramas de Gantt, BPMN y clases UML del Avance 2 se mantienen en el informe de esa entrega.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-c1-modelo-d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C.1. Modelo de datos: cliente, vehículo, recepción, diagnóstico, cotización, OT, comprobante y pago.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164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-c2-arquitectu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6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C.2. Arquitectura por capas con el patrón Strategy de ProveedorDocumento y la seguridad transversal.</w:t>
      </w:r>
    </w:p>
    <w:p>
      <w:pPr>
        <w:spacing w:after="120" w:line="276"/>
      </w:pPr>
      <w:r>
        <w:t>Anexo D. Evidencia de GitHub. D.1 Historial de commits sobre main: 65 commits con mensajes por intención y un único autor (javier-valle). D.2 Contribuidores del repositorio: javier-valle (51 commits) y WenliangK (7 commits). No se utilizaron Pull Requests ni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39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-d-github-commi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D.1. Historial de commits en GitHub (rama main).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73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exo-d-github-contribu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D.2. Insights → Contributors: aportes por integrante.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AutoGestión — Avance de Proyecto Final 3 ·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2076450" cy="457200"/>
          <wp:effectExtent t="0" r="0" b="0" l="0"/>
          <wp:docPr id="1" name="UTP" descr="Logo UTP" title="UT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988128c1a8a716f5c61f9a9799996fce1b4d07.png"/><Relationship Id="rId10" Type="http://schemas.openxmlformats.org/officeDocument/2006/relationships/image" Target="media/1be18624cea6702578950b21378e82d64816e519.png"/><Relationship Id="rId11" Type="http://schemas.openxmlformats.org/officeDocument/2006/relationships/image" Target="media/2e603cd22e78e49c512275c12e4d41e380e00f5a.png"/><Relationship Id="rId12" Type="http://schemas.openxmlformats.org/officeDocument/2006/relationships/image" Target="media/50c7ffda599eaf72c8c20dec61e367981708e516.png"/><Relationship Id="rId13" Type="http://schemas.openxmlformats.org/officeDocument/2006/relationships/image" Target="media/ef7b759340614676e200df05e3b00304a0420756.png"/><Relationship Id="rId14" Type="http://schemas.openxmlformats.org/officeDocument/2006/relationships/image" Target="media/ffe6128420f1fefcc25e8102a023715135144a3b.png"/><Relationship Id="rId15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980b1a840481effe32ecf64c887a233ffd62ffd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2026-10-29T05:27:45.903Z</dcterms:created>
  <dcterms:modified xsi:type="dcterms:W3CDTF">2026-10-29T05:27:45.904Z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