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60" w:lineRule="auto"/>
        <w:jc w:val="both"/>
        <w:rPr>
          <w:b w:val="1"/>
          <w:bCs w:val="1"/>
          <w:sz w:val="46"/>
          <w:szCs w:val="46"/>
        </w:rPr>
      </w:pPr>
      <w:bookmarkStart w:colFirst="0" w:colLast="0" w:name="_32jdwauzjkaa" w:id="0"/>
      <w:bookmarkEnd w:id="0"/>
      <w:r w:rsidDel="00000000" w:rsidR="00000000" w:rsidRPr="00000000">
        <w:rPr>
          <w:b w:val="1"/>
          <w:bCs w:val="1"/>
          <w:sz w:val="46"/>
          <w:szCs w:val="46"/>
          <w:rtl w:val="0"/>
        </w:rPr>
        <w:t xml:space="preserve">Título del proyecto</w:t>
      </w:r>
    </w:p>
    <w:p w:rsidR="00000000" w:rsidDel="00000000" w:rsidP="00000000" w:rsidRDefault="00000000" w:rsidRPr="00000000" w14:paraId="00000002">
      <w:pPr>
        <w:spacing w:after="240" w:before="240" w:line="360" w:lineRule="auto"/>
        <w:jc w:val="both"/>
        <w:rPr>
          <w:b w:val="1"/>
          <w:bCs w:val="1"/>
        </w:rPr>
      </w:pPr>
      <w:r w:rsidDel="00000000" w:rsidR="00000000" w:rsidRPr="00000000">
        <w:rPr>
          <w:b w:val="1"/>
          <w:bCs w:val="1"/>
          <w:rtl w:val="0"/>
        </w:rPr>
        <w:t xml:space="preserve">Arquitectura relacional de la cultura científica en el Perú: información, confianza y apoyo ciudadano a la inversión pública en CTI</w:t>
      </w:r>
    </w:p>
    <w:p w:rsidR="00000000" w:rsidDel="00000000" w:rsidP="00000000" w:rsidRDefault="00000000" w:rsidRPr="00000000" w14:paraId="00000003">
      <w:pPr>
        <w:pStyle w:val="Heading1"/>
        <w:keepNext w:val="0"/>
        <w:keepLines w:val="0"/>
        <w:spacing w:before="480" w:line="360" w:lineRule="auto"/>
        <w:jc w:val="both"/>
        <w:rPr>
          <w:b w:val="1"/>
          <w:bCs w:val="1"/>
          <w:sz w:val="46"/>
          <w:szCs w:val="46"/>
        </w:rPr>
      </w:pPr>
      <w:bookmarkStart w:colFirst="0" w:colLast="0" w:name="_tws1ooyuf6bz" w:id="1"/>
      <w:bookmarkEnd w:id="1"/>
      <w:r w:rsidDel="00000000" w:rsidR="00000000" w:rsidRPr="00000000">
        <w:rPr>
          <w:b w:val="1"/>
          <w:bCs w:val="1"/>
          <w:sz w:val="46"/>
          <w:szCs w:val="46"/>
          <w:rtl w:val="0"/>
        </w:rPr>
        <w:t xml:space="preserve">Resumen ejecutivo</w:t>
      </w:r>
    </w:p>
    <w:p w:rsidR="00000000" w:rsidDel="00000000" w:rsidP="00000000" w:rsidRDefault="00000000" w:rsidRPr="00000000" w14:paraId="00000004">
      <w:pPr>
        <w:spacing w:after="240" w:before="240" w:line="360" w:lineRule="auto"/>
        <w:jc w:val="both"/>
        <w:rPr/>
      </w:pPr>
      <w:r w:rsidDel="00000000" w:rsidR="00000000" w:rsidRPr="00000000">
        <w:rPr>
          <w:b w:val="1"/>
          <w:bCs w:val="1"/>
          <w:rtl w:val="0"/>
        </w:rPr>
        <w:t xml:space="preserve">Eje temático:</w:t>
      </w:r>
      <w:r w:rsidDel="00000000" w:rsidR="00000000" w:rsidRPr="00000000">
        <w:rPr>
          <w:rtl w:val="0"/>
        </w:rPr>
        <w:t xml:space="preserve"> Eje 1. Apropiación social de la CTI y apoyo ciudadano para enfrentar problemas públicos prioritarios.</w:t>
        <w:br w:type="textWrapping"/>
      </w:r>
      <w:r w:rsidDel="00000000" w:rsidR="00000000" w:rsidRPr="00000000">
        <w:rPr>
          <w:b w:val="1"/>
          <w:bCs w:val="1"/>
          <w:rtl w:val="0"/>
        </w:rPr>
        <w:t xml:space="preserve">Encuesta principal:</w:t>
      </w:r>
      <w:r w:rsidDel="00000000" w:rsidR="00000000" w:rsidRPr="00000000">
        <w:rPr>
          <w:rtl w:val="0"/>
        </w:rPr>
        <w:t xml:space="preserve"> Encuesta Nacional de Percepción Social de la Ciencia y la Tecnología del Perú 2024.</w:t>
      </w:r>
    </w:p>
    <w:p w:rsidR="00000000" w:rsidDel="00000000" w:rsidP="00000000" w:rsidRDefault="00000000" w:rsidRPr="00000000" w14:paraId="00000005">
      <w:pPr>
        <w:spacing w:after="240" w:before="240" w:line="360" w:lineRule="auto"/>
        <w:jc w:val="both"/>
        <w:rPr/>
      </w:pPr>
      <w:r w:rsidDel="00000000" w:rsidR="00000000" w:rsidRPr="00000000">
        <w:rPr>
          <w:rtl w:val="0"/>
        </w:rPr>
        <w:t xml:space="preserve">El presente proyecto propone identificar los factores que explican el apoyo ciudadano a incrementar la inversión pública en ciencia, tecnología e innovación en el Perú, a partir de los microdatos de la Encuesta Nacional de Percepción Social de la Ciencia y la Tecnología del Perú 2024. La investigación se inscribe en el eje de apropiación social de la CTI y busca generar evidencia aplicada para orientar estrategias de comunicación pública de la ciencia, fortalecimiento institucional y diseño de políticas de inversión en CTI.</w:t>
      </w:r>
    </w:p>
    <w:p w:rsidR="00000000" w:rsidDel="00000000" w:rsidP="00000000" w:rsidRDefault="00000000" w:rsidRPr="00000000" w14:paraId="00000006">
      <w:pPr>
        <w:spacing w:after="240" w:before="240" w:line="360" w:lineRule="auto"/>
        <w:jc w:val="both"/>
        <w:rPr/>
      </w:pPr>
      <w:r w:rsidDel="00000000" w:rsidR="00000000" w:rsidRPr="00000000">
        <w:rPr>
          <w:rtl w:val="0"/>
        </w:rPr>
        <w:t xml:space="preserve">La propuesta parte de una hipótesis sustantiva: el apoyo ciudadano a la inversión pública en CTI no depende únicamente del nivel educativo, la edad, el nivel socioeconómico o el interés declarado por la ciencia, sino de configuraciones más amplias entre información, confianza, valoración de los científicos, participación cultural, conocimiento institucional, percepción de beneficios y riesgos tecnológicos, y expectativas sobre el desarrollo nacional. En ese sentido, el proyecto se plantea como un análisis explicativo orientado a contrastar qué dimensiones de la cultura científica sostienen con mayor fuerza la legitimidad social de la inversión pública en CTI.</w:t>
      </w:r>
    </w:p>
    <w:p w:rsidR="00000000" w:rsidDel="00000000" w:rsidP="00000000" w:rsidRDefault="00000000" w:rsidRPr="00000000" w14:paraId="00000007">
      <w:pPr>
        <w:spacing w:after="240" w:before="240" w:line="360" w:lineRule="auto"/>
        <w:jc w:val="both"/>
        <w:rPr/>
      </w:pPr>
      <w:r w:rsidDel="00000000" w:rsidR="00000000" w:rsidRPr="00000000">
        <w:rPr>
          <w:rtl w:val="0"/>
        </w:rPr>
        <w:t xml:space="preserve">Metodológicamente, el estudio combinará cuatro componentes: construcción de índices, análisis de redes de variables, modelos estadísticos ponderados y segmentación de perfiles ciudadanos. En primer lugar, se definirán dimensiones analíticas a partir de los módulos de la ENPSCyT 2024 y de la literatura sobre apropiación social de la ciencia: capital informativo, confianza y valoración de actores científicos, participación cultural científica, conocimiento institucional, optimismo tecnocientífico, reservas frente a la tecnología, percepción de capacidades nacionales y apoyo a la inversión pública en CTI.</w:t>
      </w:r>
    </w:p>
    <w:p w:rsidR="00000000" w:rsidDel="00000000" w:rsidP="00000000" w:rsidRDefault="00000000" w:rsidRPr="00000000" w14:paraId="00000008">
      <w:pPr>
        <w:spacing w:after="240" w:before="240" w:line="360" w:lineRule="auto"/>
        <w:jc w:val="both"/>
        <w:rPr/>
      </w:pPr>
      <w:r w:rsidDel="00000000" w:rsidR="00000000" w:rsidRPr="00000000">
        <w:rPr>
          <w:rtl w:val="0"/>
        </w:rPr>
        <w:t xml:space="preserve">En segundo lugar, se construirá una red de variables de encuesta para evaluar la coherencia estructural de dichas dimensiones. En esta red, cada nodo corresponderá a un ítem de la ENPSCyT 2024 y cada arista representará una asociación ordinal ponderada entre dos variables. Las asociaciones se estimarán mediante correlaciones tipo Spearman ponderadas por el factor de expansión de la encuesta, luego de recodificar las respuestas en escalas ordinales comparables. Las categorías “No sabe” y “No contesta” serán tratadas como valores perdidos para el cálculo de asociaciones. La variable de apoyo a incrementar la inversión pública en investigación científica y desarrollo tecnológico será excluida de esta red inicial, debido a que funcionará como variable dependiente en los modelos explicativos.</w:t>
      </w:r>
    </w:p>
    <w:p w:rsidR="00000000" w:rsidDel="00000000" w:rsidP="00000000" w:rsidRDefault="00000000" w:rsidRPr="00000000" w14:paraId="00000009">
      <w:pPr>
        <w:spacing w:after="240" w:before="240" w:line="360" w:lineRule="auto"/>
        <w:jc w:val="both"/>
        <w:rPr/>
      </w:pPr>
      <w:r w:rsidDel="00000000" w:rsidR="00000000" w:rsidRPr="00000000">
        <w:rPr>
          <w:rtl w:val="0"/>
        </w:rPr>
        <w:t xml:space="preserve">Sobre la red ponderada se aplicará detección de comunidades mediante el algoritmo Louvain o Leiden, adecuado para redes ponderadas no dirigidas. Como prueba de robustez, se compararán los resultados con otros criterios de partición, como modularidad greedy y variaciones del umbral mínimo de asociación. La red permitirá identificar agrupamientos empíricos de indicadores, detectar redundancias entre ítems, reconocer variables puente entre dimensiones y refinar la construcción de índices. Se reportarán métricas como fuerza ponderada de nodo, centralidad de intermediación, modularidad, tamaño de comunidades y estabilidad de comunidades bajo cambios de umbral.</w:t>
      </w:r>
    </w:p>
    <w:p w:rsidR="00000000" w:rsidDel="00000000" w:rsidP="00000000" w:rsidRDefault="00000000" w:rsidRPr="00000000" w14:paraId="0000000A">
      <w:pPr>
        <w:spacing w:after="240" w:before="240" w:line="360" w:lineRule="auto"/>
        <w:jc w:val="both"/>
        <w:rPr/>
      </w:pPr>
      <w:r w:rsidDel="00000000" w:rsidR="00000000" w:rsidRPr="00000000">
        <w:rPr>
          <w:rtl w:val="0"/>
        </w:rPr>
        <w:t xml:space="preserve">Adicionalmente, se utilizarán embeddings de grafos como análisis complementario de la estructura de variables. Específicamente, se evaluará el uso de node2vec o embeddings espectrales sobre la red de ítems para representar cada variable en un espacio latente de baja dimensión. Estos embeddings permitirán verificar si las variables pertenecientes a una misma dimensión sustantiva se ubican próximas entre sí, identificar ítems ambiguos o de frontera, y comparar la estructura obtenida mediante comunidades con una representación continua de similitud relacional. Este componente no reemplazará los modelos estadísticos, sino que funcionará como una prueba adicional de consistencia estructural y como apoyo para la visualización e interpretación de los indicadores.</w:t>
      </w:r>
    </w:p>
    <w:p w:rsidR="00000000" w:rsidDel="00000000" w:rsidP="00000000" w:rsidRDefault="00000000" w:rsidRPr="00000000" w14:paraId="0000000B">
      <w:pPr>
        <w:spacing w:after="240" w:before="240" w:line="360" w:lineRule="auto"/>
        <w:jc w:val="both"/>
        <w:rPr/>
      </w:pPr>
      <w:r w:rsidDel="00000000" w:rsidR="00000000" w:rsidRPr="00000000">
        <w:rPr>
          <w:rtl w:val="0"/>
        </w:rPr>
        <w:t xml:space="preserve">En tercer lugar, las dimensiones validadas mediante red y revisión sustantiva serán transformadas en índices individuales. Para ello, los ítems de cada dimensión serán estandarizados y agregados en puntajes por persona. Se evaluará la consistencia interna de los índices mediante alfa de Cronbach u omega ordinal, según corresponda, y se contrastará su estabilidad frente a especificaciones alternativas: índices definidos teóricamente, índices derivados de comunidades de red y, cuando sea pertinente, componentes obtenidos mediante análisis de componentes principales o análisis factorial exploratorio.</w:t>
      </w:r>
    </w:p>
    <w:p w:rsidR="00000000" w:rsidDel="00000000" w:rsidP="00000000" w:rsidRDefault="00000000" w:rsidRPr="00000000" w14:paraId="0000000C">
      <w:pPr>
        <w:spacing w:after="240" w:before="240" w:line="360" w:lineRule="auto"/>
        <w:jc w:val="both"/>
        <w:rPr/>
      </w:pPr>
      <w:r w:rsidDel="00000000" w:rsidR="00000000" w:rsidRPr="00000000">
        <w:rPr>
          <w:rtl w:val="0"/>
        </w:rPr>
        <w:t xml:space="preserve">En cuarto lugar, se estimarán modelos estadísticos ponderados para explicar el apoyo ciudadano a incrementar la inversión pública en CTI. La variable dependiente principal será binaria: 1 si la persona considera que la inversión pública en investigación científica y desarrollo tecnológico debería aumentar, y 0 si considera que debería mantenerse igual o disminuir. Se estimarán modelos logísticos ponderados usando el factor de expansión de la ENPSCyT 2024. El modelo base incluirá controles sociodemográficos y territoriales: sexo, edad, nivel educativo, nivel socioeconómico y departamento de residencia. Los modelos ampliados incorporarán los índices de cultura científica: capital informativo, confianza en científicos, participación cultural, conocimiento institucional, optimismo tecnocientífico, reservas frente a la tecnología y percepción de capacidades nacionales.</w:t>
      </w:r>
    </w:p>
    <w:p w:rsidR="00000000" w:rsidDel="00000000" w:rsidP="00000000" w:rsidRDefault="00000000" w:rsidRPr="00000000" w14:paraId="0000000D">
      <w:pPr>
        <w:spacing w:after="240" w:before="240" w:line="360" w:lineRule="auto"/>
        <w:jc w:val="both"/>
        <w:rPr/>
      </w:pPr>
      <w:r w:rsidDel="00000000" w:rsidR="00000000" w:rsidRPr="00000000">
        <w:rPr>
          <w:rtl w:val="0"/>
        </w:rPr>
        <w:t xml:space="preserve">La estrategia de modelamiento comparará al menos tres especificaciones: un modelo sociodemográfico base; un modelo con indicadores individuales seleccionados; y un modelo con índices construidos a partir de dimensiones validadas mediante red. Esta comparación permitirá evaluar si la organización relacional de los indicadores aporta capacidad explicativa adicional frente a modelos tradicionales basados en variables aisladas. Los resultados se reportarán mediante odds ratios, intervalos de confianza, efectos marginales promedio y medidas de ajuste como AIC, pseudo-R² y comparación de log-verosimilitud.</w:t>
      </w:r>
    </w:p>
    <w:p w:rsidR="00000000" w:rsidDel="00000000" w:rsidP="00000000" w:rsidRDefault="00000000" w:rsidRPr="00000000" w14:paraId="0000000E">
      <w:pPr>
        <w:spacing w:after="240" w:before="240" w:line="360" w:lineRule="auto"/>
        <w:jc w:val="both"/>
        <w:rPr/>
      </w:pPr>
      <w:r w:rsidDel="00000000" w:rsidR="00000000" w:rsidRPr="00000000">
        <w:rPr>
          <w:rtl w:val="0"/>
        </w:rPr>
        <w:t xml:space="preserve">Finalmente, se construirá una tipología de perfiles ciudadanos a partir de los índices estimados. Para ello se emplearán métodos de segmentación como análisis de conglomerados sobre puntajes estandarizados, k-means o modelos de clases latentes, seleccionando la solución más parsimoniosa mediante criterios de ajuste e interpretabilidad. Esta tipología permitirá identificar grupos con distintos niveles de información, confianza, participación, optimismo tecnológico y apoyo a la inversión pública en CTI. Se espera distinguir perfiles como ciudadanos informados y confiados, interesados pero poco informados, optimistas tecnológicos, escépticos institucionales y ciudadanos con baja vinculación con la CTI.</w:t>
      </w:r>
    </w:p>
    <w:p w:rsidR="00000000" w:rsidDel="00000000" w:rsidP="00000000" w:rsidRDefault="00000000" w:rsidRPr="00000000" w14:paraId="0000000F">
      <w:pPr>
        <w:spacing w:after="240" w:before="240" w:line="360" w:lineRule="auto"/>
        <w:jc w:val="both"/>
        <w:rPr/>
      </w:pPr>
      <w:r w:rsidDel="00000000" w:rsidR="00000000" w:rsidRPr="00000000">
        <w:rPr>
          <w:rtl w:val="0"/>
        </w:rPr>
        <w:t xml:space="preserve">El aporte principal del proyecto será producir una explicación aplicada del apoyo ciudadano a la inversión pública en CTI, combinando técnicas cuantitativas avanzadas con una lectura orientada a políticas públicas. Los resultados permitirán responder qué pesa más en dicho apoyo: el capital informativo, la confianza en científicos, el conocimiento institucional, la participación en actividades de divulgación, el optimismo tecnológico, las reservas frente a la tecnología o la percepción de capacidades nacionales. Con ello, la investigación ofrecerá recomendaciones concretas para orientar estrategias de apropiación social de la CTI, comunicación pública de la ciencia, fortalecimiento de la confianza institucional y diseño de intervenciones diferenciadas según perfiles ciudadanos.</w:t>
      </w:r>
    </w:p>
    <w:p w:rsidR="00000000" w:rsidDel="00000000" w:rsidP="00000000" w:rsidRDefault="00000000" w:rsidRPr="00000000" w14:paraId="00000010">
      <w:pPr>
        <w:spacing w:line="36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