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E5631"/>
          <w:sz w:val="44"/>
          <w:szCs w:val="44"/>
        </w:rPr>
        <w:t xml:space="preserve">Plantas medicinales con respaldo científico</w:t>
      </w:r>
    </w:p>
    <w:p>
      <w:pPr>
        <w:spacing w:after="600"/>
        <w:jc w:val="center"/>
      </w:pPr>
      <w:r>
        <w:rPr>
          <w:rFonts w:ascii="Arial" w:cs="Arial" w:eastAsia="Arial" w:hAnsi="Arial"/>
          <w:color w:val="555555"/>
          <w:sz w:val="24"/>
          <w:szCs w:val="24"/>
        </w:rPr>
        <w:t xml:space="preserve">Evidencia publicada en artículos revisados por pares: quién lo probó, qué parte de la planta, resultados y enlaces</w:t>
      </w:r>
    </w:p>
    <w:p>
      <w:pPr>
        <w:jc w:val="center"/>
      </w:pPr>
      <w:r>
        <w:rPr>
          <w:rFonts w:ascii="Arial" w:cs="Arial" w:eastAsia="Arial" w:hAnsi="Arial"/>
          <w:sz w:val="22"/>
          <w:szCs w:val="22"/>
        </w:rPr>
        <w:t xml:space="preserve">Proyecto HAMPIYURA · Hack Amazon 2026 · Tingo María, Huánuco</w:t>
      </w:r>
    </w:p>
    <w:p>
      <w:pPr>
        <w:jc w:val="center"/>
      </w:pPr>
      <w:r>
        <w:rPr>
          <w:rFonts w:ascii="Arial" w:cs="Arial" w:eastAsia="Arial" w:hAnsi="Arial"/>
          <w:color w:val="555555"/>
          <w:sz w:val="22"/>
          <w:szCs w:val="22"/>
        </w:rPr>
        <w:t xml:space="preserve">Septiembre de 2026</w:t>
      </w:r>
    </w:p>
    <w:p>
      <w:r>
        <w:br w:type="page"/>
      </w:r>
    </w:p>
    <w:p>
      <w:pPr>
        <w:pStyle w:val="Heading1"/>
      </w:pPr>
      <w:r>
        <w:t xml:space="preserve">Cómo leer este documento</w:t>
      </w:r>
    </w:p>
    <w:p>
      <w:pPr>
        <w:spacing w:after="100" w:line="276"/>
      </w:pPr>
      <w:r>
        <w:rPr>
          <w:rFonts w:ascii="Arial" w:cs="Arial" w:eastAsia="Arial" w:hAnsi="Arial"/>
          <w:sz w:val="21"/>
          <w:szCs w:val="21"/>
        </w:rPr>
        <w:t xml:space="preserve">Aquí solo se incluyen efectos que aparecen en un artículo científico publicado. Para cada planta se indica qué parte se estudió, quién hizo el estudio, cómo lo hizo, qué encontró y los enlaces al artículo (DOI, PubMed o la revista).</w:t>
      </w:r>
    </w:p>
    <w:p>
      <w:pPr>
        <w:spacing w:after="100" w:line="276"/>
      </w:pPr>
      <w:r>
        <w:rPr>
          <w:rFonts w:ascii="Arial" w:cs="Arial" w:eastAsia="Arial" w:hAnsi="Arial"/>
          <w:sz w:val="21"/>
          <w:szCs w:val="21"/>
        </w:rPr>
        <w:t xml:space="preserve">"Probado científicamente" no significa lo mismo en todos los casos. Por eso cada planta tiene un nivel de evidencia: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700"/>
        <w:gridCol w:w="3700"/>
        <w:gridCol w:w="2626"/>
      </w:tblGrid>
      <w:tr>
        <w:trPr>
          <w:tblHeader/>
        </w:trPr>
        <w:tc>
          <w:tcPr>
            <w:tcW w:type="dxa" w:w="2700"/>
            <w:tcBorders>
              <w:top w:val="single" w:color="BFD3C4" w:sz="4"/>
              <w:left w:val="single" w:color="BFD3C4" w:sz="4"/>
              <w:bottom w:val="single" w:color="BFD3C4" w:sz="4"/>
              <w:right w:val="single" w:color="BFD3C4" w:sz="4"/>
            </w:tcBorders>
            <w:shd w:fill="1E5631" w:color="auto" w:val="clear"/>
            <w:tcMar>
              <w:top w:type="dxa" w:w="60"/>
              <w:left w:type="dxa" w:w="100"/>
              <w:bottom w:type="dxa" w:w="60"/>
              <w:right w:type="dxa" w:w="100"/>
            </w:tcMar>
          </w:tcPr>
          <w:p>
            <w:r>
              <w:rPr>
                <w:rFonts w:ascii="Arial" w:cs="Arial" w:eastAsia="Arial" w:hAnsi="Arial"/>
                <w:b/>
                <w:bCs/>
                <w:color w:val="FFFFFF"/>
                <w:sz w:val="18"/>
                <w:szCs w:val="18"/>
              </w:rPr>
              <w:t xml:space="preserve">Nivel</w:t>
            </w:r>
          </w:p>
        </w:tc>
        <w:tc>
          <w:tcPr>
            <w:tcW w:type="dxa" w:w="3700"/>
            <w:tcBorders>
              <w:top w:val="single" w:color="BFD3C4" w:sz="4"/>
              <w:left w:val="single" w:color="BFD3C4" w:sz="4"/>
              <w:bottom w:val="single" w:color="BFD3C4" w:sz="4"/>
              <w:right w:val="single" w:color="BFD3C4" w:sz="4"/>
            </w:tcBorders>
            <w:shd w:fill="1E5631" w:color="auto" w:val="clear"/>
            <w:tcMar>
              <w:top w:type="dxa" w:w="60"/>
              <w:left w:type="dxa" w:w="100"/>
              <w:bottom w:type="dxa" w:w="60"/>
              <w:right w:type="dxa" w:w="100"/>
            </w:tcMar>
          </w:tcPr>
          <w:p>
            <w:r>
              <w:rPr>
                <w:rFonts w:ascii="Arial" w:cs="Arial" w:eastAsia="Arial" w:hAnsi="Arial"/>
                <w:b/>
                <w:bCs/>
                <w:color w:val="FFFFFF"/>
                <w:sz w:val="18"/>
                <w:szCs w:val="18"/>
              </w:rPr>
              <w:t xml:space="preserve">Qué significa</w:t>
            </w:r>
          </w:p>
        </w:tc>
        <w:tc>
          <w:tcPr>
            <w:tcW w:type="dxa" w:w="2626"/>
            <w:tcBorders>
              <w:top w:val="single" w:color="BFD3C4" w:sz="4"/>
              <w:left w:val="single" w:color="BFD3C4" w:sz="4"/>
              <w:bottom w:val="single" w:color="BFD3C4" w:sz="4"/>
              <w:right w:val="single" w:color="BFD3C4" w:sz="4"/>
            </w:tcBorders>
            <w:shd w:fill="1E5631" w:color="auto" w:val="clear"/>
            <w:tcMar>
              <w:top w:type="dxa" w:w="60"/>
              <w:left w:type="dxa" w:w="100"/>
              <w:bottom w:type="dxa" w:w="60"/>
              <w:right w:type="dxa" w:w="100"/>
            </w:tcMar>
          </w:tcPr>
          <w:p>
            <w:r>
              <w:rPr>
                <w:rFonts w:ascii="Arial" w:cs="Arial" w:eastAsia="Arial" w:hAnsi="Arial"/>
                <w:b/>
                <w:bCs/>
                <w:color w:val="FFFFFF"/>
                <w:sz w:val="18"/>
                <w:szCs w:val="18"/>
              </w:rPr>
              <w:t xml:space="preserve">Qué tan fuerte es</w:t>
            </w:r>
          </w:p>
        </w:tc>
      </w:tr>
      <w:tr>
        <w:trPr>
          <w:tblHeader w:val="false"/>
        </w:trPr>
        <w:tc>
          <w:tcPr>
            <w:tcW w:type="dxa" w:w="2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Humanos – metaanálisis / ensayo aleatorizado</w:t>
            </w:r>
          </w:p>
        </w:tc>
        <w:tc>
          <w:tcPr>
            <w:tcW w:type="dxa" w:w="3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Se probó en personas comparando con placebo o un grupo control.</w:t>
            </w:r>
          </w:p>
        </w:tc>
        <w:tc>
          <w:tcPr>
            <w:tcW w:type="dxa" w:w="26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Es la evidencia más fuerte.</w:t>
            </w:r>
          </w:p>
        </w:tc>
      </w:tr>
      <w:tr>
        <w:trPr>
          <w:tblHeader w:val="false"/>
        </w:trPr>
        <w:tc>
          <w:tcPr>
            <w:tcW w:type="dxa" w:w="2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Humanos – observacional</w:t>
            </w:r>
          </w:p>
        </w:tc>
        <w:tc>
          <w:tcPr>
            <w:tcW w:type="dxa" w:w="3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Se siguió a personas que consumían la planta, sin asignarla al azar.</w:t>
            </w:r>
          </w:p>
        </w:tc>
        <w:tc>
          <w:tcPr>
            <w:tcW w:type="dxa" w:w="26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Muestra asociación, no prueba causa-efecto.</w:t>
            </w:r>
          </w:p>
        </w:tc>
      </w:tr>
      <w:tr>
        <w:trPr>
          <w:tblHeader w:val="false"/>
        </w:trPr>
        <w:tc>
          <w:tcPr>
            <w:tcW w:type="dxa" w:w="2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Humanos – ensayo pequeño</w:t>
            </w:r>
          </w:p>
        </w:tc>
        <w:tc>
          <w:tcPr>
            <w:tcW w:type="dxa" w:w="3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Se probó en pocas personas (menos de 50) o por poco tiempo.</w:t>
            </w:r>
          </w:p>
        </w:tc>
        <w:tc>
          <w:tcPr>
            <w:tcW w:type="dxa" w:w="26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Resultado prometedor que hay que confirmar.</w:t>
            </w:r>
          </w:p>
        </w:tc>
      </w:tr>
      <w:tr>
        <w:trPr>
          <w:tblHeader w:val="false"/>
        </w:trPr>
        <w:tc>
          <w:tcPr>
            <w:tcW w:type="dxa" w:w="2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Preclínico</w:t>
            </w:r>
          </w:p>
        </w:tc>
        <w:tc>
          <w:tcPr>
            <w:tcW w:type="dxa" w:w="3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Solo en animales o en células de laboratorio.</w:t>
            </w:r>
          </w:p>
        </w:tc>
        <w:tc>
          <w:tcPr>
            <w:tcW w:type="dxa" w:w="26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NO demuestra que funcione en personas.</w:t>
            </w:r>
          </w:p>
        </w:tc>
      </w:tr>
    </w:tbl>
    <w:p>
      <w:pPr>
        <w:spacing w:after="100" w:line="276"/>
      </w:pPr>
    </w:p>
    <w:p>
      <w:pPr>
        <w:spacing w:after="100" w:line="276"/>
      </w:pPr>
      <w:r>
        <w:rPr>
          <w:rFonts w:ascii="Arial" w:cs="Arial" w:eastAsia="Arial" w:hAnsi="Arial"/>
          <w:i/>
          <w:iCs/>
          <w:color w:val="555555"/>
          <w:sz w:val="19"/>
          <w:szCs w:val="19"/>
        </w:rPr>
        <w:t xml:space="preserve">Aviso: este documento es informativo y educativo. No reemplaza la consulta con un médico. Las dosis de los estudios son las de los investigadores y no son recomendaciones de uso.</w:t>
      </w:r>
    </w:p>
    <w:p>
      <w:pPr>
        <w:pStyle w:val="Heading1"/>
      </w:pPr>
      <w:r>
        <w:t xml:space="preserve">Resumen rápido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3326"/>
        <w:gridCol w:w="2100"/>
      </w:tblGrid>
      <w:tr>
        <w:trPr>
          <w:tblHeader/>
        </w:trPr>
        <w:tc>
          <w:tcPr>
            <w:tcW w:type="dxa" w:w="1700"/>
            <w:tcBorders>
              <w:top w:val="single" w:color="BFD3C4" w:sz="4"/>
              <w:left w:val="single" w:color="BFD3C4" w:sz="4"/>
              <w:bottom w:val="single" w:color="BFD3C4" w:sz="4"/>
              <w:right w:val="single" w:color="BFD3C4" w:sz="4"/>
            </w:tcBorders>
            <w:shd w:fill="1E5631" w:color="auto" w:val="clear"/>
            <w:tcMar>
              <w:top w:type="dxa" w:w="60"/>
              <w:left w:type="dxa" w:w="100"/>
              <w:bottom w:type="dxa" w:w="60"/>
              <w:right w:type="dxa" w:w="100"/>
            </w:tcMar>
          </w:tcPr>
          <w:p>
            <w:r>
              <w:rPr>
                <w:rFonts w:ascii="Arial" w:cs="Arial" w:eastAsia="Arial" w:hAnsi="Arial"/>
                <w:b/>
                <w:bCs/>
                <w:color w:val="FFFFFF"/>
                <w:sz w:val="18"/>
                <w:szCs w:val="18"/>
              </w:rPr>
              <w:t xml:space="preserve">Planta</w:t>
            </w:r>
          </w:p>
        </w:tc>
        <w:tc>
          <w:tcPr>
            <w:tcW w:type="dxa" w:w="1900"/>
            <w:tcBorders>
              <w:top w:val="single" w:color="BFD3C4" w:sz="4"/>
              <w:left w:val="single" w:color="BFD3C4" w:sz="4"/>
              <w:bottom w:val="single" w:color="BFD3C4" w:sz="4"/>
              <w:right w:val="single" w:color="BFD3C4" w:sz="4"/>
            </w:tcBorders>
            <w:shd w:fill="1E5631" w:color="auto" w:val="clear"/>
            <w:tcMar>
              <w:top w:type="dxa" w:w="60"/>
              <w:left w:type="dxa" w:w="100"/>
              <w:bottom w:type="dxa" w:w="60"/>
              <w:right w:type="dxa" w:w="100"/>
            </w:tcMar>
          </w:tcPr>
          <w:p>
            <w:r>
              <w:rPr>
                <w:rFonts w:ascii="Arial" w:cs="Arial" w:eastAsia="Arial" w:hAnsi="Arial"/>
                <w:b/>
                <w:bCs/>
                <w:color w:val="FFFFFF"/>
                <w:sz w:val="18"/>
                <w:szCs w:val="18"/>
              </w:rPr>
              <w:t xml:space="preserve">Parte</w:t>
            </w:r>
          </w:p>
        </w:tc>
        <w:tc>
          <w:tcPr>
            <w:tcW w:type="dxa" w:w="3326"/>
            <w:tcBorders>
              <w:top w:val="single" w:color="BFD3C4" w:sz="4"/>
              <w:left w:val="single" w:color="BFD3C4" w:sz="4"/>
              <w:bottom w:val="single" w:color="BFD3C4" w:sz="4"/>
              <w:right w:val="single" w:color="BFD3C4" w:sz="4"/>
            </w:tcBorders>
            <w:shd w:fill="1E5631" w:color="auto" w:val="clear"/>
            <w:tcMar>
              <w:top w:type="dxa" w:w="60"/>
              <w:left w:type="dxa" w:w="100"/>
              <w:bottom w:type="dxa" w:w="60"/>
              <w:right w:type="dxa" w:w="100"/>
            </w:tcMar>
          </w:tcPr>
          <w:p>
            <w:r>
              <w:rPr>
                <w:rFonts w:ascii="Arial" w:cs="Arial" w:eastAsia="Arial" w:hAnsi="Arial"/>
                <w:b/>
                <w:bCs/>
                <w:color w:val="FFFFFF"/>
                <w:sz w:val="18"/>
                <w:szCs w:val="18"/>
              </w:rPr>
              <w:t xml:space="preserve">Efecto con respaldo</w:t>
            </w:r>
          </w:p>
        </w:tc>
        <w:tc>
          <w:tcPr>
            <w:tcW w:type="dxa" w:w="2100"/>
            <w:tcBorders>
              <w:top w:val="single" w:color="BFD3C4" w:sz="4"/>
              <w:left w:val="single" w:color="BFD3C4" w:sz="4"/>
              <w:bottom w:val="single" w:color="BFD3C4" w:sz="4"/>
              <w:right w:val="single" w:color="BFD3C4" w:sz="4"/>
            </w:tcBorders>
            <w:shd w:fill="1E5631" w:color="auto" w:val="clear"/>
            <w:tcMar>
              <w:top w:type="dxa" w:w="60"/>
              <w:left w:type="dxa" w:w="100"/>
              <w:bottom w:type="dxa" w:w="60"/>
              <w:right w:type="dxa" w:w="100"/>
            </w:tcMar>
          </w:tcPr>
          <w:p>
            <w:r>
              <w:rPr>
                <w:rFonts w:ascii="Arial" w:cs="Arial" w:eastAsia="Arial" w:hAnsi="Arial"/>
                <w:b/>
                <w:bCs/>
                <w:color w:val="FFFFFF"/>
                <w:sz w:val="18"/>
                <w:szCs w:val="18"/>
              </w:rPr>
              <w:t xml:space="preserve">Nivel</w:t>
            </w:r>
          </w:p>
        </w:tc>
      </w:tr>
      <w:tr>
        <w:trPr>
          <w:tblHeader w:val="false"/>
        </w:trPr>
        <w:tc>
          <w:tcPr>
            <w:tcW w:type="dxa" w:w="1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Maíz</w:t>
            </w:r>
          </w:p>
        </w:tc>
        <w:tc>
          <w:tcPr>
            <w:tcW w:type="dxa" w:w="19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Estigmas / grano morado</w:t>
            </w:r>
          </w:p>
        </w:tc>
        <w:tc>
          <w:tcPr>
            <w:tcW w:type="dxa" w:w="33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Diurético, baja glucosa y lípidos</w:t>
            </w:r>
          </w:p>
        </w:tc>
        <w:tc>
          <w:tcPr>
            <w:tcW w:type="dxa" w:w="21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Preclínico</w:t>
            </w:r>
          </w:p>
        </w:tc>
      </w:tr>
      <w:tr>
        <w:trPr>
          <w:tblHeader w:val="false"/>
        </w:trPr>
        <w:tc>
          <w:tcPr>
            <w:tcW w:type="dxa" w:w="1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Café</w:t>
            </w:r>
          </w:p>
        </w:tc>
        <w:tc>
          <w:tcPr>
            <w:tcW w:type="dxa" w:w="19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Grano tostado</w:t>
            </w:r>
          </w:p>
        </w:tc>
        <w:tc>
          <w:tcPr>
            <w:tcW w:type="dxa" w:w="33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Menor mortalidad y enfermedad hepática</w:t>
            </w:r>
          </w:p>
        </w:tc>
        <w:tc>
          <w:tcPr>
            <w:tcW w:type="dxa" w:w="21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Humanos – observacional</w:t>
            </w:r>
          </w:p>
        </w:tc>
      </w:tr>
      <w:tr>
        <w:trPr>
          <w:tblHeader w:val="false"/>
        </w:trPr>
        <w:tc>
          <w:tcPr>
            <w:tcW w:type="dxa" w:w="1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Plátano</w:t>
            </w:r>
          </w:p>
        </w:tc>
        <w:tc>
          <w:tcPr>
            <w:tcW w:type="dxa" w:w="19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Fruto verde cocido</w:t>
            </w:r>
          </w:p>
        </w:tc>
        <w:tc>
          <w:tcPr>
            <w:tcW w:type="dxa" w:w="33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Diarrea persistente en bebés</w:t>
            </w:r>
          </w:p>
        </w:tc>
        <w:tc>
          <w:tcPr>
            <w:tcW w:type="dxa" w:w="21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Humanos – ensayo</w:t>
            </w:r>
          </w:p>
        </w:tc>
      </w:tr>
      <w:tr>
        <w:trPr>
          <w:tblHeader w:val="false"/>
        </w:trPr>
        <w:tc>
          <w:tcPr>
            <w:tcW w:type="dxa" w:w="1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Cacao</w:t>
            </w:r>
          </w:p>
        </w:tc>
        <w:tc>
          <w:tcPr>
            <w:tcW w:type="dxa" w:w="19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Semilla (flavanoles)</w:t>
            </w:r>
          </w:p>
        </w:tc>
        <w:tc>
          <w:tcPr>
            <w:tcW w:type="dxa" w:w="33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Baja un poco la presión; menos muerte CV</w:t>
            </w:r>
          </w:p>
        </w:tc>
        <w:tc>
          <w:tcPr>
            <w:tcW w:type="dxa" w:w="21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Humanos – ensayo + Cochrane</w:t>
            </w:r>
          </w:p>
        </w:tc>
      </w:tr>
      <w:tr>
        <w:trPr>
          <w:tblHeader w:val="false"/>
        </w:trPr>
        <w:tc>
          <w:tcPr>
            <w:tcW w:type="dxa" w:w="1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Palta</w:t>
            </w:r>
          </w:p>
        </w:tc>
        <w:tc>
          <w:tcPr>
            <w:tcW w:type="dxa" w:w="19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Pulpa</w:t>
            </w:r>
          </w:p>
        </w:tc>
        <w:tc>
          <w:tcPr>
            <w:tcW w:type="dxa" w:w="33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Baja LDL; menos riesgo coronario</w:t>
            </w:r>
          </w:p>
        </w:tc>
        <w:tc>
          <w:tcPr>
            <w:tcW w:type="dxa" w:w="21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Humanos – ensayo + cohorte</w:t>
            </w:r>
          </w:p>
        </w:tc>
      </w:tr>
      <w:tr>
        <w:trPr>
          <w:tblHeader w:val="false"/>
        </w:trPr>
        <w:tc>
          <w:tcPr>
            <w:tcW w:type="dxa" w:w="1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Guanábana</w:t>
            </w:r>
          </w:p>
        </w:tc>
        <w:tc>
          <w:tcPr>
            <w:tcW w:type="dxa" w:w="19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Hojas, semillas</w:t>
            </w:r>
          </w:p>
        </w:tc>
        <w:tc>
          <w:tcPr>
            <w:tcW w:type="dxa" w:w="33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Citotóxica en células de cáncer (laboratorio)</w:t>
            </w:r>
          </w:p>
        </w:tc>
        <w:tc>
          <w:tcPr>
            <w:tcW w:type="dxa" w:w="21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Preclínico + riesgo neurotóxico</w:t>
            </w:r>
          </w:p>
        </w:tc>
      </w:tr>
      <w:tr>
        <w:trPr>
          <w:tblHeader w:val="false"/>
        </w:trPr>
        <w:tc>
          <w:tcPr>
            <w:tcW w:type="dxa" w:w="1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Achiote</w:t>
            </w:r>
          </w:p>
        </w:tc>
        <w:tc>
          <w:tcPr>
            <w:tcW w:type="dxa" w:w="19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Hojas, semillas</w:t>
            </w:r>
          </w:p>
        </w:tc>
        <w:tc>
          <w:tcPr>
            <w:tcW w:type="dxa" w:w="33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Antiinflamatorio</w:t>
            </w:r>
          </w:p>
        </w:tc>
        <w:tc>
          <w:tcPr>
            <w:tcW w:type="dxa" w:w="21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Preclínico</w:t>
            </w:r>
          </w:p>
        </w:tc>
      </w:tr>
      <w:tr>
        <w:trPr>
          <w:tblHeader w:val="false"/>
        </w:trPr>
        <w:tc>
          <w:tcPr>
            <w:tcW w:type="dxa" w:w="1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Menta</w:t>
            </w:r>
          </w:p>
        </w:tc>
        <w:tc>
          <w:tcPr>
            <w:tcW w:type="dxa" w:w="19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Hojas (aceite)</w:t>
            </w:r>
          </w:p>
        </w:tc>
        <w:tc>
          <w:tcPr>
            <w:tcW w:type="dxa" w:w="33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Intestino irritable</w:t>
            </w:r>
          </w:p>
        </w:tc>
        <w:tc>
          <w:tcPr>
            <w:tcW w:type="dxa" w:w="21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Humanos – metaanálisis</w:t>
            </w:r>
          </w:p>
        </w:tc>
      </w:tr>
      <w:tr>
        <w:trPr>
          <w:tblHeader w:val="false"/>
        </w:trPr>
        <w:tc>
          <w:tcPr>
            <w:tcW w:type="dxa" w:w="1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Eucalipto</w:t>
            </w:r>
          </w:p>
        </w:tc>
        <w:tc>
          <w:tcPr>
            <w:tcW w:type="dxa" w:w="19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Hojas (cineol)</w:t>
            </w:r>
          </w:p>
        </w:tc>
        <w:tc>
          <w:tcPr>
            <w:tcW w:type="dxa" w:w="33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Menos crisis de EPOC</w:t>
            </w:r>
          </w:p>
        </w:tc>
        <w:tc>
          <w:tcPr>
            <w:tcW w:type="dxa" w:w="21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Humanos – ensayo</w:t>
            </w:r>
          </w:p>
        </w:tc>
      </w:tr>
      <w:tr>
        <w:trPr>
          <w:tblHeader w:val="false"/>
        </w:trPr>
        <w:tc>
          <w:tcPr>
            <w:tcW w:type="dxa" w:w="1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Sangre de grado</w:t>
            </w:r>
          </w:p>
        </w:tc>
        <w:tc>
          <w:tcPr>
            <w:tcW w:type="dxa" w:w="19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Látex</w:t>
            </w:r>
          </w:p>
        </w:tc>
        <w:tc>
          <w:tcPr>
            <w:tcW w:type="dxa" w:w="33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Diarrea en VIH (fármaco FDA)</w:t>
            </w:r>
          </w:p>
        </w:tc>
        <w:tc>
          <w:tcPr>
            <w:tcW w:type="dxa" w:w="21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Humanos – ensayo + FDA</w:t>
            </w:r>
          </w:p>
        </w:tc>
      </w:tr>
      <w:tr>
        <w:trPr>
          <w:tblHeader w:val="false"/>
        </w:trPr>
        <w:tc>
          <w:tcPr>
            <w:tcW w:type="dxa" w:w="1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Uña de gato</w:t>
            </w:r>
          </w:p>
        </w:tc>
        <w:tc>
          <w:tcPr>
            <w:tcW w:type="dxa" w:w="19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Corteza</w:t>
            </w:r>
          </w:p>
        </w:tc>
        <w:tc>
          <w:tcPr>
            <w:tcW w:type="dxa" w:w="33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Dolor en artrosis de rodilla</w:t>
            </w:r>
          </w:p>
        </w:tc>
        <w:tc>
          <w:tcPr>
            <w:tcW w:type="dxa" w:w="21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Humanos – ensayo pequeño</w:t>
            </w:r>
          </w:p>
        </w:tc>
      </w:tr>
      <w:tr>
        <w:trPr>
          <w:tblHeader w:val="false"/>
        </w:trPr>
        <w:tc>
          <w:tcPr>
            <w:tcW w:type="dxa" w:w="1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Chanca piedra</w:t>
            </w:r>
          </w:p>
        </w:tc>
        <w:tc>
          <w:tcPr>
            <w:tcW w:type="dxa" w:w="19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Planta entera</w:t>
            </w:r>
          </w:p>
        </w:tc>
        <w:tc>
          <w:tcPr>
            <w:tcW w:type="dxa" w:w="33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Baja calcio urinario</w:t>
            </w:r>
          </w:p>
        </w:tc>
        <w:tc>
          <w:tcPr>
            <w:tcW w:type="dxa" w:w="21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Humanos – ensayo</w:t>
            </w:r>
          </w:p>
        </w:tc>
      </w:tr>
      <w:tr>
        <w:trPr>
          <w:tblHeader w:val="false"/>
        </w:trPr>
        <w:tc>
          <w:tcPr>
            <w:tcW w:type="dxa" w:w="1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Camu camu</w:t>
            </w:r>
          </w:p>
        </w:tc>
        <w:tc>
          <w:tcPr>
            <w:tcW w:type="dxa" w:w="19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Fruto</w:t>
            </w:r>
          </w:p>
        </w:tc>
        <w:tc>
          <w:tcPr>
            <w:tcW w:type="dxa" w:w="33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Antioxidante y antiinflamatorio</w:t>
            </w:r>
          </w:p>
        </w:tc>
        <w:tc>
          <w:tcPr>
            <w:tcW w:type="dxa" w:w="21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Humanos – ensayo pequeño</w:t>
            </w:r>
          </w:p>
        </w:tc>
      </w:tr>
      <w:tr>
        <w:trPr>
          <w:tblHeader w:val="false"/>
        </w:trPr>
        <w:tc>
          <w:tcPr>
            <w:tcW w:type="dxa" w:w="1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Sacha inchi</w:t>
            </w:r>
          </w:p>
        </w:tc>
        <w:tc>
          <w:tcPr>
            <w:tcW w:type="dxa" w:w="19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Semilla (aceite)</w:t>
            </w:r>
          </w:p>
        </w:tc>
        <w:tc>
          <w:tcPr>
            <w:tcW w:type="dxa" w:w="33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Mejora colesterol / HDL</w:t>
            </w:r>
          </w:p>
        </w:tc>
        <w:tc>
          <w:tcPr>
            <w:tcW w:type="dxa" w:w="21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Humanos – ensayo pequeño</w:t>
            </w:r>
          </w:p>
        </w:tc>
      </w:tr>
      <w:tr>
        <w:trPr>
          <w:tblHeader w:val="false"/>
        </w:trPr>
        <w:tc>
          <w:tcPr>
            <w:tcW w:type="dxa" w:w="1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Chuchuhuasi</w:t>
            </w:r>
          </w:p>
        </w:tc>
        <w:tc>
          <w:tcPr>
            <w:tcW w:type="dxa" w:w="19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Hojas</w:t>
            </w:r>
          </w:p>
        </w:tc>
        <w:tc>
          <w:tcPr>
            <w:tcW w:type="dxa" w:w="33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Antiinflamatorio</w:t>
            </w:r>
          </w:p>
        </w:tc>
        <w:tc>
          <w:tcPr>
            <w:tcW w:type="dxa" w:w="21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Preclínico</w:t>
            </w:r>
          </w:p>
        </w:tc>
      </w:tr>
      <w:tr>
        <w:trPr>
          <w:tblHeader w:val="false"/>
        </w:trPr>
        <w:tc>
          <w:tcPr>
            <w:tcW w:type="dxa" w:w="17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Jergón sacha</w:t>
            </w:r>
          </w:p>
        </w:tc>
        <w:tc>
          <w:tcPr>
            <w:tcW w:type="dxa" w:w="19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Bulbo</w:t>
            </w:r>
          </w:p>
        </w:tc>
        <w:tc>
          <w:tcPr>
            <w:tcW w:type="dxa" w:w="3326"/>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Neutraliza veneno de jergón</w:t>
            </w:r>
          </w:p>
        </w:tc>
        <w:tc>
          <w:tcPr>
            <w:tcW w:type="dxa" w:w="2100"/>
            <w:tcBorders>
              <w:top w:val="single" w:color="BFD3C4" w:sz="4"/>
              <w:left w:val="single" w:color="BFD3C4" w:sz="4"/>
              <w:bottom w:val="single" w:color="BFD3C4" w:sz="4"/>
              <w:right w:val="single" w:color="BFD3C4" w:sz="4"/>
            </w:tcBorders>
            <w:tcMar>
              <w:top w:type="dxa" w:w="60"/>
              <w:left w:type="dxa" w:w="100"/>
              <w:bottom w:type="dxa" w:w="60"/>
              <w:right w:type="dxa" w:w="100"/>
            </w:tcMar>
          </w:tcPr>
          <w:p>
            <w:r>
              <w:rPr>
                <w:rFonts w:ascii="Arial" w:cs="Arial" w:eastAsia="Arial" w:hAnsi="Arial"/>
                <w:b w:val="false"/>
                <w:bCs w:val="false"/>
                <w:sz w:val="18"/>
                <w:szCs w:val="18"/>
              </w:rPr>
              <w:t xml:space="preserve">Preclínico</w:t>
            </w:r>
          </w:p>
        </w:tc>
      </w:tr>
      <w:tr>
        <w:tc>
          <w:tcPr>
            <w:tcW w:type="dxa" w:w="1700"/>
          </w:tcPr>
          <w:p>
            <w:r>
              <w:t>Noni</w:t>
            </w:r>
          </w:p>
        </w:tc>
        <w:tc>
          <w:tcPr>
            <w:tcW w:type="dxa" w:w="1900"/>
          </w:tcPr>
          <w:p>
            <w:r>
              <w:t>Fruto (jugo)</w:t>
            </w:r>
          </w:p>
        </w:tc>
        <w:tc>
          <w:tcPr>
            <w:tcW w:type="dxa" w:w="3326"/>
          </w:tcPr>
          <w:p>
            <w:r>
              <w:t>Revisado en estudios de intervención; también daño hepático (casos)</w:t>
            </w:r>
          </w:p>
        </w:tc>
        <w:tc>
          <w:tcPr>
            <w:tcW w:type="dxa" w:w="2100"/>
          </w:tcPr>
          <w:p>
            <w:r>
              <w:t>Humanos (observacional) + casos de seguridad</w:t>
            </w:r>
          </w:p>
        </w:tc>
      </w:tr>
      <w:tr>
        <w:tc>
          <w:tcPr>
            <w:tcW w:type="dxa" w:w="1700"/>
          </w:tcPr>
          <w:p>
            <w:r>
              <w:t>Llantén</w:t>
            </w:r>
          </w:p>
        </w:tc>
        <w:tc>
          <w:tcPr>
            <w:tcW w:type="dxa" w:w="1900"/>
          </w:tcPr>
          <w:p>
            <w:r>
              <w:t>Hojas</w:t>
            </w:r>
          </w:p>
        </w:tc>
        <w:tc>
          <w:tcPr>
            <w:tcW w:type="dxa" w:w="3326"/>
          </w:tcPr>
          <w:p>
            <w:r>
              <w:t>Cicatrización de heridas, úlceras, quemaduras</w:t>
            </w:r>
          </w:p>
        </w:tc>
        <w:tc>
          <w:tcPr>
            <w:tcW w:type="dxa" w:w="2100"/>
          </w:tcPr>
          <w:p>
            <w:r>
              <w:t>Humanos – ensayos clínicos</w:t>
            </w:r>
          </w:p>
        </w:tc>
      </w:tr>
      <w:tr>
        <w:tc>
          <w:tcPr>
            <w:tcW w:type="dxa" w:w="1700"/>
          </w:tcPr>
          <w:p>
            <w:r>
              <w:t>Copaiba</w:t>
            </w:r>
          </w:p>
        </w:tc>
        <w:tc>
          <w:tcPr>
            <w:tcW w:type="dxa" w:w="1900"/>
          </w:tcPr>
          <w:p>
            <w:r>
              <w:t>Oleorresina</w:t>
            </w:r>
          </w:p>
        </w:tc>
        <w:tc>
          <w:tcPr>
            <w:tcW w:type="dxa" w:w="3326"/>
          </w:tcPr>
          <w:p>
            <w:r>
              <w:t>Mejora el acné leve</w:t>
            </w:r>
          </w:p>
        </w:tc>
        <w:tc>
          <w:tcPr>
            <w:tcW w:type="dxa" w:w="2100"/>
          </w:tcPr>
          <w:p>
            <w:r>
              <w:t>Humanos – ensayo pequeño</w:t>
            </w:r>
          </w:p>
        </w:tc>
      </w:tr>
      <w:tr>
        <w:tc>
          <w:tcPr>
            <w:tcW w:type="dxa" w:w="1700"/>
          </w:tcPr>
          <w:p>
            <w:r>
              <w:t>Ojé</w:t>
            </w:r>
          </w:p>
        </w:tc>
        <w:tc>
          <w:tcPr>
            <w:tcW w:type="dxa" w:w="1900"/>
          </w:tcPr>
          <w:p>
            <w:r>
              <w:t>Látex</w:t>
            </w:r>
          </w:p>
        </w:tc>
        <w:tc>
          <w:tcPr>
            <w:tcW w:type="dxa" w:w="3326"/>
          </w:tcPr>
          <w:p>
            <w:r>
              <w:t>Antiparasitario; riesgo real de toxicidad por sobredosis</w:t>
            </w:r>
          </w:p>
        </w:tc>
        <w:tc>
          <w:tcPr>
            <w:tcW w:type="dxa" w:w="2100"/>
          </w:tcPr>
          <w:p>
            <w:r>
              <w:t>Humanos – seguridad (casos reales) + preclínico</w:t>
            </w:r>
          </w:p>
        </w:tc>
      </w:tr>
      <w:tr>
        <w:tc>
          <w:tcPr>
            <w:tcW w:type="dxa" w:w="1700"/>
          </w:tcPr>
          <w:p>
            <w:r>
              <w:t>Matico</w:t>
            </w:r>
          </w:p>
        </w:tc>
        <w:tc>
          <w:tcPr>
            <w:tcW w:type="dxa" w:w="1900"/>
          </w:tcPr>
          <w:p>
            <w:r>
              <w:t>Hojas</w:t>
            </w:r>
          </w:p>
        </w:tc>
        <w:tc>
          <w:tcPr>
            <w:tcW w:type="dxa" w:w="3326"/>
          </w:tcPr>
          <w:p>
            <w:r>
              <w:t>Cicatrizante; mejora cervicitis</w:t>
            </w:r>
          </w:p>
        </w:tc>
        <w:tc>
          <w:tcPr>
            <w:tcW w:type="dxa" w:w="2100"/>
          </w:tcPr>
          <w:p>
            <w:r>
              <w:t>Humanos – ensayo pequeño/caso-control</w:t>
            </w:r>
          </w:p>
        </w:tc>
      </w:tr>
      <w:tr>
        <w:tc>
          <w:tcPr>
            <w:tcW w:type="dxa" w:w="1700"/>
          </w:tcPr>
          <w:p>
            <w:r>
              <w:t>Hercampuri</w:t>
            </w:r>
          </w:p>
        </w:tc>
        <w:tc>
          <w:tcPr>
            <w:tcW w:type="dxa" w:w="1900"/>
          </w:tcPr>
          <w:p>
            <w:r>
              <w:t>Partes aéreas</w:t>
            </w:r>
          </w:p>
        </w:tc>
        <w:tc>
          <w:tcPr>
            <w:tcW w:type="dxa" w:w="3326"/>
          </w:tcPr>
          <w:p>
            <w:r>
              <w:t>Compuestos aislados; efecto hepatoprotector (animal)</w:t>
            </w:r>
          </w:p>
        </w:tc>
        <w:tc>
          <w:tcPr>
            <w:tcW w:type="dxa" w:w="2100"/>
          </w:tcPr>
          <w:p>
            <w:r>
              <w:t>Preclínico</w:t>
            </w:r>
          </w:p>
        </w:tc>
      </w:tr>
      <w:tr>
        <w:tc>
          <w:tcPr>
            <w:tcW w:type="dxa" w:w="1700"/>
          </w:tcPr>
          <w:p>
            <w:r>
              <w:t>Yacón</w:t>
            </w:r>
          </w:p>
        </w:tc>
        <w:tc>
          <w:tcPr>
            <w:tcW w:type="dxa" w:w="1900"/>
          </w:tcPr>
          <w:p>
            <w:r>
              <w:t>Jarabe de raíz (FOS)</w:t>
            </w:r>
          </w:p>
        </w:tc>
        <w:tc>
          <w:tcPr>
            <w:tcW w:type="dxa" w:w="3326"/>
          </w:tcPr>
          <w:p>
            <w:r>
              <w:t>Baja peso, insulina y LDL</w:t>
            </w:r>
          </w:p>
        </w:tc>
        <w:tc>
          <w:tcPr>
            <w:tcW w:type="dxa" w:w="2100"/>
          </w:tcPr>
          <w:p>
            <w:r>
              <w:t>Humanos – ensayo aleatorizado</w:t>
            </w:r>
          </w:p>
        </w:tc>
      </w:tr>
      <w:tr>
        <w:tc>
          <w:tcPr>
            <w:tcW w:type="dxa" w:w="1700"/>
          </w:tcPr>
          <w:p>
            <w:r>
              <w:t>Ajo sacha</w:t>
            </w:r>
          </w:p>
        </w:tc>
        <w:tc>
          <w:tcPr>
            <w:tcW w:type="dxa" w:w="1900"/>
          </w:tcPr>
          <w:p>
            <w:r>
              <w:t>Hojas, raíz</w:t>
            </w:r>
          </w:p>
        </w:tc>
        <w:tc>
          <w:tcPr>
            <w:tcW w:type="dxa" w:w="3326"/>
          </w:tcPr>
          <w:p>
            <w:r>
              <w:t>Antinociceptivo (dolor inflamatorio)</w:t>
            </w:r>
          </w:p>
        </w:tc>
        <w:tc>
          <w:tcPr>
            <w:tcW w:type="dxa" w:w="2100"/>
          </w:tcPr>
          <w:p>
            <w:r>
              <w:t>Preclínico</w:t>
            </w:r>
          </w:p>
        </w:tc>
      </w:tr>
      <w:tr>
        <w:tc>
          <w:tcPr>
            <w:tcW w:type="dxa" w:w="1700"/>
          </w:tcPr>
          <w:p>
            <w:r>
              <w:t>Guayusa</w:t>
            </w:r>
          </w:p>
        </w:tc>
        <w:tc>
          <w:tcPr>
            <w:tcW w:type="dxa" w:w="1900"/>
          </w:tcPr>
          <w:p>
            <w:r>
              <w:t>Hojas (cafeína)</w:t>
            </w:r>
          </w:p>
        </w:tc>
        <w:tc>
          <w:tcPr>
            <w:tcW w:type="dxa" w:w="3326"/>
          </w:tcPr>
          <w:p>
            <w:r>
              <w:t>Mejora ánimo y rendimiento; sube la presión</w:t>
            </w:r>
          </w:p>
        </w:tc>
        <w:tc>
          <w:tcPr>
            <w:tcW w:type="dxa" w:w="2100"/>
          </w:tcPr>
          <w:p>
            <w:r>
              <w:t>Humanos – ensayo cruzado</w:t>
            </w:r>
          </w:p>
        </w:tc>
      </w:tr>
    </w:tbl>
    <w:p>
      <w:r>
        <w:br w:type="page"/>
      </w:r>
    </w:p>
    <w:p>
      <w:pPr>
        <w:pStyle w:val="Heading1"/>
      </w:pPr>
      <w:r>
        <w:t xml:space="preserve">Parte 1. Plantas seleccionadas</w:t>
      </w:r>
    </w:p>
    <w:p>
      <w:pPr>
        <w:pStyle w:val="Heading2"/>
      </w:pPr>
      <w:r>
        <w:rPr>
          <w:rFonts w:ascii="Arial" w:cs="Arial" w:eastAsia="Arial" w:hAnsi="Arial"/>
          <w:sz w:val="21"/>
          <w:szCs w:val="21"/>
        </w:rPr>
        <w:t xml:space="preserve">Maíz — </w:t>
      </w:r>
      <w:r>
        <w:rPr>
          <w:rFonts w:ascii="Arial" w:cs="Arial" w:eastAsia="Arial" w:hAnsi="Arial"/>
          <w:i/>
          <w:iCs/>
          <w:sz w:val="21"/>
          <w:szCs w:val="21"/>
        </w:rPr>
        <w:t xml:space="preserve">Zea mays</w:t>
      </w:r>
      <w:r>
        <w:rPr>
          <w:rFonts w:ascii="Arial" w:cs="Arial" w:eastAsia="Arial" w:hAnsi="Arial"/>
          <w:sz w:val="21"/>
          <w:szCs w:val="21"/>
        </w:rPr>
        <w:t xml:space="preserve"> L. (Poaceae)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Parte medicinal</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Estigmas de la mazorca ("pelo de choclo" / corn silk).</w:t>
            </w:r>
          </w:p>
          <w:p>
            <w:pPr>
              <w:spacing w:after="40"/>
            </w:pPr>
            <w:r>
              <w:rPr>
                <w:rFonts w:ascii="Arial" w:cs="Arial" w:eastAsia="Arial" w:hAnsi="Arial"/>
                <w:sz w:val="20"/>
                <w:szCs w:val="20"/>
              </w:rPr>
              <w:t xml:space="preserve">Grano del maíz morado (pigmentos antocianinas, sobre todo cianidina-3-glucósido).</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Nivel de evidencia</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Preclínico (animales e in vitro). No hay ensayos clínicos sólidos en humanos.</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Precaución</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Por su efecto diurético (demostrado en animales), usar con cuidado si se toman diuréticos o medicamentos para la presión.</w:t>
            </w:r>
          </w:p>
        </w:tc>
      </w:tr>
    </w:tbl>
    <w:p>
      <w:pPr>
        <w:pStyle w:val="Heading3"/>
      </w:pPr>
      <w:r>
        <w:t xml:space="preserve">Estudio 1: Revisión de estudios farmacológicos.</w:t>
      </w:r>
    </w:p>
    <w:p>
      <w:pPr>
        <w:spacing w:after="100" w:line="276"/>
      </w:pPr>
      <w:r>
        <w:rPr>
          <w:rFonts w:ascii="Arial" w:cs="Arial" w:eastAsia="Arial" w:hAnsi="Arial"/>
          <w:sz w:val="20"/>
          <w:szCs w:val="20"/>
        </w:rPr>
        <w:t xml:space="preserve">Quién lo probó (cita): Hasanudin K, Hashim P, Mustafa S. (2012). Corn Silk (Stigma Maydis) in Healthcare: A Phytochemical and Pharmacological Review. </w:t>
      </w:r>
      <w:r>
        <w:rPr>
          <w:rFonts w:ascii="Arial" w:cs="Arial" w:eastAsia="Arial" w:hAnsi="Arial"/>
          <w:i/>
          <w:iCs/>
          <w:sz w:val="20"/>
          <w:szCs w:val="20"/>
        </w:rPr>
        <w:t xml:space="preserve">Molecules</w:t>
      </w:r>
      <w:r>
        <w:rPr>
          <w:rFonts w:ascii="Arial" w:cs="Arial" w:eastAsia="Arial" w:hAnsi="Arial"/>
          <w:sz w:val="20"/>
          <w:szCs w:val="20"/>
        </w:rPr>
        <w:t xml:space="preserve">, 17(8), 9697-9715.</w:t>
      </w:r>
    </w:p>
    <w:p>
      <w:pPr>
        <w:pStyle w:val="ListParagraph"/>
        <w:numPr>
          <w:ilvl w:val="0"/>
          <w:numId w:val="2"/>
        </w:numPr>
        <w:spacing w:after="60"/>
      </w:pPr>
      <w:r>
        <w:rPr>
          <w:rFonts w:ascii="Arial" w:cs="Arial" w:eastAsia="Arial" w:hAnsi="Arial"/>
          <w:sz w:val="21"/>
          <w:szCs w:val="21"/>
        </w:rPr>
        <w:t xml:space="preserve">Efecto diurético y caliurético (aumento de orina y potasio) comprobado en ratas.</w:t>
      </w:r>
    </w:p>
    <w:p>
      <w:pPr>
        <w:pStyle w:val="ListParagraph"/>
        <w:numPr>
          <w:ilvl w:val="0"/>
          <w:numId w:val="2"/>
        </w:numPr>
        <w:spacing w:after="60"/>
      </w:pPr>
      <w:r>
        <w:rPr>
          <w:rFonts w:ascii="Arial" w:cs="Arial" w:eastAsia="Arial" w:hAnsi="Arial"/>
          <w:sz w:val="21"/>
          <w:szCs w:val="21"/>
        </w:rPr>
        <w:t xml:space="preserve">Reducción de glucosa en ratones diabéticos inducidos con aloxano y en ratas con estreptozotocina.</w:t>
      </w:r>
    </w:p>
    <w:p>
      <w:pPr>
        <w:pStyle w:val="ListParagraph"/>
        <w:numPr>
          <w:ilvl w:val="0"/>
          <w:numId w:val="2"/>
        </w:numPr>
        <w:spacing w:after="60"/>
      </w:pPr>
      <w:r>
        <w:rPr>
          <w:rFonts w:ascii="Arial" w:cs="Arial" w:eastAsia="Arial" w:hAnsi="Arial"/>
          <w:sz w:val="21"/>
          <w:szCs w:val="21"/>
        </w:rPr>
        <w:t xml:space="preserve">Actividad antioxidante, antiinflamatoria (menos TNF, IL-1β) y antifatiga en ratones.</w:t>
      </w:r>
    </w:p>
    <w:p>
      <w:pPr>
        <w:pStyle w:val="ListParagraph"/>
        <w:numPr>
          <w:ilvl w:val="0"/>
          <w:numId w:val="2"/>
        </w:numPr>
        <w:spacing w:after="60"/>
      </w:pPr>
      <w:r>
        <w:rPr>
          <w:rFonts w:ascii="Arial" w:cs="Arial" w:eastAsia="Arial" w:hAnsi="Arial"/>
          <w:sz w:val="21"/>
          <w:szCs w:val="21"/>
        </w:rPr>
        <w:t xml:space="preserve">Reducción de triglicéridos, colesterol total y LDL en ratas hiperlipidémicas.</w:t>
      </w:r>
    </w:p>
    <w:p>
      <w:pPr>
        <w:pStyle w:val="ListParagraph"/>
        <w:numPr>
          <w:ilvl w:val="0"/>
          <w:numId w:val="2"/>
        </w:numPr>
        <w:spacing w:after="60"/>
      </w:pPr>
      <w:r>
        <w:rPr>
          <w:rFonts w:ascii="Arial" w:cs="Arial" w:eastAsia="Arial" w:hAnsi="Arial"/>
          <w:sz w:val="21"/>
          <w:szCs w:val="21"/>
        </w:rPr>
        <w:t xml:space="preserve">Sin daño en tejidos de ratas que consumieron 8 % de estigma en la dieta durante 90 días.</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h1a44o20sj5b9sbiamkfs">
        <w:r>
          <w:rPr>
            <w:rStyle w:val="Hyperlink"/>
            <w:rFonts w:ascii="Arial" w:cs="Arial" w:eastAsia="Arial" w:hAnsi="Arial"/>
            <w:sz w:val="19"/>
            <w:szCs w:val="19"/>
          </w:rPr>
          <w:t xml:space="preserve">https://doi.org/10.3390/molecules17089697</w:t>
        </w:r>
      </w:hyperlink>
    </w:p>
    <w:p>
      <w:pPr>
        <w:pStyle w:val="ListParagraph"/>
        <w:numPr>
          <w:ilvl w:val="0"/>
          <w:numId w:val="2"/>
        </w:numPr>
        <w:spacing w:after="40"/>
      </w:pPr>
      <w:r>
        <w:rPr>
          <w:rFonts w:ascii="Arial" w:cs="Arial" w:eastAsia="Arial" w:hAnsi="Arial"/>
          <w:b/>
          <w:bCs/>
          <w:sz w:val="19"/>
          <w:szCs w:val="19"/>
        </w:rPr>
        <w:t xml:space="preserve">Texto completo (MDPI, gratis): </w:t>
      </w:r>
      <w:hyperlink w:history="1" r:id="rIdzrlqk4rtr5jbct84-2yzc">
        <w:r>
          <w:rPr>
            <w:rStyle w:val="Hyperlink"/>
            <w:rFonts w:ascii="Arial" w:cs="Arial" w:eastAsia="Arial" w:hAnsi="Arial"/>
            <w:sz w:val="19"/>
            <w:szCs w:val="19"/>
          </w:rPr>
          <w:t xml:space="preserve">https://www.mdpi.com/1420-3049/17/8/9697</w:t>
        </w:r>
      </w:hyperlink>
    </w:p>
    <w:p>
      <w:pPr>
        <w:pStyle w:val="ListParagraph"/>
        <w:numPr>
          <w:ilvl w:val="0"/>
          <w:numId w:val="2"/>
        </w:numPr>
        <w:spacing w:after="40"/>
      </w:pPr>
      <w:r>
        <w:rPr>
          <w:rFonts w:ascii="Arial" w:cs="Arial" w:eastAsia="Arial" w:hAnsi="Arial"/>
          <w:b/>
          <w:bCs/>
          <w:sz w:val="19"/>
          <w:szCs w:val="19"/>
        </w:rPr>
        <w:t xml:space="preserve">PubMed: </w:t>
      </w:r>
      <w:hyperlink w:history="1" r:id="rIdrke7qryaxe3rneat8ansx">
        <w:r>
          <w:rPr>
            <w:rStyle w:val="Hyperlink"/>
            <w:rFonts w:ascii="Arial" w:cs="Arial" w:eastAsia="Arial" w:hAnsi="Arial"/>
            <w:sz w:val="19"/>
            <w:szCs w:val="19"/>
          </w:rPr>
          <w:t xml:space="preserve">https://pubmed.ncbi.nlm.nih.gov/22890173/</w:t>
        </w:r>
      </w:hyperlink>
    </w:p>
    <w:p>
      <w:pPr>
        <w:pStyle w:val="Heading3"/>
      </w:pPr>
      <w:r>
        <w:t xml:space="preserve">Estudio 2: Revisión de estudios in vitro y en animales.</w:t>
      </w:r>
    </w:p>
    <w:p>
      <w:pPr>
        <w:spacing w:after="100" w:line="276"/>
      </w:pPr>
      <w:r>
        <w:rPr>
          <w:rFonts w:ascii="Arial" w:cs="Arial" w:eastAsia="Arial" w:hAnsi="Arial"/>
          <w:sz w:val="20"/>
          <w:szCs w:val="20"/>
        </w:rPr>
        <w:t xml:space="preserve">Quién lo probó (cita): Lao F, Sigurdson GT, Giusti MM. (2017). Health Benefits of Purple Corn (</w:t>
      </w:r>
      <w:r>
        <w:rPr>
          <w:rFonts w:ascii="Arial" w:cs="Arial" w:eastAsia="Arial" w:hAnsi="Arial"/>
          <w:i/>
          <w:iCs/>
          <w:sz w:val="20"/>
          <w:szCs w:val="20"/>
        </w:rPr>
        <w:t xml:space="preserve">Zea mays</w:t>
      </w:r>
      <w:r>
        <w:rPr>
          <w:rFonts w:ascii="Arial" w:cs="Arial" w:eastAsia="Arial" w:hAnsi="Arial"/>
          <w:sz w:val="20"/>
          <w:szCs w:val="20"/>
        </w:rPr>
        <w:t xml:space="preserve"> L.) Phenolic Compounds. </w:t>
      </w:r>
      <w:r>
        <w:rPr>
          <w:rFonts w:ascii="Arial" w:cs="Arial" w:eastAsia="Arial" w:hAnsi="Arial"/>
          <w:i/>
          <w:iCs/>
          <w:sz w:val="20"/>
          <w:szCs w:val="20"/>
        </w:rPr>
        <w:t xml:space="preserve">Comprehensive Reviews in Food Science and Food Safety</w:t>
      </w:r>
      <w:r>
        <w:rPr>
          <w:rFonts w:ascii="Arial" w:cs="Arial" w:eastAsia="Arial" w:hAnsi="Arial"/>
          <w:sz w:val="20"/>
          <w:szCs w:val="20"/>
        </w:rPr>
        <w:t xml:space="preserve">, 16(2), 234-246.</w:t>
      </w:r>
    </w:p>
    <w:p>
      <w:pPr>
        <w:pStyle w:val="ListParagraph"/>
        <w:numPr>
          <w:ilvl w:val="0"/>
          <w:numId w:val="2"/>
        </w:numPr>
        <w:spacing w:after="60"/>
      </w:pPr>
      <w:r>
        <w:rPr>
          <w:rFonts w:ascii="Arial" w:cs="Arial" w:eastAsia="Arial" w:hAnsi="Arial"/>
          <w:sz w:val="21"/>
          <w:szCs w:val="21"/>
        </w:rPr>
        <w:t xml:space="preserve">Reúne evidencia de efectos antioxidantes, antiinflamatorios, antiobesidad, antidiabéticos y cardioprotectores de las antocianinas del maíz morado.</w:t>
      </w:r>
    </w:p>
    <w:p>
      <w:pPr>
        <w:pStyle w:val="ListParagraph"/>
        <w:numPr>
          <w:ilvl w:val="0"/>
          <w:numId w:val="2"/>
        </w:numPr>
        <w:spacing w:after="60"/>
      </w:pPr>
      <w:r>
        <w:rPr>
          <w:rFonts w:ascii="Arial" w:cs="Arial" w:eastAsia="Arial" w:hAnsi="Arial"/>
          <w:sz w:val="21"/>
          <w:szCs w:val="21"/>
        </w:rPr>
        <w:t xml:space="preserve">Los autores señalan que faltan ensayos clínicos en humanos para confirmar estos efectos.</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vixhcyoghczcrycz76kwb">
        <w:r>
          <w:rPr>
            <w:rStyle w:val="Hyperlink"/>
            <w:rFonts w:ascii="Arial" w:cs="Arial" w:eastAsia="Arial" w:hAnsi="Arial"/>
            <w:sz w:val="19"/>
            <w:szCs w:val="19"/>
          </w:rPr>
          <w:t xml:space="preserve">https://doi.org/10.1111/1541-4337.12249</w:t>
        </w:r>
      </w:hyperlink>
    </w:p>
    <w:p>
      <w:pPr>
        <w:pStyle w:val="ListParagraph"/>
        <w:numPr>
          <w:ilvl w:val="0"/>
          <w:numId w:val="2"/>
        </w:numPr>
        <w:spacing w:after="40"/>
      </w:pPr>
      <w:r>
        <w:rPr>
          <w:rFonts w:ascii="Arial" w:cs="Arial" w:eastAsia="Arial" w:hAnsi="Arial"/>
          <w:b/>
          <w:bCs/>
          <w:sz w:val="19"/>
          <w:szCs w:val="19"/>
        </w:rPr>
        <w:t xml:space="preserve">Wiley: </w:t>
      </w:r>
      <w:hyperlink w:history="1" r:id="rId27e6tx8pqugtf07rvyjc5">
        <w:r>
          <w:rPr>
            <w:rStyle w:val="Hyperlink"/>
            <w:rFonts w:ascii="Arial" w:cs="Arial" w:eastAsia="Arial" w:hAnsi="Arial"/>
            <w:sz w:val="19"/>
            <w:szCs w:val="19"/>
          </w:rPr>
          <w:t xml:space="preserve">https://onlinelibrary.wiley.com/doi/full/10.1111/1541-4337.12249</w:t>
        </w:r>
      </w:hyperlink>
    </w:p>
    <w:p>
      <w:pPr>
        <w:pStyle w:val="Heading2"/>
      </w:pPr>
      <w:r>
        <w:rPr>
          <w:rFonts w:ascii="Arial" w:cs="Arial" w:eastAsia="Arial" w:hAnsi="Arial"/>
          <w:sz w:val="21"/>
          <w:szCs w:val="21"/>
        </w:rPr>
        <w:t xml:space="preserve">Café — </w:t>
      </w:r>
      <w:r>
        <w:rPr>
          <w:rFonts w:ascii="Arial" w:cs="Arial" w:eastAsia="Arial" w:hAnsi="Arial"/>
          <w:i/>
          <w:iCs/>
          <w:sz w:val="21"/>
          <w:szCs w:val="21"/>
        </w:rPr>
        <w:t xml:space="preserve">Coffea arabica</w:t>
      </w:r>
      <w:r>
        <w:rPr>
          <w:rFonts w:ascii="Arial" w:cs="Arial" w:eastAsia="Arial" w:hAnsi="Arial"/>
          <w:sz w:val="21"/>
          <w:szCs w:val="21"/>
        </w:rPr>
        <w:t xml:space="preserve"> L. / </w:t>
      </w:r>
      <w:r>
        <w:rPr>
          <w:rFonts w:ascii="Arial" w:cs="Arial" w:eastAsia="Arial" w:hAnsi="Arial"/>
          <w:i/>
          <w:iCs/>
          <w:sz w:val="21"/>
          <w:szCs w:val="21"/>
        </w:rPr>
        <w:t xml:space="preserve">Coffea canephora</w:t>
      </w:r>
      <w:r>
        <w:rPr>
          <w:rFonts w:ascii="Arial" w:cs="Arial" w:eastAsia="Arial" w:hAnsi="Arial"/>
          <w:sz w:val="21"/>
          <w:szCs w:val="21"/>
        </w:rPr>
        <w:t xml:space="preserve"> (Rubiaceae)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Parte medicinal</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Semilla (grano) tostada, consumida como bebida.</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Nivel de evidencia</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Humanos – estudios observacionales (muestran asociación, no prueban causa-efecto).</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Precaución</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Los propios autores lo desaconsejan en el embarazo y en mujeres con riesgo de fracturas.</w:t>
            </w:r>
          </w:p>
        </w:tc>
      </w:tr>
    </w:tbl>
    <w:p>
      <w:pPr>
        <w:pStyle w:val="Heading3"/>
      </w:pPr>
      <w:r>
        <w:t xml:space="preserve">Estudio 1: Revisión "paraguas": 201 metaanálisis de estudios observacionales y 17 metaanálisis de estudios de intervención.</w:t>
      </w:r>
    </w:p>
    <w:p>
      <w:pPr>
        <w:spacing w:after="100" w:line="276"/>
      </w:pPr>
      <w:r>
        <w:rPr>
          <w:rFonts w:ascii="Arial" w:cs="Arial" w:eastAsia="Arial" w:hAnsi="Arial"/>
          <w:sz w:val="20"/>
          <w:szCs w:val="20"/>
        </w:rPr>
        <w:t xml:space="preserve">Quién lo probó (cita): Poole R, Kennedy OJ, Roderick P, Fallowfield JA, Hayes PC, Parkes J. (2017). Coffee consumption and health: umbrella review of meta-analyses of multiple health outcomes. </w:t>
      </w:r>
      <w:r>
        <w:rPr>
          <w:rFonts w:ascii="Arial" w:cs="Arial" w:eastAsia="Arial" w:hAnsi="Arial"/>
          <w:i/>
          <w:iCs/>
          <w:sz w:val="20"/>
          <w:szCs w:val="20"/>
        </w:rPr>
        <w:t xml:space="preserve">BMJ</w:t>
      </w:r>
      <w:r>
        <w:rPr>
          <w:rFonts w:ascii="Arial" w:cs="Arial" w:eastAsia="Arial" w:hAnsi="Arial"/>
          <w:sz w:val="20"/>
          <w:szCs w:val="20"/>
        </w:rPr>
        <w:t xml:space="preserve">, 359, j5024. (Universidad de Southampton y Universidad de Edimburgo)</w:t>
      </w:r>
    </w:p>
    <w:p>
      <w:pPr>
        <w:pStyle w:val="ListParagraph"/>
        <w:numPr>
          <w:ilvl w:val="0"/>
          <w:numId w:val="2"/>
        </w:numPr>
        <w:spacing w:after="60"/>
      </w:pPr>
      <w:r>
        <w:rPr>
          <w:rFonts w:ascii="Arial" w:cs="Arial" w:eastAsia="Arial" w:hAnsi="Arial"/>
          <w:sz w:val="21"/>
          <w:szCs w:val="21"/>
        </w:rPr>
        <w:t xml:space="preserve">El mayor beneficio se observó con 3 a 4 tazas al día.</w:t>
      </w:r>
    </w:p>
    <w:p>
      <w:pPr>
        <w:pStyle w:val="ListParagraph"/>
        <w:numPr>
          <w:ilvl w:val="0"/>
          <w:numId w:val="2"/>
        </w:numPr>
        <w:spacing w:after="60"/>
      </w:pPr>
      <w:r>
        <w:rPr>
          <w:rFonts w:ascii="Arial" w:cs="Arial" w:eastAsia="Arial" w:hAnsi="Arial"/>
          <w:sz w:val="21"/>
          <w:szCs w:val="21"/>
        </w:rPr>
        <w:t xml:space="preserve">Menor riesgo de muerte por todas las causas y por enfermedad cardiovascular.</w:t>
      </w:r>
    </w:p>
    <w:p>
      <w:pPr>
        <w:pStyle w:val="ListParagraph"/>
        <w:numPr>
          <w:ilvl w:val="0"/>
          <w:numId w:val="2"/>
        </w:numPr>
        <w:spacing w:after="60"/>
      </w:pPr>
      <w:r>
        <w:rPr>
          <w:rFonts w:ascii="Arial" w:cs="Arial" w:eastAsia="Arial" w:hAnsi="Arial"/>
          <w:sz w:val="21"/>
          <w:szCs w:val="21"/>
        </w:rPr>
        <w:t xml:space="preserve">El beneficio más grande fue para enfermedades del hígado (cirrosis) y menor riesgo de cáncer de hígado, próstata, endometrio y piel (melanoma).</w:t>
      </w:r>
    </w:p>
    <w:p>
      <w:pPr>
        <w:pStyle w:val="ListParagraph"/>
        <w:numPr>
          <w:ilvl w:val="0"/>
          <w:numId w:val="2"/>
        </w:numPr>
        <w:spacing w:after="60"/>
      </w:pPr>
      <w:r>
        <w:rPr>
          <w:rFonts w:ascii="Arial" w:cs="Arial" w:eastAsia="Arial" w:hAnsi="Arial"/>
          <w:sz w:val="21"/>
          <w:szCs w:val="21"/>
        </w:rPr>
        <w:t xml:space="preserve">Posibles daños: durante el embarazo (bajo peso al nacer, parto prematuro, pérdida del embarazo) y ligero aumento de fracturas en mujeres.</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wgbozahtqustdkydinmu_">
        <w:r>
          <w:rPr>
            <w:rStyle w:val="Hyperlink"/>
            <w:rFonts w:ascii="Arial" w:cs="Arial" w:eastAsia="Arial" w:hAnsi="Arial"/>
            <w:sz w:val="19"/>
            <w:szCs w:val="19"/>
          </w:rPr>
          <w:t xml:space="preserve">https://doi.org/10.1136/bmj.j5024</w:t>
        </w:r>
      </w:hyperlink>
    </w:p>
    <w:p>
      <w:pPr>
        <w:pStyle w:val="ListParagraph"/>
        <w:numPr>
          <w:ilvl w:val="0"/>
          <w:numId w:val="2"/>
        </w:numPr>
        <w:spacing w:after="40"/>
      </w:pPr>
      <w:r>
        <w:rPr>
          <w:rFonts w:ascii="Arial" w:cs="Arial" w:eastAsia="Arial" w:hAnsi="Arial"/>
          <w:b/>
          <w:bCs/>
          <w:sz w:val="19"/>
          <w:szCs w:val="19"/>
        </w:rPr>
        <w:t xml:space="preserve">Texto completo (PMC): </w:t>
      </w:r>
      <w:hyperlink w:history="1" r:id="rIdhcputr02riwpug2a-qt7v">
        <w:r>
          <w:rPr>
            <w:rStyle w:val="Hyperlink"/>
            <w:rFonts w:ascii="Arial" w:cs="Arial" w:eastAsia="Arial" w:hAnsi="Arial"/>
            <w:sz w:val="19"/>
            <w:szCs w:val="19"/>
          </w:rPr>
          <w:t xml:space="preserve">https://pmc.ncbi.nlm.nih.gov/articles/PMC5765813/</w:t>
        </w:r>
      </w:hyperlink>
    </w:p>
    <w:p>
      <w:pPr>
        <w:pStyle w:val="ListParagraph"/>
        <w:numPr>
          <w:ilvl w:val="0"/>
          <w:numId w:val="2"/>
        </w:numPr>
        <w:spacing w:after="40"/>
      </w:pPr>
      <w:r>
        <w:rPr>
          <w:rFonts w:ascii="Arial" w:cs="Arial" w:eastAsia="Arial" w:hAnsi="Arial"/>
          <w:b/>
          <w:bCs/>
          <w:sz w:val="19"/>
          <w:szCs w:val="19"/>
        </w:rPr>
        <w:t xml:space="preserve">Nota de la Univ. de Southampton: </w:t>
      </w:r>
      <w:hyperlink w:history="1" r:id="rId05uq8q-tlwuuykji3fsm4">
        <w:r>
          <w:rPr>
            <w:rStyle w:val="Hyperlink"/>
            <w:rFonts w:ascii="Arial" w:cs="Arial" w:eastAsia="Arial" w:hAnsi="Arial"/>
            <w:sz w:val="19"/>
            <w:szCs w:val="19"/>
          </w:rPr>
          <w:t xml:space="preserve">https://www.southampton.ac.uk/news/2017/11/coffee-health-benefits.page</w:t>
        </w:r>
      </w:hyperlink>
    </w:p>
    <w:p>
      <w:pPr>
        <w:pStyle w:val="Heading2"/>
      </w:pPr>
      <w:r>
        <w:rPr>
          <w:rFonts w:ascii="Arial" w:cs="Arial" w:eastAsia="Arial" w:hAnsi="Arial"/>
          <w:sz w:val="21"/>
          <w:szCs w:val="21"/>
        </w:rPr>
        <w:t xml:space="preserve">Plátano — </w:t>
      </w:r>
      <w:r>
        <w:rPr>
          <w:rFonts w:ascii="Arial" w:cs="Arial" w:eastAsia="Arial" w:hAnsi="Arial"/>
          <w:i/>
          <w:iCs/>
          <w:sz w:val="21"/>
          <w:szCs w:val="21"/>
        </w:rPr>
        <w:t xml:space="preserve">Musa</w:t>
      </w:r>
      <w:r>
        <w:rPr>
          <w:rFonts w:ascii="Arial" w:cs="Arial" w:eastAsia="Arial" w:hAnsi="Arial"/>
          <w:sz w:val="21"/>
          <w:szCs w:val="21"/>
        </w:rPr>
        <w:t xml:space="preserve"> spp. (</w:t>
      </w:r>
      <w:r>
        <w:rPr>
          <w:rFonts w:ascii="Arial" w:cs="Arial" w:eastAsia="Arial" w:hAnsi="Arial"/>
          <w:i/>
          <w:iCs/>
          <w:sz w:val="21"/>
          <w:szCs w:val="21"/>
        </w:rPr>
        <w:t xml:space="preserve">M. paradisiaca</w:t>
      </w:r>
      <w:r>
        <w:rPr>
          <w:rFonts w:ascii="Arial" w:cs="Arial" w:eastAsia="Arial" w:hAnsi="Arial"/>
          <w:sz w:val="21"/>
          <w:szCs w:val="21"/>
        </w:rPr>
        <w:t xml:space="preserve">) (Musaceae)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Parte medicinal</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Fruto VERDE (pulpa cocida), rico en almidón resistente y pectina.</w:t>
            </w:r>
          </w:p>
          <w:p>
            <w:pPr>
              <w:spacing w:after="40"/>
            </w:pPr>
            <w:r>
              <w:rPr>
                <w:rFonts w:ascii="Arial" w:cs="Arial" w:eastAsia="Arial" w:hAnsi="Arial"/>
                <w:sz w:val="20"/>
                <w:szCs w:val="20"/>
              </w:rPr>
              <w:t xml:space="preserve">La cáscara, flores y tallo tienen compuestos bioactivos (estudios de laboratorio).</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Nivel de evidencia</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Humanos – ensayo clínico controlado (para diarrea infantil).</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Precaución</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El efecto probado es del plátano VERDE cocido como parte de la dieta, no del plátano maduro.</w:t>
            </w:r>
          </w:p>
        </w:tc>
      </w:tr>
    </w:tbl>
    <w:p>
      <w:pPr>
        <w:pStyle w:val="Heading3"/>
      </w:pPr>
      <w:r>
        <w:t xml:space="preserve">Estudio 1: Ensayo clínico controlado en 62 niños de 5 a 12 meses con diarrea persistente (Bangladesh).</w:t>
      </w:r>
    </w:p>
    <w:p>
      <w:pPr>
        <w:spacing w:after="100" w:line="276"/>
      </w:pPr>
      <w:r>
        <w:rPr>
          <w:rFonts w:ascii="Arial" w:cs="Arial" w:eastAsia="Arial" w:hAnsi="Arial"/>
          <w:sz w:val="20"/>
          <w:szCs w:val="20"/>
        </w:rPr>
        <w:t xml:space="preserve">Quién lo probó (cita): Rabbani GH, Teka T, Zaman B, Majid N, Khatun M, Fuchs GJ. (2001). Clinical studies in persistent diarrhea: dietary management with green banana or pectin in Bangladeshi children. </w:t>
      </w:r>
      <w:r>
        <w:rPr>
          <w:rFonts w:ascii="Arial" w:cs="Arial" w:eastAsia="Arial" w:hAnsi="Arial"/>
          <w:i/>
          <w:iCs/>
          <w:sz w:val="20"/>
          <w:szCs w:val="20"/>
        </w:rPr>
        <w:t xml:space="preserve">Gastroenterology</w:t>
      </w:r>
      <w:r>
        <w:rPr>
          <w:rFonts w:ascii="Arial" w:cs="Arial" w:eastAsia="Arial" w:hAnsi="Arial"/>
          <w:sz w:val="20"/>
          <w:szCs w:val="20"/>
        </w:rPr>
        <w:t xml:space="preserve">, 121(3), 554-560.</w:t>
      </w:r>
    </w:p>
    <w:p>
      <w:pPr>
        <w:pStyle w:val="ListParagraph"/>
        <w:numPr>
          <w:ilvl w:val="0"/>
          <w:numId w:val="2"/>
        </w:numPr>
        <w:spacing w:after="60"/>
      </w:pPr>
      <w:r>
        <w:rPr>
          <w:rFonts w:ascii="Arial" w:cs="Arial" w:eastAsia="Arial" w:hAnsi="Arial"/>
          <w:sz w:val="21"/>
          <w:szCs w:val="21"/>
        </w:rPr>
        <w:t xml:space="preserve">Dosis: 250 g de plátano verde cocido por litro de dieta de arroz.</w:t>
      </w:r>
    </w:p>
    <w:p>
      <w:pPr>
        <w:pStyle w:val="ListParagraph"/>
        <w:numPr>
          <w:ilvl w:val="0"/>
          <w:numId w:val="2"/>
        </w:numPr>
        <w:spacing w:after="60"/>
      </w:pPr>
      <w:r>
        <w:rPr>
          <w:rFonts w:ascii="Arial" w:cs="Arial" w:eastAsia="Arial" w:hAnsi="Arial"/>
          <w:sz w:val="21"/>
          <w:szCs w:val="21"/>
        </w:rPr>
        <w:t xml:space="preserve">Recuperación al día 3: 55 % con plátano verde vs 15 % en el grupo control.</w:t>
      </w:r>
    </w:p>
    <w:p>
      <w:pPr>
        <w:pStyle w:val="ListParagraph"/>
        <w:numPr>
          <w:ilvl w:val="0"/>
          <w:numId w:val="2"/>
        </w:numPr>
        <w:spacing w:after="60"/>
      </w:pPr>
      <w:r>
        <w:rPr>
          <w:rFonts w:ascii="Arial" w:cs="Arial" w:eastAsia="Arial" w:hAnsi="Arial"/>
          <w:sz w:val="21"/>
          <w:szCs w:val="21"/>
        </w:rPr>
        <w:t xml:space="preserve">Recuperación al día 4: 78 % con plátano verde vs 23 % en el control (p&lt;0,001).</w:t>
      </w:r>
    </w:p>
    <w:p>
      <w:pPr>
        <w:pStyle w:val="ListParagraph"/>
        <w:numPr>
          <w:ilvl w:val="0"/>
          <w:numId w:val="2"/>
        </w:numPr>
        <w:spacing w:after="60"/>
      </w:pPr>
      <w:r>
        <w:rPr>
          <w:rFonts w:ascii="Arial" w:cs="Arial" w:eastAsia="Arial" w:hAnsi="Arial"/>
          <w:sz w:val="21"/>
          <w:szCs w:val="21"/>
        </w:rPr>
        <w:t xml:space="preserve">Redujo la cantidad de heces, de suero oral, de suero intravenoso y los vómitos.</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dxn5el_-ziahcvb-e7t2g">
        <w:r>
          <w:rPr>
            <w:rStyle w:val="Hyperlink"/>
            <w:rFonts w:ascii="Arial" w:cs="Arial" w:eastAsia="Arial" w:hAnsi="Arial"/>
            <w:sz w:val="19"/>
            <w:szCs w:val="19"/>
          </w:rPr>
          <w:t xml:space="preserve">https://doi.org/10.1053/gast.2001.27178</w:t>
        </w:r>
      </w:hyperlink>
    </w:p>
    <w:p>
      <w:pPr>
        <w:pStyle w:val="ListParagraph"/>
        <w:numPr>
          <w:ilvl w:val="0"/>
          <w:numId w:val="2"/>
        </w:numPr>
        <w:spacing w:after="40"/>
      </w:pPr>
      <w:r>
        <w:rPr>
          <w:rFonts w:ascii="Arial" w:cs="Arial" w:eastAsia="Arial" w:hAnsi="Arial"/>
          <w:b/>
          <w:bCs/>
          <w:sz w:val="19"/>
          <w:szCs w:val="19"/>
        </w:rPr>
        <w:t xml:space="preserve">PubMed: </w:t>
      </w:r>
      <w:hyperlink w:history="1" r:id="rId28tcrdk1omz7ixkiaynch">
        <w:r>
          <w:rPr>
            <w:rStyle w:val="Hyperlink"/>
            <w:rFonts w:ascii="Arial" w:cs="Arial" w:eastAsia="Arial" w:hAnsi="Arial"/>
            <w:sz w:val="19"/>
            <w:szCs w:val="19"/>
          </w:rPr>
          <w:t xml:space="preserve">https://pubmed.ncbi.nlm.nih.gov/11522739/</w:t>
        </w:r>
      </w:hyperlink>
    </w:p>
    <w:p>
      <w:pPr>
        <w:pStyle w:val="ListParagraph"/>
        <w:numPr>
          <w:ilvl w:val="0"/>
          <w:numId w:val="2"/>
        </w:numPr>
        <w:spacing w:after="40"/>
      </w:pPr>
      <w:r>
        <w:rPr>
          <w:rFonts w:ascii="Arial" w:cs="Arial" w:eastAsia="Arial" w:hAnsi="Arial"/>
          <w:b/>
          <w:bCs/>
          <w:sz w:val="19"/>
          <w:szCs w:val="19"/>
        </w:rPr>
        <w:t xml:space="preserve">Gastroenterology: </w:t>
      </w:r>
      <w:hyperlink w:history="1" r:id="rIdtjx17m0xppm2pumjj7dnx">
        <w:r>
          <w:rPr>
            <w:rStyle w:val="Hyperlink"/>
            <w:rFonts w:ascii="Arial" w:cs="Arial" w:eastAsia="Arial" w:hAnsi="Arial"/>
            <w:sz w:val="19"/>
            <w:szCs w:val="19"/>
          </w:rPr>
          <w:t xml:space="preserve">https://www.gastrojournal.org/article/S0016-5085(01)89171-X/fulltext</w:t>
        </w:r>
      </w:hyperlink>
    </w:p>
    <w:p>
      <w:pPr>
        <w:pStyle w:val="Heading3"/>
      </w:pPr>
      <w:r>
        <w:t xml:space="preserve">Estudio 2: Revisión.</w:t>
      </w:r>
    </w:p>
    <w:p>
      <w:pPr>
        <w:spacing w:after="100" w:line="276"/>
      </w:pPr>
      <w:r>
        <w:rPr>
          <w:rFonts w:ascii="Arial" w:cs="Arial" w:eastAsia="Arial" w:hAnsi="Arial"/>
          <w:sz w:val="20"/>
          <w:szCs w:val="20"/>
        </w:rPr>
        <w:t xml:space="preserve">Quién lo probó (cita): Pereira A, Maraschin M. (2015). Banana (</w:t>
      </w:r>
      <w:r>
        <w:rPr>
          <w:rFonts w:ascii="Arial" w:cs="Arial" w:eastAsia="Arial" w:hAnsi="Arial"/>
          <w:i/>
          <w:iCs/>
          <w:sz w:val="20"/>
          <w:szCs w:val="20"/>
        </w:rPr>
        <w:t xml:space="preserve">Musa</w:t>
      </w:r>
      <w:r>
        <w:rPr>
          <w:rFonts w:ascii="Arial" w:cs="Arial" w:eastAsia="Arial" w:hAnsi="Arial"/>
          <w:sz w:val="20"/>
          <w:szCs w:val="20"/>
        </w:rPr>
        <w:t xml:space="preserve"> spp) from peel to pulp: ethnopharmacology, source of bioactive compounds and its relevance for human health. </w:t>
      </w:r>
      <w:r>
        <w:rPr>
          <w:rFonts w:ascii="Arial" w:cs="Arial" w:eastAsia="Arial" w:hAnsi="Arial"/>
          <w:i/>
          <w:iCs/>
          <w:sz w:val="20"/>
          <w:szCs w:val="20"/>
        </w:rPr>
        <w:t xml:space="preserve">Journal of Ethnopharmacology</w:t>
      </w:r>
      <w:r>
        <w:rPr>
          <w:rFonts w:ascii="Arial" w:cs="Arial" w:eastAsia="Arial" w:hAnsi="Arial"/>
          <w:sz w:val="20"/>
          <w:szCs w:val="20"/>
        </w:rPr>
        <w:t xml:space="preserve">, 160, 149-163.</w:t>
      </w:r>
    </w:p>
    <w:p>
      <w:pPr>
        <w:pStyle w:val="ListParagraph"/>
        <w:numPr>
          <w:ilvl w:val="0"/>
          <w:numId w:val="2"/>
        </w:numPr>
        <w:spacing w:after="60"/>
      </w:pPr>
      <w:r>
        <w:rPr>
          <w:rFonts w:ascii="Arial" w:cs="Arial" w:eastAsia="Arial" w:hAnsi="Arial"/>
          <w:sz w:val="21"/>
          <w:szCs w:val="21"/>
        </w:rPr>
        <w:t xml:space="preserve">Describe compuestos fenólicos antioxidantes, carotenoides (provitamina A) y L-dopa/dopamina presentes en pulpa y cáscara.</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o9hsx1a6bnihdybdtd_7s">
        <w:r>
          <w:rPr>
            <w:rStyle w:val="Hyperlink"/>
            <w:rFonts w:ascii="Arial" w:cs="Arial" w:eastAsia="Arial" w:hAnsi="Arial"/>
            <w:sz w:val="19"/>
            <w:szCs w:val="19"/>
          </w:rPr>
          <w:t xml:space="preserve">https://doi.org/10.1016/j.jep.2014.11.008</w:t>
        </w:r>
      </w:hyperlink>
    </w:p>
    <w:p>
      <w:pPr>
        <w:pStyle w:val="ListParagraph"/>
        <w:numPr>
          <w:ilvl w:val="0"/>
          <w:numId w:val="2"/>
        </w:numPr>
        <w:spacing w:after="40"/>
      </w:pPr>
      <w:r>
        <w:rPr>
          <w:rFonts w:ascii="Arial" w:cs="Arial" w:eastAsia="Arial" w:hAnsi="Arial"/>
          <w:b/>
          <w:bCs/>
          <w:sz w:val="19"/>
          <w:szCs w:val="19"/>
        </w:rPr>
        <w:t xml:space="preserve">PubMed: </w:t>
      </w:r>
      <w:hyperlink w:history="1" r:id="rIdr1rp7kt_zfkzo_oyjvpir">
        <w:r>
          <w:rPr>
            <w:rStyle w:val="Hyperlink"/>
            <w:rFonts w:ascii="Arial" w:cs="Arial" w:eastAsia="Arial" w:hAnsi="Arial"/>
            <w:sz w:val="19"/>
            <w:szCs w:val="19"/>
          </w:rPr>
          <w:t xml:space="preserve">https://pubmed.ncbi.nlm.nih.gov/25449450/</w:t>
        </w:r>
      </w:hyperlink>
    </w:p>
    <w:p>
      <w:pPr>
        <w:pStyle w:val="Heading2"/>
      </w:pPr>
      <w:r>
        <w:rPr>
          <w:rFonts w:ascii="Arial" w:cs="Arial" w:eastAsia="Arial" w:hAnsi="Arial"/>
          <w:sz w:val="21"/>
          <w:szCs w:val="21"/>
        </w:rPr>
        <w:t xml:space="preserve">Cacao — </w:t>
      </w:r>
      <w:r>
        <w:rPr>
          <w:rFonts w:ascii="Arial" w:cs="Arial" w:eastAsia="Arial" w:hAnsi="Arial"/>
          <w:i/>
          <w:iCs/>
          <w:sz w:val="21"/>
          <w:szCs w:val="21"/>
        </w:rPr>
        <w:t xml:space="preserve">Theobroma cacao</w:t>
      </w:r>
      <w:r>
        <w:rPr>
          <w:rFonts w:ascii="Arial" w:cs="Arial" w:eastAsia="Arial" w:hAnsi="Arial"/>
          <w:sz w:val="21"/>
          <w:szCs w:val="21"/>
        </w:rPr>
        <w:t xml:space="preserve"> L. (Malvaceae)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Parte medicinal</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Semilla (grano) → flavanoles del cacao (extracto o cacao en polvo).</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Nivel de evidencia</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Humanos – gran ensayo clínico aleatorizado y revisión Cochrane.</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Precaución</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El beneficio viene de los flavanoles; el chocolate comercial con mucha azúcar y grasa no equivale a estas dosis.</w:t>
            </w:r>
          </w:p>
        </w:tc>
      </w:tr>
    </w:tbl>
    <w:p>
      <w:pPr>
        <w:pStyle w:val="Heading3"/>
      </w:pPr>
      <w:r>
        <w:t xml:space="preserve">Estudio 1: Ensayo clínico aleatorizado con 21 442 adultos mayores; seguimiento mediano de 3,6 años.</w:t>
      </w:r>
    </w:p>
    <w:p>
      <w:pPr>
        <w:spacing w:after="100" w:line="276"/>
      </w:pPr>
      <w:r>
        <w:rPr>
          <w:rFonts w:ascii="Arial" w:cs="Arial" w:eastAsia="Arial" w:hAnsi="Arial"/>
          <w:sz w:val="20"/>
          <w:szCs w:val="20"/>
        </w:rPr>
        <w:t xml:space="preserve">Quién lo probó (cita): Sesso HD, Manson JE, Aragaki AK, Rist PM, Johnson LG, et al. (2022). Effect of cocoa flavanol supplementation for the prevention of cardiovascular disease events: the COSMOS randomized clinical trial. </w:t>
      </w:r>
      <w:r>
        <w:rPr>
          <w:rFonts w:ascii="Arial" w:cs="Arial" w:eastAsia="Arial" w:hAnsi="Arial"/>
          <w:i/>
          <w:iCs/>
          <w:sz w:val="20"/>
          <w:szCs w:val="20"/>
        </w:rPr>
        <w:t xml:space="preserve">American Journal of Clinical Nutrition</w:t>
      </w:r>
      <w:r>
        <w:rPr>
          <w:rFonts w:ascii="Arial" w:cs="Arial" w:eastAsia="Arial" w:hAnsi="Arial"/>
          <w:sz w:val="20"/>
          <w:szCs w:val="20"/>
        </w:rPr>
        <w:t xml:space="preserve">, 115(6), 1490-1500. (Harvard / Brigham and Women's Hospital)</w:t>
      </w:r>
    </w:p>
    <w:p>
      <w:pPr>
        <w:pStyle w:val="ListParagraph"/>
        <w:numPr>
          <w:ilvl w:val="0"/>
          <w:numId w:val="2"/>
        </w:numPr>
        <w:spacing w:after="60"/>
      </w:pPr>
      <w:r>
        <w:rPr>
          <w:rFonts w:ascii="Arial" w:cs="Arial" w:eastAsia="Arial" w:hAnsi="Arial"/>
          <w:sz w:val="21"/>
          <w:szCs w:val="21"/>
        </w:rPr>
        <w:t xml:space="preserve">Dosis: 500 mg/día de flavanoles de cacao (extracto en cápsulas).</w:t>
      </w:r>
    </w:p>
    <w:p>
      <w:pPr>
        <w:pStyle w:val="ListParagraph"/>
        <w:numPr>
          <w:ilvl w:val="0"/>
          <w:numId w:val="2"/>
        </w:numPr>
        <w:spacing w:after="60"/>
      </w:pPr>
      <w:r>
        <w:rPr>
          <w:rFonts w:ascii="Arial" w:cs="Arial" w:eastAsia="Arial" w:hAnsi="Arial"/>
          <w:sz w:val="21"/>
          <w:szCs w:val="21"/>
        </w:rPr>
        <w:t xml:space="preserve">Eventos cardiovasculares totales: reducción de 10 %, NO estadísticamente significativa (HR 0,90; IC95 % 0,78-1,02).</w:t>
      </w:r>
    </w:p>
    <w:p>
      <w:pPr>
        <w:pStyle w:val="ListParagraph"/>
        <w:numPr>
          <w:ilvl w:val="0"/>
          <w:numId w:val="2"/>
        </w:numPr>
        <w:spacing w:after="60"/>
      </w:pPr>
      <w:r>
        <w:rPr>
          <w:rFonts w:ascii="Arial" w:cs="Arial" w:eastAsia="Arial" w:hAnsi="Arial"/>
          <w:sz w:val="21"/>
          <w:szCs w:val="21"/>
        </w:rPr>
        <w:t xml:space="preserve">Muerte por causa cardiovascular: reducción de 27 % (HR 0,73; IC95 % 0,54-0,98), resultado secundario.</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dxwi5mhs2ea-mmlp4cbx6">
        <w:r>
          <w:rPr>
            <w:rStyle w:val="Hyperlink"/>
            <w:rFonts w:ascii="Arial" w:cs="Arial" w:eastAsia="Arial" w:hAnsi="Arial"/>
            <w:sz w:val="19"/>
            <w:szCs w:val="19"/>
          </w:rPr>
          <w:t xml:space="preserve">https://doi.org/10.1093/ajcn/nqac055</w:t>
        </w:r>
      </w:hyperlink>
    </w:p>
    <w:p>
      <w:pPr>
        <w:pStyle w:val="ListParagraph"/>
        <w:numPr>
          <w:ilvl w:val="0"/>
          <w:numId w:val="2"/>
        </w:numPr>
        <w:spacing w:after="40"/>
      </w:pPr>
      <w:r>
        <w:rPr>
          <w:rFonts w:ascii="Arial" w:cs="Arial" w:eastAsia="Arial" w:hAnsi="Arial"/>
          <w:b/>
          <w:bCs/>
          <w:sz w:val="19"/>
          <w:szCs w:val="19"/>
        </w:rPr>
        <w:t xml:space="preserve">Texto completo (PMC): </w:t>
      </w:r>
      <w:hyperlink w:history="1" r:id="rIdzpsisi0jzhdlgjw3kryg_">
        <w:r>
          <w:rPr>
            <w:rStyle w:val="Hyperlink"/>
            <w:rFonts w:ascii="Arial" w:cs="Arial" w:eastAsia="Arial" w:hAnsi="Arial"/>
            <w:sz w:val="19"/>
            <w:szCs w:val="19"/>
          </w:rPr>
          <w:t xml:space="preserve">https://pmc.ncbi.nlm.nih.gov/articles/PMC9170467/</w:t>
        </w:r>
      </w:hyperlink>
    </w:p>
    <w:p>
      <w:pPr>
        <w:pStyle w:val="ListParagraph"/>
        <w:numPr>
          <w:ilvl w:val="0"/>
          <w:numId w:val="2"/>
        </w:numPr>
        <w:spacing w:after="40"/>
      </w:pPr>
      <w:r>
        <w:rPr>
          <w:rFonts w:ascii="Arial" w:cs="Arial" w:eastAsia="Arial" w:hAnsi="Arial"/>
          <w:b/>
          <w:bCs/>
          <w:sz w:val="19"/>
          <w:szCs w:val="19"/>
        </w:rPr>
        <w:t xml:space="preserve">Registro del ensayo: </w:t>
      </w:r>
      <w:hyperlink w:history="1" r:id="rId4y0laj3j_ueamujpqs-1v">
        <w:r>
          <w:rPr>
            <w:rStyle w:val="Hyperlink"/>
            <w:rFonts w:ascii="Arial" w:cs="Arial" w:eastAsia="Arial" w:hAnsi="Arial"/>
            <w:sz w:val="19"/>
            <w:szCs w:val="19"/>
          </w:rPr>
          <w:t xml:space="preserve">https://clinicaltrials.gov/study/NCT02422745</w:t>
        </w:r>
      </w:hyperlink>
    </w:p>
    <w:p>
      <w:pPr>
        <w:pStyle w:val="Heading3"/>
      </w:pPr>
      <w:r>
        <w:t xml:space="preserve">Estudio 2: Revisión sistemática Cochrane: 35 ensayos (40 comparaciones), 1804 adultos.</w:t>
      </w:r>
    </w:p>
    <w:p>
      <w:pPr>
        <w:spacing w:after="100" w:line="276"/>
      </w:pPr>
      <w:r>
        <w:rPr>
          <w:rFonts w:ascii="Arial" w:cs="Arial" w:eastAsia="Arial" w:hAnsi="Arial"/>
          <w:sz w:val="20"/>
          <w:szCs w:val="20"/>
        </w:rPr>
        <w:t xml:space="preserve">Quién lo probó (cita): Ried K, Fakler P, Stocks NP. (2017). Effect of cocoa on blood pressure. </w:t>
      </w:r>
      <w:r>
        <w:rPr>
          <w:rFonts w:ascii="Arial" w:cs="Arial" w:eastAsia="Arial" w:hAnsi="Arial"/>
          <w:i/>
          <w:iCs/>
          <w:sz w:val="20"/>
          <w:szCs w:val="20"/>
        </w:rPr>
        <w:t xml:space="preserve">Cochrane Database of Systematic Reviews</w:t>
      </w:r>
      <w:r>
        <w:rPr>
          <w:rFonts w:ascii="Arial" w:cs="Arial" w:eastAsia="Arial" w:hAnsi="Arial"/>
          <w:sz w:val="20"/>
          <w:szCs w:val="20"/>
        </w:rPr>
        <w:t xml:space="preserve">, CD008893.</w:t>
      </w:r>
    </w:p>
    <w:p>
      <w:pPr>
        <w:pStyle w:val="ListParagraph"/>
        <w:numPr>
          <w:ilvl w:val="0"/>
          <w:numId w:val="2"/>
        </w:numPr>
        <w:spacing w:after="60"/>
      </w:pPr>
      <w:r>
        <w:rPr>
          <w:rFonts w:ascii="Arial" w:cs="Arial" w:eastAsia="Arial" w:hAnsi="Arial"/>
          <w:sz w:val="21"/>
          <w:szCs w:val="21"/>
        </w:rPr>
        <w:t xml:space="preserve">Bajó la presión arterial en promedio 1,76 mmHg (sistólica y diastólica).</w:t>
      </w:r>
    </w:p>
    <w:p>
      <w:pPr>
        <w:pStyle w:val="ListParagraph"/>
        <w:numPr>
          <w:ilvl w:val="0"/>
          <w:numId w:val="2"/>
        </w:numPr>
        <w:spacing w:after="60"/>
      </w:pPr>
      <w:r>
        <w:rPr>
          <w:rFonts w:ascii="Arial" w:cs="Arial" w:eastAsia="Arial" w:hAnsi="Arial"/>
          <w:sz w:val="21"/>
          <w:szCs w:val="21"/>
        </w:rPr>
        <w:t xml:space="preserve">En personas con hipertensión la reducción sistólica fue de alrededor de 4 mmHg.</w:t>
      </w:r>
    </w:p>
    <w:p>
      <w:pPr>
        <w:pStyle w:val="ListParagraph"/>
        <w:numPr>
          <w:ilvl w:val="0"/>
          <w:numId w:val="2"/>
        </w:numPr>
        <w:spacing w:after="60"/>
      </w:pPr>
      <w:r>
        <w:rPr>
          <w:rFonts w:ascii="Arial" w:cs="Arial" w:eastAsia="Arial" w:hAnsi="Arial"/>
          <w:sz w:val="21"/>
          <w:szCs w:val="21"/>
        </w:rPr>
        <w:t xml:space="preserve">Ensayos de 2 a 18 semanas; flavanoles de 30 a 1218 mg/día.</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ep_lwl19ogz6jjjmvnlet">
        <w:r>
          <w:rPr>
            <w:rStyle w:val="Hyperlink"/>
            <w:rFonts w:ascii="Arial" w:cs="Arial" w:eastAsia="Arial" w:hAnsi="Arial"/>
            <w:sz w:val="19"/>
            <w:szCs w:val="19"/>
          </w:rPr>
          <w:t xml:space="preserve">https://doi.org/10.1002/14651858.CD008893.pub3</w:t>
        </w:r>
      </w:hyperlink>
    </w:p>
    <w:p>
      <w:pPr>
        <w:pStyle w:val="ListParagraph"/>
        <w:numPr>
          <w:ilvl w:val="0"/>
          <w:numId w:val="2"/>
        </w:numPr>
        <w:spacing w:after="40"/>
      </w:pPr>
      <w:r>
        <w:rPr>
          <w:rFonts w:ascii="Arial" w:cs="Arial" w:eastAsia="Arial" w:hAnsi="Arial"/>
          <w:b/>
          <w:bCs/>
          <w:sz w:val="19"/>
          <w:szCs w:val="19"/>
        </w:rPr>
        <w:t xml:space="preserve">Resumen en Cochrane: </w:t>
      </w:r>
      <w:hyperlink w:history="1" r:id="rId_fxjwsxbaz1etgnijxnfu">
        <w:r>
          <w:rPr>
            <w:rStyle w:val="Hyperlink"/>
            <w:rFonts w:ascii="Arial" w:cs="Arial" w:eastAsia="Arial" w:hAnsi="Arial"/>
            <w:sz w:val="19"/>
            <w:szCs w:val="19"/>
          </w:rPr>
          <w:t xml:space="preserve">https://www.cochrane.org/evidence/CD008893_effect-cocoa-blood-pressure</w:t>
        </w:r>
      </w:hyperlink>
    </w:p>
    <w:p>
      <w:pPr>
        <w:pStyle w:val="Heading2"/>
      </w:pPr>
      <w:r>
        <w:rPr>
          <w:rFonts w:ascii="Arial" w:cs="Arial" w:eastAsia="Arial" w:hAnsi="Arial"/>
          <w:sz w:val="21"/>
          <w:szCs w:val="21"/>
        </w:rPr>
        <w:t xml:space="preserve">Palta — </w:t>
      </w:r>
      <w:r>
        <w:rPr>
          <w:rFonts w:ascii="Arial" w:cs="Arial" w:eastAsia="Arial" w:hAnsi="Arial"/>
          <w:i/>
          <w:iCs/>
          <w:sz w:val="21"/>
          <w:szCs w:val="21"/>
        </w:rPr>
        <w:t xml:space="preserve">Persea americana</w:t>
      </w:r>
      <w:r>
        <w:rPr>
          <w:rFonts w:ascii="Arial" w:cs="Arial" w:eastAsia="Arial" w:hAnsi="Arial"/>
          <w:sz w:val="21"/>
          <w:szCs w:val="21"/>
        </w:rPr>
        <w:t xml:space="preserve"> Mill. (Lauraceae)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Parte medicinal</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Pulpa del fruto (grasas monoinsaturadas, fibra, fitoesteroles).</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Nivel de evidencia</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Humanos – ensayo controlado + gran estudio de cohorte.</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Precaución</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La cohorte muestra asociación; el ensayo sí prueba efecto sobre el LDL a corto plazo.</w:t>
            </w:r>
          </w:p>
        </w:tc>
      </w:tr>
    </w:tbl>
    <w:p>
      <w:pPr>
        <w:pStyle w:val="Heading3"/>
      </w:pPr>
      <w:r>
        <w:t xml:space="preserve">Estudio 1: Ensayo controlado cruzado: 45 adultos con sobrepeso u obesidad, 3 dietas de 5 semanas cada una.</w:t>
      </w:r>
    </w:p>
    <w:p>
      <w:pPr>
        <w:spacing w:after="100" w:line="276"/>
      </w:pPr>
      <w:r>
        <w:rPr>
          <w:rFonts w:ascii="Arial" w:cs="Arial" w:eastAsia="Arial" w:hAnsi="Arial"/>
          <w:sz w:val="20"/>
          <w:szCs w:val="20"/>
        </w:rPr>
        <w:t xml:space="preserve">Quién lo probó (cita): Wang L, Bordi PL, Fleming JA, Hill AM, Kris-Etherton PM. (2015). Effect of a moderate fat diet with and without avocados on lipoprotein particle number, size and subclasses in overweight and obese adults: a randomized, controlled trial. </w:t>
      </w:r>
      <w:r>
        <w:rPr>
          <w:rFonts w:ascii="Arial" w:cs="Arial" w:eastAsia="Arial" w:hAnsi="Arial"/>
          <w:i/>
          <w:iCs/>
          <w:sz w:val="20"/>
          <w:szCs w:val="20"/>
        </w:rPr>
        <w:t xml:space="preserve">Journal of the American Heart Association</w:t>
      </w:r>
      <w:r>
        <w:rPr>
          <w:rFonts w:ascii="Arial" w:cs="Arial" w:eastAsia="Arial" w:hAnsi="Arial"/>
          <w:sz w:val="20"/>
          <w:szCs w:val="20"/>
        </w:rPr>
        <w:t xml:space="preserve">, 4(1), e001355. (Penn State University)</w:t>
      </w:r>
    </w:p>
    <w:p>
      <w:pPr>
        <w:pStyle w:val="ListParagraph"/>
        <w:numPr>
          <w:ilvl w:val="0"/>
          <w:numId w:val="2"/>
        </w:numPr>
        <w:spacing w:after="60"/>
      </w:pPr>
      <w:r>
        <w:rPr>
          <w:rFonts w:ascii="Arial" w:cs="Arial" w:eastAsia="Arial" w:hAnsi="Arial"/>
          <w:sz w:val="21"/>
          <w:szCs w:val="21"/>
        </w:rPr>
        <w:t xml:space="preserve">Con 1 palta al día el colesterol LDL bajó 13,5 mg/dL frente al inicio.</w:t>
      </w:r>
    </w:p>
    <w:p>
      <w:pPr>
        <w:pStyle w:val="ListParagraph"/>
        <w:numPr>
          <w:ilvl w:val="0"/>
          <w:numId w:val="2"/>
        </w:numPr>
        <w:spacing w:after="60"/>
      </w:pPr>
      <w:r>
        <w:rPr>
          <w:rFonts w:ascii="Arial" w:cs="Arial" w:eastAsia="Arial" w:hAnsi="Arial"/>
          <w:sz w:val="21"/>
          <w:szCs w:val="21"/>
        </w:rPr>
        <w:t xml:space="preserve">Las dietas sin palta bajaron 8,3 y 7,4 mg/dL.</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fe654c9naufsqiyu47vdx">
        <w:r>
          <w:rPr>
            <w:rStyle w:val="Hyperlink"/>
            <w:rFonts w:ascii="Arial" w:cs="Arial" w:eastAsia="Arial" w:hAnsi="Arial"/>
            <w:sz w:val="19"/>
            <w:szCs w:val="19"/>
          </w:rPr>
          <w:t xml:space="preserve">https://doi.org/10.1161/JAHA.114.001355</w:t>
        </w:r>
      </w:hyperlink>
    </w:p>
    <w:p>
      <w:pPr>
        <w:pStyle w:val="ListParagraph"/>
        <w:numPr>
          <w:ilvl w:val="0"/>
          <w:numId w:val="2"/>
        </w:numPr>
        <w:spacing w:after="40"/>
      </w:pPr>
      <w:r>
        <w:rPr>
          <w:rFonts w:ascii="Arial" w:cs="Arial" w:eastAsia="Arial" w:hAnsi="Arial"/>
          <w:b/>
          <w:bCs/>
          <w:sz w:val="19"/>
          <w:szCs w:val="19"/>
        </w:rPr>
        <w:t xml:space="preserve">Nota de ScienceDaily: </w:t>
      </w:r>
      <w:hyperlink w:history="1" r:id="rIdc6mhsks1n3c_awioy9tzl">
        <w:r>
          <w:rPr>
            <w:rStyle w:val="Hyperlink"/>
            <w:rFonts w:ascii="Arial" w:cs="Arial" w:eastAsia="Arial" w:hAnsi="Arial"/>
            <w:sz w:val="19"/>
            <w:szCs w:val="19"/>
          </w:rPr>
          <w:t xml:space="preserve">https://www.sciencedaily.com/releases/2015/01/150107204818.htm</w:t>
        </w:r>
      </w:hyperlink>
    </w:p>
    <w:p>
      <w:pPr>
        <w:pStyle w:val="Heading3"/>
      </w:pPr>
      <w:r>
        <w:t xml:space="preserve">Estudio 2: Estudio de cohorte: 68 780 mujeres y 41 700 hombres seguidos 30 años.</w:t>
      </w:r>
    </w:p>
    <w:p>
      <w:pPr>
        <w:spacing w:after="100" w:line="276"/>
      </w:pPr>
      <w:r>
        <w:rPr>
          <w:rFonts w:ascii="Arial" w:cs="Arial" w:eastAsia="Arial" w:hAnsi="Arial"/>
          <w:sz w:val="20"/>
          <w:szCs w:val="20"/>
        </w:rPr>
        <w:t xml:space="preserve">Quién lo probó (cita): Pacheco LS, Li Y, Rimm EB, Manson JE, Sun Q, Rexrode K, Hu FB, Guasch-Ferré M. (2022). Avocado Consumption and Risk of Cardiovascular Disease in US Adults. </w:t>
      </w:r>
      <w:r>
        <w:rPr>
          <w:rFonts w:ascii="Arial" w:cs="Arial" w:eastAsia="Arial" w:hAnsi="Arial"/>
          <w:i/>
          <w:iCs/>
          <w:sz w:val="20"/>
          <w:szCs w:val="20"/>
        </w:rPr>
        <w:t xml:space="preserve">Journal of the American Heart Association</w:t>
      </w:r>
      <w:r>
        <w:rPr>
          <w:rFonts w:ascii="Arial" w:cs="Arial" w:eastAsia="Arial" w:hAnsi="Arial"/>
          <w:sz w:val="20"/>
          <w:szCs w:val="20"/>
        </w:rPr>
        <w:t xml:space="preserve">, 11(7), e024014. (Harvard T.H. Chan School of Public Health)</w:t>
      </w:r>
    </w:p>
    <w:p>
      <w:pPr>
        <w:pStyle w:val="ListParagraph"/>
        <w:numPr>
          <w:ilvl w:val="0"/>
          <w:numId w:val="2"/>
        </w:numPr>
        <w:spacing w:after="60"/>
      </w:pPr>
      <w:r>
        <w:rPr>
          <w:rFonts w:ascii="Arial" w:cs="Arial" w:eastAsia="Arial" w:hAnsi="Arial"/>
          <w:sz w:val="21"/>
          <w:szCs w:val="21"/>
        </w:rPr>
        <w:t xml:space="preserve">Comer 2 o más porciones por semana (1 porción = media palta) se asoció con 16 % menos riesgo de enfermedad cardiovascular y 21 % menos de enfermedad coronaria.</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zb-cxmz4zab-mryamzns4">
        <w:r>
          <w:rPr>
            <w:rStyle w:val="Hyperlink"/>
            <w:rFonts w:ascii="Arial" w:cs="Arial" w:eastAsia="Arial" w:hAnsi="Arial"/>
            <w:sz w:val="19"/>
            <w:szCs w:val="19"/>
          </w:rPr>
          <w:t xml:space="preserve">https://doi.org/10.1161/JAHA.121.024014</w:t>
        </w:r>
      </w:hyperlink>
    </w:p>
    <w:p>
      <w:pPr>
        <w:pStyle w:val="ListParagraph"/>
        <w:numPr>
          <w:ilvl w:val="0"/>
          <w:numId w:val="2"/>
        </w:numPr>
        <w:spacing w:after="40"/>
      </w:pPr>
      <w:r>
        <w:rPr>
          <w:rFonts w:ascii="Arial" w:cs="Arial" w:eastAsia="Arial" w:hAnsi="Arial"/>
          <w:b/>
          <w:bCs/>
          <w:sz w:val="19"/>
          <w:szCs w:val="19"/>
        </w:rPr>
        <w:t xml:space="preserve">Nota American Heart Association: </w:t>
      </w:r>
      <w:hyperlink w:history="1" r:id="rIdabicipwfkjrp-jfodyynh">
        <w:r>
          <w:rPr>
            <w:rStyle w:val="Hyperlink"/>
            <w:rFonts w:ascii="Arial" w:cs="Arial" w:eastAsia="Arial" w:hAnsi="Arial"/>
            <w:sz w:val="19"/>
            <w:szCs w:val="19"/>
          </w:rPr>
          <w:t xml:space="preserve">https://newsroom.heart.org/news/eating-two-servings-of-avocados-a-week-linked-to-lower-risk-of-cardiovascular-disease</w:t>
        </w:r>
      </w:hyperlink>
    </w:p>
    <w:p>
      <w:pPr>
        <w:pStyle w:val="Heading2"/>
      </w:pPr>
      <w:r>
        <w:rPr>
          <w:rFonts w:ascii="Arial" w:cs="Arial" w:eastAsia="Arial" w:hAnsi="Arial"/>
          <w:sz w:val="21"/>
          <w:szCs w:val="21"/>
        </w:rPr>
        <w:t xml:space="preserve">Guanábana — </w:t>
      </w:r>
      <w:r>
        <w:rPr>
          <w:rFonts w:ascii="Arial" w:cs="Arial" w:eastAsia="Arial" w:hAnsi="Arial"/>
          <w:i/>
          <w:iCs/>
          <w:sz w:val="21"/>
          <w:szCs w:val="21"/>
        </w:rPr>
        <w:t xml:space="preserve">Annona muricata</w:t>
      </w:r>
      <w:r>
        <w:rPr>
          <w:rFonts w:ascii="Arial" w:cs="Arial" w:eastAsia="Arial" w:hAnsi="Arial"/>
          <w:sz w:val="21"/>
          <w:szCs w:val="21"/>
        </w:rPr>
        <w:t xml:space="preserve"> L. (Annonaceae)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Parte medicinal</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Hojas, semillas, corteza, raíz y fruto (acetogeninas anonáceas).</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Nivel de evidencia</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Solo preclínico (in vitro y animales). NO existen ensayos que prueben que cure el cáncer en humanos.</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Precaución</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Riesgo neurotóxico con consumo prolongado de hojas/semillas. No abandonar tratamientos oncológicos por la guanábana.</w:t>
            </w:r>
          </w:p>
        </w:tc>
      </w:tr>
    </w:tbl>
    <w:p>
      <w:pPr>
        <w:pStyle w:val="Heading3"/>
      </w:pPr>
      <w:r>
        <w:t xml:space="preserve">Estudio 1: Revisión de más de 100 acetogeninas aisladas.</w:t>
      </w:r>
    </w:p>
    <w:p>
      <w:pPr>
        <w:spacing w:after="100" w:line="276"/>
      </w:pPr>
      <w:r>
        <w:rPr>
          <w:rFonts w:ascii="Arial" w:cs="Arial" w:eastAsia="Arial" w:hAnsi="Arial"/>
          <w:sz w:val="20"/>
          <w:szCs w:val="20"/>
        </w:rPr>
        <w:t xml:space="preserve">Quién lo probó (cita): Moghadamtousi SZ, Fadaeinasab M, Nikzad S, Mohan G, Ali HM, Kadir HA. (2015). </w:t>
      </w:r>
      <w:r>
        <w:rPr>
          <w:rFonts w:ascii="Arial" w:cs="Arial" w:eastAsia="Arial" w:hAnsi="Arial"/>
          <w:i/>
          <w:iCs/>
          <w:sz w:val="20"/>
          <w:szCs w:val="20"/>
        </w:rPr>
        <w:t xml:space="preserve">Annona muricata</w:t>
      </w:r>
      <w:r>
        <w:rPr>
          <w:rFonts w:ascii="Arial" w:cs="Arial" w:eastAsia="Arial" w:hAnsi="Arial"/>
          <w:sz w:val="20"/>
          <w:szCs w:val="20"/>
        </w:rPr>
        <w:t xml:space="preserve"> (Annonaceae): A Review of Its Traditional Uses, Isolated Acetogenins and Biological Activities. </w:t>
      </w:r>
      <w:r>
        <w:rPr>
          <w:rFonts w:ascii="Arial" w:cs="Arial" w:eastAsia="Arial" w:hAnsi="Arial"/>
          <w:i/>
          <w:iCs/>
          <w:sz w:val="20"/>
          <w:szCs w:val="20"/>
        </w:rPr>
        <w:t xml:space="preserve">International Journal of Molecular Sciences</w:t>
      </w:r>
      <w:r>
        <w:rPr>
          <w:rFonts w:ascii="Arial" w:cs="Arial" w:eastAsia="Arial" w:hAnsi="Arial"/>
          <w:sz w:val="20"/>
          <w:szCs w:val="20"/>
        </w:rPr>
        <w:t xml:space="preserve">, 16(7), 15625-15658. (Universidad de Malaya)</w:t>
      </w:r>
    </w:p>
    <w:p>
      <w:pPr>
        <w:pStyle w:val="ListParagraph"/>
        <w:numPr>
          <w:ilvl w:val="0"/>
          <w:numId w:val="2"/>
        </w:numPr>
        <w:spacing w:after="60"/>
      </w:pPr>
      <w:r>
        <w:rPr>
          <w:rFonts w:ascii="Arial" w:cs="Arial" w:eastAsia="Arial" w:hAnsi="Arial"/>
          <w:sz w:val="21"/>
          <w:szCs w:val="21"/>
        </w:rPr>
        <w:t xml:space="preserve">Citotoxicidad en células de cáncer de pulmón (A549), mama (MCF-7), colon (HT-29), páncreas, próstata e hígado, en laboratorio.</w:t>
      </w:r>
    </w:p>
    <w:p>
      <w:pPr>
        <w:pStyle w:val="ListParagraph"/>
        <w:numPr>
          <w:ilvl w:val="0"/>
          <w:numId w:val="2"/>
        </w:numPr>
        <w:spacing w:after="60"/>
      </w:pPr>
      <w:r>
        <w:rPr>
          <w:rFonts w:ascii="Arial" w:cs="Arial" w:eastAsia="Arial" w:hAnsi="Arial"/>
          <w:sz w:val="21"/>
          <w:szCs w:val="21"/>
        </w:rPr>
        <w:t xml:space="preserve">Actividades antiinflamatoria, antiparasitaria, antimalárica, antidiabética y hepatoprotectora en modelos de laboratorio y animales.</w:t>
      </w:r>
    </w:p>
    <w:p>
      <w:pPr>
        <w:pStyle w:val="ListParagraph"/>
        <w:numPr>
          <w:ilvl w:val="0"/>
          <w:numId w:val="2"/>
        </w:numPr>
        <w:spacing w:after="60"/>
      </w:pPr>
      <w:r>
        <w:rPr>
          <w:rFonts w:ascii="Arial" w:cs="Arial" w:eastAsia="Arial" w:hAnsi="Arial"/>
          <w:sz w:val="21"/>
          <w:szCs w:val="21"/>
        </w:rPr>
        <w:t xml:space="preserve">Los autores advierten que no hay ensayos clínicos en humanos y que la anonacina es neurotóxica.</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ljdpjfpnz9sdwkrsk7tnv">
        <w:r>
          <w:rPr>
            <w:rStyle w:val="Hyperlink"/>
            <w:rFonts w:ascii="Arial" w:cs="Arial" w:eastAsia="Arial" w:hAnsi="Arial"/>
            <w:sz w:val="19"/>
            <w:szCs w:val="19"/>
          </w:rPr>
          <w:t xml:space="preserve">https://doi.org/10.3390/ijms160715625</w:t>
        </w:r>
      </w:hyperlink>
    </w:p>
    <w:p>
      <w:pPr>
        <w:pStyle w:val="ListParagraph"/>
        <w:numPr>
          <w:ilvl w:val="0"/>
          <w:numId w:val="2"/>
        </w:numPr>
        <w:spacing w:after="40"/>
      </w:pPr>
      <w:r>
        <w:rPr>
          <w:rFonts w:ascii="Arial" w:cs="Arial" w:eastAsia="Arial" w:hAnsi="Arial"/>
          <w:b/>
          <w:bCs/>
          <w:sz w:val="19"/>
          <w:szCs w:val="19"/>
        </w:rPr>
        <w:t xml:space="preserve">Texto completo (MDPI, gratis): </w:t>
      </w:r>
      <w:hyperlink w:history="1" r:id="rIdvarbvm-hog79sgazyvcpv">
        <w:r>
          <w:rPr>
            <w:rStyle w:val="Hyperlink"/>
            <w:rFonts w:ascii="Arial" w:cs="Arial" w:eastAsia="Arial" w:hAnsi="Arial"/>
            <w:sz w:val="19"/>
            <w:szCs w:val="19"/>
          </w:rPr>
          <w:t xml:space="preserve">https://www.mdpi.com/1422-0067/16/7/15625</w:t>
        </w:r>
      </w:hyperlink>
    </w:p>
    <w:p>
      <w:pPr>
        <w:pStyle w:val="Heading3"/>
      </w:pPr>
      <w:r>
        <w:t xml:space="preserve">Estudio 2: Estudio sobre toxicidad (advertencia de seguridad).</w:t>
      </w:r>
    </w:p>
    <w:p>
      <w:pPr>
        <w:spacing w:after="100" w:line="276"/>
      </w:pPr>
      <w:r>
        <w:rPr>
          <w:rFonts w:ascii="Arial" w:cs="Arial" w:eastAsia="Arial" w:hAnsi="Arial"/>
          <w:sz w:val="20"/>
          <w:szCs w:val="20"/>
        </w:rPr>
        <w:t xml:space="preserve">Quién lo probó (cita): Lannuzel A, Höglinger GU, Champy P, et al. (2008). Atypical parkinsonism in the Caribbean island of Guadeloupe: etiological role of the mitochondrial complex I inhibitor annonacin. </w:t>
      </w:r>
      <w:r>
        <w:rPr>
          <w:rFonts w:ascii="Arial" w:cs="Arial" w:eastAsia="Arial" w:hAnsi="Arial"/>
          <w:i/>
          <w:iCs/>
          <w:sz w:val="20"/>
          <w:szCs w:val="20"/>
        </w:rPr>
        <w:t xml:space="preserve">Movement Disorders</w:t>
      </w:r>
      <w:r>
        <w:rPr>
          <w:rFonts w:ascii="Arial" w:cs="Arial" w:eastAsia="Arial" w:hAnsi="Arial"/>
          <w:sz w:val="20"/>
          <w:szCs w:val="20"/>
        </w:rPr>
        <w:t xml:space="preserve">.</w:t>
      </w:r>
    </w:p>
    <w:p>
      <w:pPr>
        <w:pStyle w:val="ListParagraph"/>
        <w:numPr>
          <w:ilvl w:val="0"/>
          <w:numId w:val="2"/>
        </w:numPr>
        <w:spacing w:after="60"/>
      </w:pPr>
      <w:r>
        <w:rPr>
          <w:rFonts w:ascii="Arial" w:cs="Arial" w:eastAsia="Arial" w:hAnsi="Arial"/>
          <w:sz w:val="21"/>
          <w:szCs w:val="21"/>
        </w:rPr>
        <w:t xml:space="preserve">Relaciona el consumo frecuente de frutos y tés de anonáceas (incluida la guanábana) con un parkinsonismo atípico en Guadalupe, por la anonacina.</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ln01smvisrsgvpj8dptzb">
        <w:r>
          <w:rPr>
            <w:rStyle w:val="Hyperlink"/>
            <w:rFonts w:ascii="Arial" w:cs="Arial" w:eastAsia="Arial" w:hAnsi="Arial"/>
            <w:sz w:val="19"/>
            <w:szCs w:val="19"/>
          </w:rPr>
          <w:t xml:space="preserve">https://doi.org/10.1002/mds.22300</w:t>
        </w:r>
      </w:hyperlink>
    </w:p>
    <w:p>
      <w:pPr>
        <w:pStyle w:val="Heading2"/>
      </w:pPr>
      <w:r>
        <w:rPr>
          <w:rFonts w:ascii="Arial" w:cs="Arial" w:eastAsia="Arial" w:hAnsi="Arial"/>
          <w:sz w:val="21"/>
          <w:szCs w:val="21"/>
        </w:rPr>
        <w:t xml:space="preserve">Achiote — </w:t>
      </w:r>
      <w:r>
        <w:rPr>
          <w:rFonts w:ascii="Arial" w:cs="Arial" w:eastAsia="Arial" w:hAnsi="Arial"/>
          <w:i/>
          <w:iCs/>
          <w:sz w:val="21"/>
          <w:szCs w:val="21"/>
        </w:rPr>
        <w:t xml:space="preserve">Bixa orellana</w:t>
      </w:r>
      <w:r>
        <w:rPr>
          <w:rFonts w:ascii="Arial" w:cs="Arial" w:eastAsia="Arial" w:hAnsi="Arial"/>
          <w:sz w:val="21"/>
          <w:szCs w:val="21"/>
        </w:rPr>
        <w:t xml:space="preserve"> L. (Bixaceae)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Parte medicinal</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Hojas (extracto acuoso).</w:t>
            </w:r>
          </w:p>
          <w:p>
            <w:pPr>
              <w:spacing w:after="40"/>
            </w:pPr>
            <w:r>
              <w:rPr>
                <w:rFonts w:ascii="Arial" w:cs="Arial" w:eastAsia="Arial" w:hAnsi="Arial"/>
                <w:sz w:val="20"/>
                <w:szCs w:val="20"/>
              </w:rPr>
              <w:t xml:space="preserve">Semillas (pigmento bixina).</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Nivel de evidencia</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Preclínico (animales).</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Precaución</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Aún no hay ensayos clínicos en humanos.</w:t>
            </w:r>
          </w:p>
        </w:tc>
      </w:tr>
    </w:tbl>
    <w:p>
      <w:pPr>
        <w:pStyle w:val="Heading3"/>
      </w:pPr>
      <w:r>
        <w:t xml:space="preserve">Estudio 1: Experimento en ratas.</w:t>
      </w:r>
    </w:p>
    <w:p>
      <w:pPr>
        <w:spacing w:after="100" w:line="276"/>
      </w:pPr>
      <w:r>
        <w:rPr>
          <w:rFonts w:ascii="Arial" w:cs="Arial" w:eastAsia="Arial" w:hAnsi="Arial"/>
          <w:sz w:val="20"/>
          <w:szCs w:val="20"/>
        </w:rPr>
        <w:t xml:space="preserve">Quién lo probó (cita): Yoke Keong Y, Arifah AK, Sukardi S, Roslida AH, Somchit MN, Zuraini A. (2011). </w:t>
      </w:r>
      <w:r>
        <w:rPr>
          <w:rFonts w:ascii="Arial" w:cs="Arial" w:eastAsia="Arial" w:hAnsi="Arial"/>
          <w:i/>
          <w:iCs/>
          <w:sz w:val="20"/>
          <w:szCs w:val="20"/>
        </w:rPr>
        <w:t xml:space="preserve">Bixa orellana</w:t>
      </w:r>
      <w:r>
        <w:rPr>
          <w:rFonts w:ascii="Arial" w:cs="Arial" w:eastAsia="Arial" w:hAnsi="Arial"/>
          <w:sz w:val="20"/>
          <w:szCs w:val="20"/>
        </w:rPr>
        <w:t xml:space="preserve"> leaves extract inhibits bradykinin-induced inflammation through suppression of nitric oxide production. </w:t>
      </w:r>
      <w:r>
        <w:rPr>
          <w:rFonts w:ascii="Arial" w:cs="Arial" w:eastAsia="Arial" w:hAnsi="Arial"/>
          <w:i/>
          <w:iCs/>
          <w:sz w:val="20"/>
          <w:szCs w:val="20"/>
        </w:rPr>
        <w:t xml:space="preserve">Medical Principles and Practice</w:t>
      </w:r>
      <w:r>
        <w:rPr>
          <w:rFonts w:ascii="Arial" w:cs="Arial" w:eastAsia="Arial" w:hAnsi="Arial"/>
          <w:sz w:val="20"/>
          <w:szCs w:val="20"/>
        </w:rPr>
        <w:t xml:space="preserve">, 20(2), 142-146. (Universiti Putra Malaysia)</w:t>
      </w:r>
    </w:p>
    <w:p>
      <w:pPr>
        <w:pStyle w:val="ListParagraph"/>
        <w:numPr>
          <w:ilvl w:val="0"/>
          <w:numId w:val="2"/>
        </w:numPr>
        <w:spacing w:after="60"/>
      </w:pPr>
      <w:r>
        <w:rPr>
          <w:rFonts w:ascii="Arial" w:cs="Arial" w:eastAsia="Arial" w:hAnsi="Arial"/>
          <w:sz w:val="21"/>
          <w:szCs w:val="21"/>
        </w:rPr>
        <w:t xml:space="preserve">Extracto acuoso de hojas secas a 50 y 150 mg/kg durante 4 días.</w:t>
      </w:r>
    </w:p>
    <w:p>
      <w:pPr>
        <w:pStyle w:val="ListParagraph"/>
        <w:numPr>
          <w:ilvl w:val="0"/>
          <w:numId w:val="2"/>
        </w:numPr>
        <w:spacing w:after="60"/>
      </w:pPr>
      <w:r>
        <w:rPr>
          <w:rFonts w:ascii="Arial" w:cs="Arial" w:eastAsia="Arial" w:hAnsi="Arial"/>
          <w:sz w:val="21"/>
          <w:szCs w:val="21"/>
        </w:rPr>
        <w:t xml:space="preserve">Inhibió significativamente la inflamación (edema por bradicinina y permeabilidad vascular) y redujo la producción de óxido nítrico.</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9l7aa_mqm4hbmvawwmdhb">
        <w:r>
          <w:rPr>
            <w:rStyle w:val="Hyperlink"/>
            <w:rFonts w:ascii="Arial" w:cs="Arial" w:eastAsia="Arial" w:hAnsi="Arial"/>
            <w:sz w:val="19"/>
            <w:szCs w:val="19"/>
          </w:rPr>
          <w:t xml:space="preserve">https://doi.org/10.1159/000319907</w:t>
        </w:r>
      </w:hyperlink>
    </w:p>
    <w:p>
      <w:pPr>
        <w:pStyle w:val="ListParagraph"/>
        <w:numPr>
          <w:ilvl w:val="0"/>
          <w:numId w:val="2"/>
        </w:numPr>
        <w:spacing w:after="40"/>
      </w:pPr>
      <w:r>
        <w:rPr>
          <w:rFonts w:ascii="Arial" w:cs="Arial" w:eastAsia="Arial" w:hAnsi="Arial"/>
          <w:b/>
          <w:bCs/>
          <w:sz w:val="19"/>
          <w:szCs w:val="19"/>
        </w:rPr>
        <w:t xml:space="preserve">PubMed: </w:t>
      </w:r>
      <w:hyperlink w:history="1" r:id="rId0qcesqs8d5klz8-wtg0nw">
        <w:r>
          <w:rPr>
            <w:rStyle w:val="Hyperlink"/>
            <w:rFonts w:ascii="Arial" w:cs="Arial" w:eastAsia="Arial" w:hAnsi="Arial"/>
            <w:sz w:val="19"/>
            <w:szCs w:val="19"/>
          </w:rPr>
          <w:t xml:space="preserve">https://pubmed.ncbi.nlm.nih.gov/21252569/</w:t>
        </w:r>
      </w:hyperlink>
    </w:p>
    <w:p>
      <w:pPr>
        <w:pStyle w:val="Heading3"/>
      </w:pPr>
      <w:r>
        <w:t xml:space="preserve">Estudio 2: Revisión.</w:t>
      </w:r>
    </w:p>
    <w:p>
      <w:pPr>
        <w:spacing w:after="100" w:line="276"/>
      </w:pPr>
      <w:r>
        <w:rPr>
          <w:rFonts w:ascii="Arial" w:cs="Arial" w:eastAsia="Arial" w:hAnsi="Arial"/>
          <w:sz w:val="20"/>
          <w:szCs w:val="20"/>
        </w:rPr>
        <w:t xml:space="preserve">Quién lo probó (cita): Vilar DA, Vilar MSA, Moura TFAL, Raffin FN, Oliveira MR, Franco CFO, Athayde-Filho PF, Diniz MFFM, Barbosa-Filho JM. (2014). Traditional Uses, Chemical Constituents, and Biological Activities of </w:t>
      </w:r>
      <w:r>
        <w:rPr>
          <w:rFonts w:ascii="Arial" w:cs="Arial" w:eastAsia="Arial" w:hAnsi="Arial"/>
          <w:i/>
          <w:iCs/>
          <w:sz w:val="20"/>
          <w:szCs w:val="20"/>
        </w:rPr>
        <w:t xml:space="preserve">Bixa orellana</w:t>
      </w:r>
      <w:r>
        <w:rPr>
          <w:rFonts w:ascii="Arial" w:cs="Arial" w:eastAsia="Arial" w:hAnsi="Arial"/>
          <w:sz w:val="20"/>
          <w:szCs w:val="20"/>
        </w:rPr>
        <w:t xml:space="preserve"> L.: A Review. </w:t>
      </w:r>
      <w:r>
        <w:rPr>
          <w:rFonts w:ascii="Arial" w:cs="Arial" w:eastAsia="Arial" w:hAnsi="Arial"/>
          <w:i/>
          <w:iCs/>
          <w:sz w:val="20"/>
          <w:szCs w:val="20"/>
        </w:rPr>
        <w:t xml:space="preserve">The Scientific World Journal</w:t>
      </w:r>
      <w:r>
        <w:rPr>
          <w:rFonts w:ascii="Arial" w:cs="Arial" w:eastAsia="Arial" w:hAnsi="Arial"/>
          <w:sz w:val="20"/>
          <w:szCs w:val="20"/>
        </w:rPr>
        <w:t xml:space="preserve">, 2014, 857292.</w:t>
      </w:r>
    </w:p>
    <w:p>
      <w:pPr>
        <w:pStyle w:val="ListParagraph"/>
        <w:numPr>
          <w:ilvl w:val="0"/>
          <w:numId w:val="2"/>
        </w:numPr>
        <w:spacing w:after="60"/>
      </w:pPr>
      <w:r>
        <w:rPr>
          <w:rFonts w:ascii="Arial" w:cs="Arial" w:eastAsia="Arial" w:hAnsi="Arial"/>
          <w:sz w:val="21"/>
          <w:szCs w:val="21"/>
        </w:rPr>
        <w:t xml:space="preserve">Reúne actividades antimicrobiana, antioxidante, antiinflamatoria y otras, mayormente en laboratorio y animales, y concluye que es candidato para nuevos fármacos.</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xrapzml96woihxs1wa4rd">
        <w:r>
          <w:rPr>
            <w:rStyle w:val="Hyperlink"/>
            <w:rFonts w:ascii="Arial" w:cs="Arial" w:eastAsia="Arial" w:hAnsi="Arial"/>
            <w:sz w:val="19"/>
            <w:szCs w:val="19"/>
          </w:rPr>
          <w:t xml:space="preserve">https://doi.org/10.1155/2014/857292</w:t>
        </w:r>
      </w:hyperlink>
    </w:p>
    <w:p>
      <w:pPr>
        <w:pStyle w:val="ListParagraph"/>
        <w:numPr>
          <w:ilvl w:val="0"/>
          <w:numId w:val="2"/>
        </w:numPr>
        <w:spacing w:after="40"/>
      </w:pPr>
      <w:r>
        <w:rPr>
          <w:rFonts w:ascii="Arial" w:cs="Arial" w:eastAsia="Arial" w:hAnsi="Arial"/>
          <w:b/>
          <w:bCs/>
          <w:sz w:val="19"/>
          <w:szCs w:val="19"/>
        </w:rPr>
        <w:t xml:space="preserve">PubMed: </w:t>
      </w:r>
      <w:hyperlink w:history="1" r:id="rIdi_rmlh1eneg6i_fvgcduo">
        <w:r>
          <w:rPr>
            <w:rStyle w:val="Hyperlink"/>
            <w:rFonts w:ascii="Arial" w:cs="Arial" w:eastAsia="Arial" w:hAnsi="Arial"/>
            <w:sz w:val="19"/>
            <w:szCs w:val="19"/>
          </w:rPr>
          <w:t xml:space="preserve">https://pubmed.ncbi.nlm.nih.gov/25050404/</w:t>
        </w:r>
      </w:hyperlink>
    </w:p>
    <w:p>
      <w:pPr>
        <w:pStyle w:val="Heading2"/>
      </w:pPr>
      <w:r>
        <w:rPr>
          <w:rFonts w:ascii="Arial" w:cs="Arial" w:eastAsia="Arial" w:hAnsi="Arial"/>
          <w:sz w:val="21"/>
          <w:szCs w:val="21"/>
        </w:rPr>
        <w:t xml:space="preserve">Menta — </w:t>
      </w:r>
      <w:r>
        <w:rPr>
          <w:rFonts w:ascii="Arial" w:cs="Arial" w:eastAsia="Arial" w:hAnsi="Arial"/>
          <w:i/>
          <w:iCs/>
          <w:sz w:val="21"/>
          <w:szCs w:val="21"/>
        </w:rPr>
        <w:t xml:space="preserve">Mentha × piperita</w:t>
      </w:r>
      <w:r>
        <w:rPr>
          <w:rFonts w:ascii="Arial" w:cs="Arial" w:eastAsia="Arial" w:hAnsi="Arial"/>
          <w:sz w:val="21"/>
          <w:szCs w:val="21"/>
        </w:rPr>
        <w:t xml:space="preserve"> L. (Lamiaceae)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Parte medicinal</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Hojas → aceite esencial (mentol).</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Nivel de evidencia</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Humanos – metaanálisis de ensayos clínicos aleatorizados.</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Precaución</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Lo probado es el ACEITE en cápsulas con recubrimiento entérico. La "hierba buena" (</w:t>
            </w:r>
            <w:r>
              <w:rPr>
                <w:rFonts w:ascii="Arial" w:cs="Arial" w:eastAsia="Arial" w:hAnsi="Arial"/>
                <w:i/>
                <w:iCs/>
                <w:sz w:val="20"/>
                <w:szCs w:val="20"/>
              </w:rPr>
              <w:t xml:space="preserve">Mentha spicata</w:t>
            </w:r>
            <w:r>
              <w:rPr>
                <w:rFonts w:ascii="Arial" w:cs="Arial" w:eastAsia="Arial" w:hAnsi="Arial"/>
                <w:sz w:val="20"/>
                <w:szCs w:val="20"/>
              </w:rPr>
              <w:t xml:space="preserve">) es otra especie. Puede empeorar la acidez/reflujo.</w:t>
            </w:r>
          </w:p>
        </w:tc>
      </w:tr>
    </w:tbl>
    <w:p>
      <w:pPr>
        <w:pStyle w:val="Heading3"/>
      </w:pPr>
      <w:r>
        <w:t xml:space="preserve">Estudio 1: Metaanálisis de 12 ensayos aleatorizados con 835 pacientes con síndrome de intestino irritable.</w:t>
      </w:r>
    </w:p>
    <w:p>
      <w:pPr>
        <w:spacing w:after="100" w:line="276"/>
      </w:pPr>
      <w:r>
        <w:rPr>
          <w:rFonts w:ascii="Arial" w:cs="Arial" w:eastAsia="Arial" w:hAnsi="Arial"/>
          <w:sz w:val="20"/>
          <w:szCs w:val="20"/>
        </w:rPr>
        <w:t xml:space="preserve">Quién lo probó (cita): Alammar N, Wang L, Saberi B, Nanavati J, Holtmann G, Shinohara RT, Mullin GE. (2019). The impact of peppermint oil on the irritable bowel syndrome: a meta-analysis of the pooled clinical data. </w:t>
      </w:r>
      <w:r>
        <w:rPr>
          <w:rFonts w:ascii="Arial" w:cs="Arial" w:eastAsia="Arial" w:hAnsi="Arial"/>
          <w:i/>
          <w:iCs/>
          <w:sz w:val="20"/>
          <w:szCs w:val="20"/>
        </w:rPr>
        <w:t xml:space="preserve">BMC Complementary and Alternative Medicine</w:t>
      </w:r>
      <w:r>
        <w:rPr>
          <w:rFonts w:ascii="Arial" w:cs="Arial" w:eastAsia="Arial" w:hAnsi="Arial"/>
          <w:sz w:val="20"/>
          <w:szCs w:val="20"/>
        </w:rPr>
        <w:t xml:space="preserve">, 19, 21. (Johns Hopkins University)</w:t>
      </w:r>
    </w:p>
    <w:p>
      <w:pPr>
        <w:pStyle w:val="ListParagraph"/>
        <w:numPr>
          <w:ilvl w:val="0"/>
          <w:numId w:val="2"/>
        </w:numPr>
        <w:spacing w:after="60"/>
      </w:pPr>
      <w:r>
        <w:rPr>
          <w:rFonts w:ascii="Arial" w:cs="Arial" w:eastAsia="Arial" w:hAnsi="Arial"/>
          <w:sz w:val="21"/>
          <w:szCs w:val="21"/>
        </w:rPr>
        <w:t xml:space="preserve">Mejora global de síntomas: RR 2,39 (IC95 % 1,93-2,97). Hay que tratar a 3 pacientes para que 1 mejore.</w:t>
      </w:r>
    </w:p>
    <w:p>
      <w:pPr>
        <w:pStyle w:val="ListParagraph"/>
        <w:numPr>
          <w:ilvl w:val="0"/>
          <w:numId w:val="2"/>
        </w:numPr>
        <w:spacing w:after="60"/>
      </w:pPr>
      <w:r>
        <w:rPr>
          <w:rFonts w:ascii="Arial" w:cs="Arial" w:eastAsia="Arial" w:hAnsi="Arial"/>
          <w:sz w:val="21"/>
          <w:szCs w:val="21"/>
        </w:rPr>
        <w:t xml:space="preserve">Mejora del dolor abdominal: RR 1,78 (IC95 % 1,43-2,20). Número necesario: 4.</w:t>
      </w:r>
    </w:p>
    <w:p>
      <w:pPr>
        <w:pStyle w:val="ListParagraph"/>
        <w:numPr>
          <w:ilvl w:val="0"/>
          <w:numId w:val="2"/>
        </w:numPr>
        <w:spacing w:after="60"/>
      </w:pPr>
      <w:r>
        <w:rPr>
          <w:rFonts w:ascii="Arial" w:cs="Arial" w:eastAsia="Arial" w:hAnsi="Arial"/>
          <w:sz w:val="21"/>
          <w:szCs w:val="21"/>
        </w:rPr>
        <w:t xml:space="preserve">Efectos adversos: 9,3 % vs 6,1 % con placebo (sin diferencia significativa).</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9pg5jaxudyf8wm_jhfhf-">
        <w:r>
          <w:rPr>
            <w:rStyle w:val="Hyperlink"/>
            <w:rFonts w:ascii="Arial" w:cs="Arial" w:eastAsia="Arial" w:hAnsi="Arial"/>
            <w:sz w:val="19"/>
            <w:szCs w:val="19"/>
          </w:rPr>
          <w:t xml:space="preserve">https://doi.org/10.1186/s12906-018-2409-0</w:t>
        </w:r>
      </w:hyperlink>
    </w:p>
    <w:p>
      <w:pPr>
        <w:pStyle w:val="ListParagraph"/>
        <w:numPr>
          <w:ilvl w:val="0"/>
          <w:numId w:val="2"/>
        </w:numPr>
        <w:spacing w:after="40"/>
      </w:pPr>
      <w:r>
        <w:rPr>
          <w:rFonts w:ascii="Arial" w:cs="Arial" w:eastAsia="Arial" w:hAnsi="Arial"/>
          <w:b/>
          <w:bCs/>
          <w:sz w:val="19"/>
          <w:szCs w:val="19"/>
        </w:rPr>
        <w:t xml:space="preserve">Texto completo (gratis): </w:t>
      </w:r>
      <w:hyperlink w:history="1" r:id="rIdvaiaet95anwfwjucxppt9">
        <w:r>
          <w:rPr>
            <w:rStyle w:val="Hyperlink"/>
            <w:rFonts w:ascii="Arial" w:cs="Arial" w:eastAsia="Arial" w:hAnsi="Arial"/>
            <w:sz w:val="19"/>
            <w:szCs w:val="19"/>
          </w:rPr>
          <w:t xml:space="preserve">https://link.springer.com/article/10.1186/s12906-018-2409-0</w:t>
        </w:r>
      </w:hyperlink>
    </w:p>
    <w:p>
      <w:pPr>
        <w:pStyle w:val="ListParagraph"/>
        <w:numPr>
          <w:ilvl w:val="0"/>
          <w:numId w:val="2"/>
        </w:numPr>
        <w:spacing w:after="40"/>
      </w:pPr>
      <w:r>
        <w:rPr>
          <w:rFonts w:ascii="Arial" w:cs="Arial" w:eastAsia="Arial" w:hAnsi="Arial"/>
          <w:b/>
          <w:bCs/>
          <w:sz w:val="19"/>
          <w:szCs w:val="19"/>
        </w:rPr>
        <w:t xml:space="preserve">PubMed: </w:t>
      </w:r>
      <w:hyperlink w:history="1" r:id="rId21yaxet_pdibxuyxjzcvu">
        <w:r>
          <w:rPr>
            <w:rStyle w:val="Hyperlink"/>
            <w:rFonts w:ascii="Arial" w:cs="Arial" w:eastAsia="Arial" w:hAnsi="Arial"/>
            <w:sz w:val="19"/>
            <w:szCs w:val="19"/>
          </w:rPr>
          <w:t xml:space="preserve">https://pubmed.ncbi.nlm.nih.gov/30654773/</w:t>
        </w:r>
      </w:hyperlink>
    </w:p>
    <w:p>
      <w:pPr>
        <w:pStyle w:val="Heading3"/>
      </w:pPr>
      <w:r>
        <w:t xml:space="preserve">Estudio 2: Revisión.</w:t>
      </w:r>
    </w:p>
    <w:p>
      <w:pPr>
        <w:spacing w:after="100" w:line="276"/>
      </w:pPr>
      <w:r>
        <w:rPr>
          <w:rFonts w:ascii="Arial" w:cs="Arial" w:eastAsia="Arial" w:hAnsi="Arial"/>
          <w:sz w:val="20"/>
          <w:szCs w:val="20"/>
        </w:rPr>
        <w:t xml:space="preserve">Quién lo probó (cita): McKay DL, Blumberg JB. (2006). A review of the bioactivity and potential health benefits of peppermint tea (</w:t>
      </w:r>
      <w:r>
        <w:rPr>
          <w:rFonts w:ascii="Arial" w:cs="Arial" w:eastAsia="Arial" w:hAnsi="Arial"/>
          <w:i/>
          <w:iCs/>
          <w:sz w:val="20"/>
          <w:szCs w:val="20"/>
        </w:rPr>
        <w:t xml:space="preserve">Mentha piperita</w:t>
      </w:r>
      <w:r>
        <w:rPr>
          <w:rFonts w:ascii="Arial" w:cs="Arial" w:eastAsia="Arial" w:hAnsi="Arial"/>
          <w:sz w:val="20"/>
          <w:szCs w:val="20"/>
        </w:rPr>
        <w:t xml:space="preserve"> L.). </w:t>
      </w:r>
      <w:r>
        <w:rPr>
          <w:rFonts w:ascii="Arial" w:cs="Arial" w:eastAsia="Arial" w:hAnsi="Arial"/>
          <w:i/>
          <w:iCs/>
          <w:sz w:val="20"/>
          <w:szCs w:val="20"/>
        </w:rPr>
        <w:t xml:space="preserve">Phytotherapy Research</w:t>
      </w:r>
      <w:r>
        <w:rPr>
          <w:rFonts w:ascii="Arial" w:cs="Arial" w:eastAsia="Arial" w:hAnsi="Arial"/>
          <w:sz w:val="20"/>
          <w:szCs w:val="20"/>
        </w:rPr>
        <w:t xml:space="preserve">, 20(8), 619-633. (Tufts University)</w:t>
      </w:r>
    </w:p>
    <w:p>
      <w:pPr>
        <w:pStyle w:val="ListParagraph"/>
        <w:numPr>
          <w:ilvl w:val="0"/>
          <w:numId w:val="2"/>
        </w:numPr>
        <w:spacing w:after="60"/>
      </w:pPr>
      <w:r>
        <w:rPr>
          <w:rFonts w:ascii="Arial" w:cs="Arial" w:eastAsia="Arial" w:hAnsi="Arial"/>
          <w:sz w:val="21"/>
          <w:szCs w:val="21"/>
        </w:rPr>
        <w:t xml:space="preserve">Resume efectos antimicrobianos, antioxidantes y relajantes digestivos de la hoja; señala que hay pocos estudios clínicos con el té en sí.</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qb6cjxsrmynsdz5hrjai2">
        <w:r>
          <w:rPr>
            <w:rStyle w:val="Hyperlink"/>
            <w:rFonts w:ascii="Arial" w:cs="Arial" w:eastAsia="Arial" w:hAnsi="Arial"/>
            <w:sz w:val="19"/>
            <w:szCs w:val="19"/>
          </w:rPr>
          <w:t xml:space="preserve">https://doi.org/10.1002/ptr.1936</w:t>
        </w:r>
      </w:hyperlink>
    </w:p>
    <w:p>
      <w:pPr>
        <w:pStyle w:val="Heading2"/>
      </w:pPr>
      <w:r>
        <w:rPr>
          <w:rFonts w:ascii="Arial" w:cs="Arial" w:eastAsia="Arial" w:hAnsi="Arial"/>
          <w:sz w:val="21"/>
          <w:szCs w:val="21"/>
        </w:rPr>
        <w:t xml:space="preserve">Eucalipto — </w:t>
      </w:r>
      <w:r>
        <w:rPr>
          <w:rFonts w:ascii="Arial" w:cs="Arial" w:eastAsia="Arial" w:hAnsi="Arial"/>
          <w:i/>
          <w:iCs/>
          <w:sz w:val="21"/>
          <w:szCs w:val="21"/>
        </w:rPr>
        <w:t xml:space="preserve">Eucalyptus globulus</w:t>
      </w:r>
      <w:r>
        <w:rPr>
          <w:rFonts w:ascii="Arial" w:cs="Arial" w:eastAsia="Arial" w:hAnsi="Arial"/>
          <w:sz w:val="21"/>
          <w:szCs w:val="21"/>
        </w:rPr>
        <w:t xml:space="preserve"> Labill. (Myrtaceae)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Parte medicinal</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Hojas → aceite esencial, principal compuesto 1,8-cineol (eucaliptol).</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Nivel de evidencia</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Humanos – ensayo clínico aleatorizado doble ciego.</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Precaución</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El aceite esencial puro es TÓXICO si se ingiere, sobre todo en niños. El estudio usó cápsulas de cineol purificado.</w:t>
            </w:r>
          </w:p>
        </w:tc>
      </w:tr>
    </w:tbl>
    <w:p>
      <w:pPr>
        <w:pStyle w:val="Heading3"/>
      </w:pPr>
      <w:r>
        <w:t xml:space="preserve">Estudio 1: Ensayo aleatorizado doble ciego con 242 pacientes con EPOC (Alemania).</w:t>
      </w:r>
    </w:p>
    <w:p>
      <w:pPr>
        <w:spacing w:after="100" w:line="276"/>
      </w:pPr>
      <w:r>
        <w:rPr>
          <w:rFonts w:ascii="Arial" w:cs="Arial" w:eastAsia="Arial" w:hAnsi="Arial"/>
          <w:sz w:val="20"/>
          <w:szCs w:val="20"/>
        </w:rPr>
        <w:t xml:space="preserve">Quién lo probó (cita): Worth H, Schacher C, Dethlefsen U. (2009). Concomitant therapy with Cineole (Eucalyptole) reduces exacerbations in COPD: a placebo-controlled double-blind trial. </w:t>
      </w:r>
      <w:r>
        <w:rPr>
          <w:rFonts w:ascii="Arial" w:cs="Arial" w:eastAsia="Arial" w:hAnsi="Arial"/>
          <w:i/>
          <w:iCs/>
          <w:sz w:val="20"/>
          <w:szCs w:val="20"/>
        </w:rPr>
        <w:t xml:space="preserve">Respiratory Research</w:t>
      </w:r>
      <w:r>
        <w:rPr>
          <w:rFonts w:ascii="Arial" w:cs="Arial" w:eastAsia="Arial" w:hAnsi="Arial"/>
          <w:sz w:val="20"/>
          <w:szCs w:val="20"/>
        </w:rPr>
        <w:t xml:space="preserve">, 10, 69.</w:t>
      </w:r>
    </w:p>
    <w:p>
      <w:pPr>
        <w:pStyle w:val="ListParagraph"/>
        <w:numPr>
          <w:ilvl w:val="0"/>
          <w:numId w:val="2"/>
        </w:numPr>
        <w:spacing w:after="60"/>
      </w:pPr>
      <w:r>
        <w:rPr>
          <w:rFonts w:ascii="Arial" w:cs="Arial" w:eastAsia="Arial" w:hAnsi="Arial"/>
          <w:sz w:val="21"/>
          <w:szCs w:val="21"/>
        </w:rPr>
        <w:t xml:space="preserve">Dosis: 200 mg de cineol 3 veces al día durante 6 meses de invierno, además de su tratamiento normal.</w:t>
      </w:r>
    </w:p>
    <w:p>
      <w:pPr>
        <w:pStyle w:val="ListParagraph"/>
        <w:numPr>
          <w:ilvl w:val="0"/>
          <w:numId w:val="2"/>
        </w:numPr>
        <w:spacing w:after="60"/>
      </w:pPr>
      <w:r>
        <w:rPr>
          <w:rFonts w:ascii="Arial" w:cs="Arial" w:eastAsia="Arial" w:hAnsi="Arial"/>
          <w:sz w:val="21"/>
          <w:szCs w:val="21"/>
        </w:rPr>
        <w:t xml:space="preserve">Redujo la frecuencia, la duración y la gravedad de las crisis (exacerbaciones).</w:t>
      </w:r>
    </w:p>
    <w:p>
      <w:pPr>
        <w:pStyle w:val="ListParagraph"/>
        <w:numPr>
          <w:ilvl w:val="0"/>
          <w:numId w:val="2"/>
        </w:numPr>
        <w:spacing w:after="60"/>
      </w:pPr>
      <w:r>
        <w:rPr>
          <w:rFonts w:ascii="Arial" w:cs="Arial" w:eastAsia="Arial" w:hAnsi="Arial"/>
          <w:sz w:val="21"/>
          <w:szCs w:val="21"/>
        </w:rPr>
        <w:t xml:space="preserve">Mejoró la función pulmonar, la falta de aire y la calidad de vida; efectos adversos similares al placebo.</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s-uu1y9tesdf_sks340er">
        <w:r>
          <w:rPr>
            <w:rStyle w:val="Hyperlink"/>
            <w:rFonts w:ascii="Arial" w:cs="Arial" w:eastAsia="Arial" w:hAnsi="Arial"/>
            <w:sz w:val="19"/>
            <w:szCs w:val="19"/>
          </w:rPr>
          <w:t xml:space="preserve">https://doi.org/10.1186/1465-9921-10-69</w:t>
        </w:r>
      </w:hyperlink>
    </w:p>
    <w:p>
      <w:pPr>
        <w:pStyle w:val="ListParagraph"/>
        <w:numPr>
          <w:ilvl w:val="0"/>
          <w:numId w:val="2"/>
        </w:numPr>
        <w:spacing w:after="40"/>
      </w:pPr>
      <w:r>
        <w:rPr>
          <w:rFonts w:ascii="Arial" w:cs="Arial" w:eastAsia="Arial" w:hAnsi="Arial"/>
          <w:b/>
          <w:bCs/>
          <w:sz w:val="19"/>
          <w:szCs w:val="19"/>
        </w:rPr>
        <w:t xml:space="preserve">Texto completo (gratis): </w:t>
      </w:r>
      <w:hyperlink w:history="1" r:id="rIdb9rltvhen8q5munrplvxk">
        <w:r>
          <w:rPr>
            <w:rStyle w:val="Hyperlink"/>
            <w:rFonts w:ascii="Arial" w:cs="Arial" w:eastAsia="Arial" w:hAnsi="Arial"/>
            <w:sz w:val="19"/>
            <w:szCs w:val="19"/>
          </w:rPr>
          <w:t xml:space="preserve">https://respiratory-research.biomedcentral.com/articles/10.1186/1465-9921-10-69</w:t>
        </w:r>
      </w:hyperlink>
    </w:p>
    <w:p>
      <w:pPr>
        <w:pStyle w:val="ListParagraph"/>
        <w:numPr>
          <w:ilvl w:val="0"/>
          <w:numId w:val="2"/>
        </w:numPr>
        <w:spacing w:after="40"/>
      </w:pPr>
      <w:r>
        <w:rPr>
          <w:rFonts w:ascii="Arial" w:cs="Arial" w:eastAsia="Arial" w:hAnsi="Arial"/>
          <w:b/>
          <w:bCs/>
          <w:sz w:val="19"/>
          <w:szCs w:val="19"/>
        </w:rPr>
        <w:t xml:space="preserve">PubMed: </w:t>
      </w:r>
      <w:hyperlink w:history="1" r:id="rIdy9flnps6rege2qgjhbmjt">
        <w:r>
          <w:rPr>
            <w:rStyle w:val="Hyperlink"/>
            <w:rFonts w:ascii="Arial" w:cs="Arial" w:eastAsia="Arial" w:hAnsi="Arial"/>
            <w:sz w:val="19"/>
            <w:szCs w:val="19"/>
          </w:rPr>
          <w:t xml:space="preserve">https://pubmed.ncbi.nlm.nih.gov/19624838/</w:t>
        </w:r>
      </w:hyperlink>
    </w:p>
    <w:p>
      <w:pPr>
        <w:pStyle w:val="Heading3"/>
      </w:pPr>
      <w:r>
        <w:t xml:space="preserve">Estudio 2: Revisión (incluye toxicidad).</w:t>
      </w:r>
    </w:p>
    <w:p>
      <w:pPr>
        <w:spacing w:after="100" w:line="276"/>
      </w:pPr>
      <w:r>
        <w:rPr>
          <w:rFonts w:ascii="Arial" w:cs="Arial" w:eastAsia="Arial" w:hAnsi="Arial"/>
          <w:sz w:val="20"/>
          <w:szCs w:val="20"/>
        </w:rPr>
        <w:t xml:space="preserve">Quién lo probó (cita): Dhakad AK, Pandey VV, Beg S, Rawat JM, Singh A. (2018). Biological, medicinal and toxicological significance of </w:t>
      </w:r>
      <w:r>
        <w:rPr>
          <w:rFonts w:ascii="Arial" w:cs="Arial" w:eastAsia="Arial" w:hAnsi="Arial"/>
          <w:i/>
          <w:iCs/>
          <w:sz w:val="20"/>
          <w:szCs w:val="20"/>
        </w:rPr>
        <w:t xml:space="preserve">Eucalyptus</w:t>
      </w:r>
      <w:r>
        <w:rPr>
          <w:rFonts w:ascii="Arial" w:cs="Arial" w:eastAsia="Arial" w:hAnsi="Arial"/>
          <w:sz w:val="20"/>
          <w:szCs w:val="20"/>
        </w:rPr>
        <w:t xml:space="preserve"> leaf essential oil: a review. </w:t>
      </w:r>
      <w:r>
        <w:rPr>
          <w:rFonts w:ascii="Arial" w:cs="Arial" w:eastAsia="Arial" w:hAnsi="Arial"/>
          <w:i/>
          <w:iCs/>
          <w:sz w:val="20"/>
          <w:szCs w:val="20"/>
        </w:rPr>
        <w:t xml:space="preserve">Journal of the Science of Food and Agriculture</w:t>
      </w:r>
      <w:r>
        <w:rPr>
          <w:rFonts w:ascii="Arial" w:cs="Arial" w:eastAsia="Arial" w:hAnsi="Arial"/>
          <w:sz w:val="20"/>
          <w:szCs w:val="20"/>
        </w:rPr>
        <w:t xml:space="preserve">, 2018.</w:t>
      </w:r>
    </w:p>
    <w:p>
      <w:pPr>
        <w:pStyle w:val="ListParagraph"/>
        <w:numPr>
          <w:ilvl w:val="0"/>
          <w:numId w:val="2"/>
        </w:numPr>
        <w:spacing w:after="60"/>
      </w:pPr>
      <w:r>
        <w:rPr>
          <w:rFonts w:ascii="Arial" w:cs="Arial" w:eastAsia="Arial" w:hAnsi="Arial"/>
          <w:sz w:val="21"/>
          <w:szCs w:val="21"/>
        </w:rPr>
        <w:t xml:space="preserve">Recoge actividades antimicrobiana, antiinflamatoria y descongestionante del aceite, y los riesgos de intoxicación por ingestión.</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tdernkcm-d2cpps_nu_mq">
        <w:r>
          <w:rPr>
            <w:rStyle w:val="Hyperlink"/>
            <w:rFonts w:ascii="Arial" w:cs="Arial" w:eastAsia="Arial" w:hAnsi="Arial"/>
            <w:sz w:val="19"/>
            <w:szCs w:val="19"/>
          </w:rPr>
          <w:t xml:space="preserve">https://doi.org/10.1002/jsfa.8600</w:t>
        </w:r>
      </w:hyperlink>
    </w:p>
    <w:p>
      <w:r>
        <w:br w:type="page"/>
      </w:r>
    </w:p>
    <w:p>
      <w:pPr>
        <w:pStyle w:val="Heading2"/>
      </w:pPr>
      <w:r>
        <w:t xml:space="preserve">Noni — </w:t>
      </w:r>
      <w:r>
        <w:rPr>
          <w:i/>
        </w:rPr>
        <w:t>Morinda citrifolia</w:t>
      </w:r>
      <w:r>
        <w:t xml:space="preserve"> L. (Rubiaceae)</w:t>
      </w:r>
    </w:p>
    <w:tbl>
      <w:tblPr>
        <w:tblW w:type="auto" w:w="0"/>
        <w:tblLook w:firstColumn="1" w:firstRow="1" w:lastColumn="0" w:lastRow="0" w:noHBand="0" w:noVBand="1" w:val="04A0"/>
      </w:tblPr>
      <w:tblGrid>
        <w:gridCol w:w="4513"/>
        <w:gridCol w:w="4513"/>
      </w:tblGrid>
      <w:tr>
        <w:tc>
          <w:tcPr>
            <w:tcW w:type="dxa" w:w="4513"/>
          </w:tcPr>
          <w:p>
            <w:r>
              <w:rPr>
                <w:b/>
              </w:rPr>
              <w:t>Parte medicinal</w:t>
            </w:r>
          </w:p>
        </w:tc>
        <w:tc>
          <w:tcPr>
            <w:tcW w:type="dxa" w:w="4513"/>
          </w:tcPr>
          <w:p>
            <w:r>
              <w:t>Fruto maduro (jugo).</w:t>
            </w:r>
          </w:p>
        </w:tc>
      </w:tr>
      <w:tr>
        <w:tc>
          <w:tcPr>
            <w:tcW w:type="dxa" w:w="4513"/>
          </w:tcPr>
          <w:p>
            <w:r>
              <w:rPr>
                <w:b/>
              </w:rPr>
              <w:t>Nivel de evidencia</w:t>
            </w:r>
          </w:p>
        </w:tc>
        <w:tc>
          <w:tcPr>
            <w:tcW w:type="dxa" w:w="4513"/>
          </w:tcPr>
          <w:p>
            <w:r>
              <w:t>Humanos — estudios observacionales/de intervención recogidos en revisión; además, varios casos clínicos reales de daño hepático asociado al consumo de jugo de noni.</w:t>
            </w:r>
          </w:p>
        </w:tc>
      </w:tr>
      <w:tr>
        <w:tc>
          <w:tcPr>
            <w:tcW w:type="dxa" w:w="4513"/>
          </w:tcPr>
          <w:p>
            <w:r>
              <w:rPr>
                <w:b/>
              </w:rPr>
              <w:t>Precaución</w:t>
            </w:r>
          </w:p>
        </w:tc>
        <w:tc>
          <w:tcPr>
            <w:tcW w:type="dxa" w:w="4513"/>
          </w:tcPr>
          <w:p>
            <w:r>
              <w:t>Existen múltiples casos clínicos publicados de hepatitis/daño hepático agudo asociados temporalmente al consumo de jugo de noni — aunque la relación de causa-efecto es debatida en la literatura (al menos una carta científica cuestiona la atribución en uno de los casos), es una señal de seguridad real que debe mostrarse en la app.</w:t>
            </w:r>
          </w:p>
        </w:tc>
      </w:tr>
    </w:tbl>
    <w:p>
      <w:pPr>
        <w:pStyle w:val="Heading3"/>
      </w:pPr>
      <w:r>
        <w:t>Estudio 1: Revisión de estudios de intervención en humanos.</w:t>
      </w:r>
    </w:p>
    <w:p>
      <w:r>
        <w:rPr>
          <w:b/>
        </w:rPr>
        <w:t xml:space="preserve">Quién lo probó (cita): </w:t>
      </w:r>
      <w:r>
        <w:t xml:space="preserve">West BJ, Deng S, Isami F, Uwaya A, Jensen CJ. (2018). "The Potential Health Benefits of Noni Juice: A Review of Human Intervention Studies." </w:t>
      </w:r>
      <w:r>
        <w:rPr>
          <w:i/>
        </w:rPr>
        <w:t>Foods</w:t>
      </w:r>
      <w:r>
        <w:t>, 7(4), 58.</w:t>
      </w:r>
    </w:p>
    <w:p>
      <w:pPr>
        <w:pStyle w:val="ListParagraph"/>
        <w:numPr>
          <w:ilvl w:val="0"/>
          <w:numId w:val="2"/>
        </w:numPr>
      </w:pPr>
      <w:r>
        <w:t>Revisión de los estudios de intervención en humanos publicados sobre el jugo de noni y sus posibles beneficios.</w:t>
      </w:r>
    </w:p>
    <w:p>
      <w:r>
        <w:rPr>
          <w:b/>
        </w:rPr>
        <w:t>Enlaces:</w:t>
      </w:r>
    </w:p>
    <w:p>
      <w:pPr>
        <w:pStyle w:val="ListParagraph"/>
        <w:numPr>
          <w:ilvl w:val="0"/>
          <w:numId w:val="2"/>
        </w:numPr>
      </w:pPr>
      <w:r>
        <w:rPr>
          <w:b/>
        </w:rPr>
        <w:t xml:space="preserve">DOI: </w:t>
      </w:r>
      <w:r>
        <w:t>https://doi.org/10.3390/foods7040058</w:t>
      </w:r>
    </w:p>
    <w:p>
      <w:pPr>
        <w:pStyle w:val="Heading3"/>
      </w:pPr>
      <w:r>
        <w:t>Estudio 2: Revisión etnofarmacológica del género.</w:t>
      </w:r>
    </w:p>
    <w:p>
      <w:r>
        <w:rPr>
          <w:b/>
        </w:rPr>
        <w:t xml:space="preserve">Quién lo probó (cita): </w:t>
      </w:r>
      <w:r>
        <w:t xml:space="preserve">Oladeji OS, Oluyori AP, Dada AO. (2022). "Genus </w:t>
      </w:r>
      <w:r>
        <w:rPr>
          <w:i/>
        </w:rPr>
        <w:t>Morinda</w:t>
      </w:r>
      <w:r>
        <w:t xml:space="preserve">: An insight to its ethnopharmacology, phytochemistry, pharmacology and industrial applications." </w:t>
      </w:r>
      <w:r>
        <w:rPr>
          <w:i/>
        </w:rPr>
        <w:t>Arabian Journal of Chemistry</w:t>
      </w:r>
      <w:r>
        <w:t>, 15(9), 104024.</w:t>
      </w:r>
    </w:p>
    <w:p>
      <w:pPr>
        <w:pStyle w:val="ListParagraph"/>
        <w:numPr>
          <w:ilvl w:val="0"/>
          <w:numId w:val="2"/>
        </w:numPr>
      </w:pPr>
      <w:r>
        <w:t>Documenta usos tradicionales del jugo de noni para diabetes e hipertensión (Taiwán) y para dolor de cabeza, presión alta, diarrea y diabetes en islas del Pacífico.</w:t>
      </w:r>
    </w:p>
    <w:p>
      <w:r>
        <w:rPr>
          <w:b/>
        </w:rPr>
        <w:t>Enlaces:</w:t>
      </w:r>
    </w:p>
    <w:p>
      <w:pPr>
        <w:pStyle w:val="ListParagraph"/>
        <w:numPr>
          <w:ilvl w:val="0"/>
          <w:numId w:val="2"/>
        </w:numPr>
      </w:pPr>
      <w:r>
        <w:rPr>
          <w:b/>
        </w:rPr>
        <w:t xml:space="preserve">DOI: </w:t>
      </w:r>
      <w:r>
        <w:t>https://doi.org/10.1016/j.arabjc.2022.104024</w:t>
      </w:r>
    </w:p>
    <w:p>
      <w:pPr>
        <w:pStyle w:val="Heading3"/>
      </w:pPr>
      <w:r>
        <w:t>Estudio 3: Casos clínicos de daño hepático (seguridad) — varios reportes independientes.</w:t>
      </w:r>
    </w:p>
    <w:p>
      <w:r>
        <w:rPr>
          <w:b/>
        </w:rPr>
        <w:t xml:space="preserve">Quién lo probó (cita): </w:t>
      </w:r>
      <w:r>
        <w:t>Millonig G, et al. (2005). "Herbal hepatotoxicity: acute hepatitis caused by a Noni preparation (</w:t>
      </w:r>
      <w:r>
        <w:rPr>
          <w:i/>
        </w:rPr>
        <w:t>Morinda citrifolia</w:t>
      </w:r>
      <w:r>
        <w:t xml:space="preserve">)." </w:t>
      </w:r>
      <w:r>
        <w:rPr>
          <w:i/>
        </w:rPr>
        <w:t>European Journal of Gastroenterology &amp; Hepatology</w:t>
      </w:r>
      <w:r>
        <w:t xml:space="preserve">.  ·  Stadlbauer V, et al. (2005). "Hepatitis induced by Noni juice from </w:t>
      </w:r>
      <w:r>
        <w:rPr>
          <w:i/>
        </w:rPr>
        <w:t>Morinda citrifolia</w:t>
      </w:r>
      <w:r>
        <w:t xml:space="preserve">: a rare cause of hepatotoxicity or the tip of the iceberg?" </w:t>
      </w:r>
      <w:r>
        <w:rPr>
          <w:i/>
        </w:rPr>
        <w:t>Digestion</w:t>
      </w:r>
      <w:r>
        <w:t xml:space="preserve">.  ·  Yu EW, et al. (2011). "Acute Hepatotoxicity After Ingestion of </w:t>
      </w:r>
      <w:r>
        <w:rPr>
          <w:i/>
        </w:rPr>
        <w:t>Morinda citrifolia</w:t>
      </w:r>
      <w:r>
        <w:t xml:space="preserve"> (Noni Berry) Juice in a 14-year-old Boy." </w:t>
      </w:r>
      <w:r>
        <w:rPr>
          <w:i/>
        </w:rPr>
        <w:t>Journal of Pediatric Gastroenterology and Nutrition</w:t>
      </w:r>
      <w:r>
        <w:t>.</w:t>
      </w:r>
    </w:p>
    <w:p>
      <w:pPr>
        <w:pStyle w:val="ListParagraph"/>
        <w:numPr>
          <w:ilvl w:val="0"/>
          <w:numId w:val="2"/>
        </w:numPr>
      </w:pPr>
      <w:r>
        <w:t>Al menos 4 casos clínicos independientes publicados en revistas médicas describen hepatitis/daño hepático agudo tras el consumo de jugo o preparados de noni.</w:t>
      </w:r>
    </w:p>
    <w:p>
      <w:pPr>
        <w:pStyle w:val="ListParagraph"/>
        <w:numPr>
          <w:ilvl w:val="0"/>
          <w:numId w:val="2"/>
        </w:numPr>
      </w:pPr>
      <w:r>
        <w:t>La causalidad se discute en la literatura: una carta de respuesta al caso de Yu et al. (2011) planteó que otros ingredientes del producto (no el noni) podrían ser responsables — se incluye este matiz para no simplificar de más.</w:t>
      </w:r>
    </w:p>
    <w:p>
      <w:r>
        <w:rPr>
          <w:b/>
        </w:rPr>
        <w:t>Enlaces:</w:t>
      </w:r>
    </w:p>
    <w:p>
      <w:pPr>
        <w:pStyle w:val="ListParagraph"/>
        <w:numPr>
          <w:ilvl w:val="0"/>
          <w:numId w:val="2"/>
        </w:numPr>
      </w:pPr>
      <w:r>
        <w:rPr>
          <w:b/>
        </w:rPr>
        <w:t xml:space="preserve">PubMed (Millonig 2005): </w:t>
      </w:r>
      <w:r>
        <w:t>https://pubmed.ncbi.nlm.nih.gov/15756098/</w:t>
      </w:r>
    </w:p>
    <w:p>
      <w:pPr>
        <w:pStyle w:val="ListParagraph"/>
        <w:numPr>
          <w:ilvl w:val="0"/>
          <w:numId w:val="2"/>
        </w:numPr>
      </w:pPr>
      <w:r>
        <w:rPr>
          <w:b/>
        </w:rPr>
        <w:t xml:space="preserve">PubMed (Stadlbauer 2005): </w:t>
      </w:r>
      <w:r>
        <w:t>https://pubmed.ncbi.nlm.nih.gov/16837801/</w:t>
      </w:r>
    </w:p>
    <w:p>
      <w:pPr>
        <w:pStyle w:val="ListParagraph"/>
        <w:numPr>
          <w:ilvl w:val="0"/>
          <w:numId w:val="2"/>
        </w:numPr>
      </w:pPr>
      <w:r>
        <w:rPr>
          <w:b/>
        </w:rPr>
        <w:t xml:space="preserve">PubMed (Yu 2011): </w:t>
      </w:r>
      <w:r>
        <w:t>https://pubmed.ncbi.nlm.nih.gov/21119544/</w:t>
      </w:r>
    </w:p>
    <w:p>
      <w:pPr>
        <w:pStyle w:val="ListParagraph"/>
        <w:numPr>
          <w:ilvl w:val="0"/>
          <w:numId w:val="2"/>
        </w:numPr>
      </w:pPr>
      <w:r>
        <w:rPr>
          <w:b/>
        </w:rPr>
        <w:t xml:space="preserve">PubMed (carta de respuesta): </w:t>
      </w:r>
      <w:r>
        <w:t>https://pubmed.ncbi.nlm.nih.gov/21734601/</w:t>
      </w:r>
    </w:p>
    <w:p>
      <w:pPr>
        <w:pStyle w:val="Heading2"/>
      </w:pPr>
      <w:r>
        <w:t xml:space="preserve">Llantén — </w:t>
      </w:r>
      <w:r>
        <w:rPr>
          <w:i/>
        </w:rPr>
        <w:t>Plantago major</w:t>
      </w:r>
      <w:r>
        <w:t xml:space="preserve"> L. (Plantaginaceae)</w:t>
      </w:r>
    </w:p>
    <w:tbl>
      <w:tblPr>
        <w:tblW w:type="auto" w:w="0"/>
        <w:tblLook w:firstColumn="1" w:firstRow="1" w:lastColumn="0" w:lastRow="0" w:noHBand="0" w:noVBand="1" w:val="04A0"/>
      </w:tblPr>
      <w:tblGrid>
        <w:gridCol w:w="4513"/>
        <w:gridCol w:w="4513"/>
      </w:tblGrid>
      <w:tr>
        <w:tc>
          <w:tcPr>
            <w:tcW w:type="dxa" w:w="4513"/>
          </w:tcPr>
          <w:p>
            <w:r>
              <w:rPr>
                <w:b/>
              </w:rPr>
              <w:t>Parte medicinal</w:t>
            </w:r>
          </w:p>
        </w:tc>
        <w:tc>
          <w:tcPr>
            <w:tcW w:type="dxa" w:w="4513"/>
          </w:tcPr>
          <w:p>
            <w:r>
              <w:t>Hojas (extracto/crema).</w:t>
            </w:r>
          </w:p>
        </w:tc>
      </w:tr>
      <w:tr>
        <w:tc>
          <w:tcPr>
            <w:tcW w:type="dxa" w:w="4513"/>
          </w:tcPr>
          <w:p>
            <w:r>
              <w:rPr>
                <w:b/>
              </w:rPr>
              <w:t>Nivel de evidencia</w:t>
            </w:r>
          </w:p>
        </w:tc>
        <w:tc>
          <w:tcPr>
            <w:tcW w:type="dxa" w:w="4513"/>
          </w:tcPr>
          <w:p>
            <w:r>
              <w:t>Humanos — varios ensayos clínicos aleatorizados sobre cicatrización de heridas y úlceras.</w:t>
            </w:r>
          </w:p>
        </w:tc>
      </w:tr>
      <w:tr>
        <w:tc>
          <w:tcPr>
            <w:tcW w:type="dxa" w:w="4513"/>
          </w:tcPr>
          <w:p>
            <w:r>
              <w:rPr>
                <w:b/>
              </w:rPr>
              <w:t>Precaución</w:t>
            </w:r>
          </w:p>
        </w:tc>
        <w:tc>
          <w:tcPr>
            <w:tcW w:type="dxa" w:w="4513"/>
          </w:tcPr>
          <w:p>
            <w:r>
              <w:t>No se encontró una señal de toxicidad relevante en el uso tópico u oral habitual en la literatura revisada esta ronda.</w:t>
            </w:r>
          </w:p>
        </w:tc>
      </w:tr>
    </w:tbl>
    <w:p>
      <w:pPr>
        <w:pStyle w:val="Heading3"/>
      </w:pPr>
      <w:r>
        <w:t>Estudio 1: Ensayo clínico aleatorizado, abierto, en pacientes con pie diabético y úlceras por presión.</w:t>
      </w:r>
    </w:p>
    <w:p>
      <w:r>
        <w:rPr>
          <w:b/>
        </w:rPr>
        <w:t xml:space="preserve">Quién lo probó (cita): </w:t>
      </w:r>
      <w:r>
        <w:t xml:space="preserve">Ghanadian M, Soltani R, Homayouni A, Khorvash F, Mohammadi Jouabadi S, Abdollahzadeh M. (2024). "The Effect of </w:t>
      </w:r>
      <w:r>
        <w:rPr>
          <w:i/>
        </w:rPr>
        <w:t>Plantago major</w:t>
      </w:r>
      <w:r>
        <w:t xml:space="preserve"> Hydroalcoholic Extract on the Healing of Diabetic Foot and Pressure Ulcers: A Randomized Open-Label Controlled Clinical Trial." </w:t>
      </w:r>
      <w:r>
        <w:rPr>
          <w:i/>
        </w:rPr>
        <w:t>International Journal of Lower Extremity Wounds</w:t>
      </w:r>
      <w:r>
        <w:t>, 23, 475-481.</w:t>
      </w:r>
    </w:p>
    <w:p>
      <w:pPr>
        <w:pStyle w:val="ListParagraph"/>
        <w:numPr>
          <w:ilvl w:val="0"/>
          <w:numId w:val="2"/>
        </w:numPr>
      </w:pPr>
      <w:r>
        <w:t>Ensayo clínico humano que evaluó el extracto hidroalcohólico de llantén sobre la cicatrización de úlceras de pie diabético y úlceras por presión (cifras exactas de mejoría no confirmadas en texto completo esta ronda).</w:t>
      </w:r>
    </w:p>
    <w:p>
      <w:r>
        <w:rPr>
          <w:b/>
        </w:rPr>
        <w:t>Enlaces:</w:t>
      </w:r>
    </w:p>
    <w:p>
      <w:pPr>
        <w:pStyle w:val="ListParagraph"/>
        <w:numPr>
          <w:ilvl w:val="0"/>
          <w:numId w:val="2"/>
        </w:numPr>
      </w:pPr>
      <w:r>
        <w:rPr>
          <w:b/>
        </w:rPr>
        <w:t xml:space="preserve">DOI: </w:t>
      </w:r>
      <w:r>
        <w:t>https://doi.org/10.1177/15347346211070723</w:t>
      </w:r>
    </w:p>
    <w:p>
      <w:pPr>
        <w:pStyle w:val="Heading3"/>
      </w:pPr>
      <w:r>
        <w:t>Estudio 2: Estudio caso-control en quemaduras de segundo grado.</w:t>
      </w:r>
    </w:p>
    <w:p>
      <w:r>
        <w:rPr>
          <w:b/>
        </w:rPr>
        <w:t xml:space="preserve">Quién lo probó (cita): </w:t>
      </w:r>
      <w:r>
        <w:t>Keshavarzi A, et al. (2022). "Therapeutic Efficacy of Great Plantain (</w:t>
      </w:r>
      <w:r>
        <w:rPr>
          <w:i/>
        </w:rPr>
        <w:t>Plantago major</w:t>
      </w:r>
      <w:r>
        <w:t xml:space="preserve"> L.) in the Treatment of Second-Degree Burn Wounds: A Case-Control Study." </w:t>
      </w:r>
      <w:r>
        <w:rPr>
          <w:i/>
        </w:rPr>
        <w:t>International Journal of Clinical Practice</w:t>
      </w:r>
      <w:r>
        <w:t>.</w:t>
      </w:r>
    </w:p>
    <w:p>
      <w:pPr>
        <w:pStyle w:val="ListParagraph"/>
        <w:numPr>
          <w:ilvl w:val="0"/>
          <w:numId w:val="2"/>
        </w:numPr>
      </w:pPr>
      <w:r>
        <w:t>Estudio caso-control en humanos sobre el uso de llantén en quemaduras de segundo grado.</w:t>
      </w:r>
    </w:p>
    <w:p>
      <w:r>
        <w:rPr>
          <w:b/>
        </w:rPr>
        <w:t>Enlaces:</w:t>
      </w:r>
    </w:p>
    <w:p>
      <w:pPr>
        <w:pStyle w:val="ListParagraph"/>
        <w:numPr>
          <w:ilvl w:val="0"/>
          <w:numId w:val="2"/>
        </w:numPr>
      </w:pPr>
      <w:r>
        <w:rPr>
          <w:b/>
        </w:rPr>
        <w:t xml:space="preserve">DOI: </w:t>
      </w:r>
      <w:r>
        <w:t>https://doi.org/10.1155/2022/4923277</w:t>
      </w:r>
    </w:p>
    <w:p>
      <w:pPr>
        <w:pStyle w:val="Heading3"/>
      </w:pPr>
      <w:r>
        <w:t>Estudio 3: Ensayo clínico aleatorizado en úlceras por presión.</w:t>
      </w:r>
    </w:p>
    <w:p>
      <w:r>
        <w:rPr>
          <w:b/>
        </w:rPr>
        <w:t xml:space="preserve">Quién lo probó (cita): </w:t>
      </w:r>
      <w:r>
        <w:t xml:space="preserve">(Autores del artículo original). "Clinical and phytochemical studies of </w:t>
      </w:r>
      <w:r>
        <w:rPr>
          <w:i/>
        </w:rPr>
        <w:t>Plantago major</w:t>
      </w:r>
      <w:r>
        <w:t xml:space="preserve"> in pressure ulcer treatment: A randomized controlled trial." </w:t>
      </w:r>
      <w:r>
        <w:rPr>
          <w:i/>
        </w:rPr>
        <w:t>Journal of Tissue Viability</w:t>
      </w:r>
      <w:r>
        <w:t>.</w:t>
      </w:r>
    </w:p>
    <w:p>
      <w:pPr>
        <w:pStyle w:val="ListParagraph"/>
        <w:numPr>
          <w:ilvl w:val="0"/>
          <w:numId w:val="2"/>
        </w:numPr>
      </w:pPr>
      <w:r>
        <w:t>Ensayo clínico aleatorizado sobre llantén en el tratamiento de úlceras por presión.</w:t>
      </w:r>
    </w:p>
    <w:p>
      <w:r>
        <w:rPr>
          <w:b/>
        </w:rPr>
        <w:t>Enlaces:</w:t>
      </w:r>
    </w:p>
    <w:p>
      <w:pPr>
        <w:pStyle w:val="ListParagraph"/>
        <w:numPr>
          <w:ilvl w:val="0"/>
          <w:numId w:val="2"/>
        </w:numPr>
      </w:pPr>
      <w:r>
        <w:rPr>
          <w:b/>
        </w:rPr>
        <w:t xml:space="preserve">ScienceDirect: </w:t>
      </w:r>
      <w:r>
        <w:t>https://www.sciencedirect.com/science/article/pii/S1744391121000244</w:t>
      </w:r>
    </w:p>
    <w:p>
      <w:pPr>
        <w:pStyle w:val="Heading3"/>
      </w:pPr>
      <w:r>
        <w:t>Estudio 4: Ensayo clínico aleatorizado en pacientes con cáncer de mama (prevención de radiodermatitis).</w:t>
      </w:r>
    </w:p>
    <w:p>
      <w:r>
        <w:rPr>
          <w:b/>
        </w:rPr>
        <w:t xml:space="preserve">Quién lo probó (cita): </w:t>
      </w:r>
      <w:r>
        <w:t xml:space="preserve">(Autores del artículo original). "Efficacy of </w:t>
      </w:r>
      <w:r>
        <w:rPr>
          <w:i/>
        </w:rPr>
        <w:t>Plantago major</w:t>
      </w:r>
      <w:r>
        <w:t xml:space="preserve"> leaf extract cream compared to placebo in preventing acute radiodermatitis in breast cancer patients: A randomized clinical trial."</w:t>
      </w:r>
    </w:p>
    <w:p>
      <w:pPr>
        <w:pStyle w:val="ListParagraph"/>
        <w:numPr>
          <w:ilvl w:val="0"/>
          <w:numId w:val="2"/>
        </w:numPr>
      </w:pPr>
      <w:r>
        <w:t>Ensayo clínico aleatorizado que comparó una crema de extracto de llantén contra placebo para prevenir la radiodermatitis aguda en pacientes con cáncer de mama en tratamiento con radioterapia.</w:t>
      </w:r>
    </w:p>
    <w:p>
      <w:r>
        <w:rPr>
          <w:b/>
        </w:rPr>
        <w:t>Enlaces:</w:t>
      </w:r>
    </w:p>
    <w:p>
      <w:pPr>
        <w:pStyle w:val="ListParagraph"/>
        <w:numPr>
          <w:ilvl w:val="0"/>
          <w:numId w:val="2"/>
        </w:numPr>
      </w:pPr>
      <w:r>
        <w:rPr>
          <w:b/>
        </w:rPr>
        <w:t xml:space="preserve">ScienceDirect: </w:t>
      </w:r>
      <w:r>
        <w:t>https://www.sciencedirect.com/science/article/pii/S1876382023000604</w:t>
      </w:r>
    </w:p>
    <w:p>
      <w:pPr>
        <w:pStyle w:val="Heading1"/>
      </w:pPr>
      <w:r>
        <w:t xml:space="preserve">Parte 2. Plantas amazónicas raras o poco conocidas</w:t>
      </w:r>
    </w:p>
    <w:p>
      <w:pPr>
        <w:spacing w:after="100" w:line="276"/>
      </w:pPr>
      <w:r>
        <w:rPr>
          <w:rFonts w:ascii="Arial" w:cs="Arial" w:eastAsia="Arial" w:hAnsi="Arial"/>
          <w:sz w:val="21"/>
          <w:szCs w:val="21"/>
        </w:rPr>
        <w:t xml:space="preserve">Especies de la Amazonía peruana (varias crecen en la zona de Tingo María) que tienen al menos un estudio científico publicado. Muchas tienen estudios hechos en universidades e institutos peruanos.</w:t>
      </w:r>
    </w:p>
    <w:p>
      <w:pPr>
        <w:pStyle w:val="Heading2"/>
      </w:pPr>
      <w:r>
        <w:rPr>
          <w:rFonts w:ascii="Arial" w:cs="Arial" w:eastAsia="Arial" w:hAnsi="Arial"/>
          <w:sz w:val="21"/>
          <w:szCs w:val="21"/>
        </w:rPr>
        <w:t xml:space="preserve">Sangre de grado — </w:t>
      </w:r>
      <w:r>
        <w:rPr>
          <w:rFonts w:ascii="Arial" w:cs="Arial" w:eastAsia="Arial" w:hAnsi="Arial"/>
          <w:i/>
          <w:iCs/>
          <w:sz w:val="21"/>
          <w:szCs w:val="21"/>
        </w:rPr>
        <w:t xml:space="preserve">Croton lechleri</w:t>
      </w:r>
      <w:r>
        <w:rPr>
          <w:rFonts w:ascii="Arial" w:cs="Arial" w:eastAsia="Arial" w:hAnsi="Arial"/>
          <w:sz w:val="21"/>
          <w:szCs w:val="21"/>
        </w:rPr>
        <w:t xml:space="preserve"> Müll. Arg. (Euphorbiaceae)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Parte medicinal</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Látex (resina roja) que sale de la corteza del tronco.</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Nivel de evidencia</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Humanos – ensayo clínico y medicamento aprobado por la FDA (crofelemer).</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Precaución</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Para heridas y úlceras solo hay estudios en animales (según Memorial Sloan Kettering). Para herpes genital no fue mejor que placebo.</w:t>
            </w:r>
          </w:p>
        </w:tc>
      </w:tr>
    </w:tbl>
    <w:p>
      <w:pPr>
        <w:pStyle w:val="Heading3"/>
      </w:pPr>
      <w:r>
        <w:t xml:space="preserve">Estudio 1: Ensayo aleatorizado doble ciego con 376 pacientes con VIH y diarrea no infecciosa.</w:t>
      </w:r>
    </w:p>
    <w:p>
      <w:pPr>
        <w:spacing w:after="100" w:line="276"/>
      </w:pPr>
      <w:r>
        <w:rPr>
          <w:rFonts w:ascii="Arial" w:cs="Arial" w:eastAsia="Arial" w:hAnsi="Arial"/>
          <w:sz w:val="20"/>
          <w:szCs w:val="20"/>
        </w:rPr>
        <w:t xml:space="preserve">Quién lo probó (cita): MacArthur RD, Hawkins TN, Brown SJ, et al. (2013). Efficacy and safety of crofelemer for noninfectious diarrhea in HIV-seropositive individuals (ADVENT trial): a randomized, double-blind, placebo-controlled, two-stage study. </w:t>
      </w:r>
      <w:r>
        <w:rPr>
          <w:rFonts w:ascii="Arial" w:cs="Arial" w:eastAsia="Arial" w:hAnsi="Arial"/>
          <w:i/>
          <w:iCs/>
          <w:sz w:val="20"/>
          <w:szCs w:val="20"/>
        </w:rPr>
        <w:t xml:space="preserve">HIV Clinical Trials</w:t>
      </w:r>
      <w:r>
        <w:rPr>
          <w:rFonts w:ascii="Arial" w:cs="Arial" w:eastAsia="Arial" w:hAnsi="Arial"/>
          <w:sz w:val="20"/>
          <w:szCs w:val="20"/>
        </w:rPr>
        <w:t xml:space="preserve">, 14(6), 261-273.</w:t>
      </w:r>
    </w:p>
    <w:p>
      <w:pPr>
        <w:pStyle w:val="ListParagraph"/>
        <w:numPr>
          <w:ilvl w:val="0"/>
          <w:numId w:val="2"/>
        </w:numPr>
        <w:spacing w:after="60"/>
      </w:pPr>
      <w:r>
        <w:rPr>
          <w:rFonts w:ascii="Arial" w:cs="Arial" w:eastAsia="Arial" w:hAnsi="Arial"/>
          <w:sz w:val="21"/>
          <w:szCs w:val="21"/>
        </w:rPr>
        <w:t xml:space="preserve">Dosis: 125 mg de crofelemer 2 veces al día.</w:t>
      </w:r>
    </w:p>
    <w:p>
      <w:pPr>
        <w:pStyle w:val="ListParagraph"/>
        <w:numPr>
          <w:ilvl w:val="0"/>
          <w:numId w:val="2"/>
        </w:numPr>
        <w:spacing w:after="60"/>
      </w:pPr>
      <w:r>
        <w:rPr>
          <w:rFonts w:ascii="Arial" w:cs="Arial" w:eastAsia="Arial" w:hAnsi="Arial"/>
          <w:sz w:val="21"/>
          <w:szCs w:val="21"/>
        </w:rPr>
        <w:t xml:space="preserve">Respondieron 17,6 % con crofelemer vs 8,0 % con placebo (p = 0,0096).</w:t>
      </w:r>
    </w:p>
    <w:p>
      <w:pPr>
        <w:pStyle w:val="ListParagraph"/>
        <w:numPr>
          <w:ilvl w:val="0"/>
          <w:numId w:val="2"/>
        </w:numPr>
        <w:spacing w:after="60"/>
      </w:pPr>
      <w:r>
        <w:rPr>
          <w:rFonts w:ascii="Arial" w:cs="Arial" w:eastAsia="Arial" w:hAnsi="Arial"/>
          <w:sz w:val="21"/>
          <w:szCs w:val="21"/>
        </w:rPr>
        <w:t xml:space="preserve">La FDA aprobó el crofelemer (marca Mytesi) el 31 de diciembre de 2012: es el primer medicamento oral botánico aprobado, extraído del látex de esta planta.</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1gyf-ru_txsyvthavpryh">
        <w:r>
          <w:rPr>
            <w:rStyle w:val="Hyperlink"/>
            <w:rFonts w:ascii="Arial" w:cs="Arial" w:eastAsia="Arial" w:hAnsi="Arial"/>
            <w:sz w:val="19"/>
            <w:szCs w:val="19"/>
          </w:rPr>
          <w:t xml:space="preserve">https://doi.org/10.1310/hct1406-261</w:t>
        </w:r>
      </w:hyperlink>
    </w:p>
    <w:p>
      <w:pPr>
        <w:pStyle w:val="ListParagraph"/>
        <w:numPr>
          <w:ilvl w:val="0"/>
          <w:numId w:val="2"/>
        </w:numPr>
        <w:spacing w:after="40"/>
      </w:pPr>
      <w:r>
        <w:rPr>
          <w:rFonts w:ascii="Arial" w:cs="Arial" w:eastAsia="Arial" w:hAnsi="Arial"/>
          <w:b/>
          <w:bCs/>
          <w:sz w:val="19"/>
          <w:szCs w:val="19"/>
        </w:rPr>
        <w:t xml:space="preserve">PubMed: </w:t>
      </w:r>
      <w:hyperlink w:history="1" r:id="rId4iy6cgsh0p75dxwfs4wpq">
        <w:r>
          <w:rPr>
            <w:rStyle w:val="Hyperlink"/>
            <w:rFonts w:ascii="Arial" w:cs="Arial" w:eastAsia="Arial" w:hAnsi="Arial"/>
            <w:sz w:val="19"/>
            <w:szCs w:val="19"/>
          </w:rPr>
          <w:t xml:space="preserve">https://pubmed.ncbi.nlm.nih.gov/24334179/</w:t>
        </w:r>
      </w:hyperlink>
    </w:p>
    <w:p>
      <w:pPr>
        <w:pStyle w:val="ListParagraph"/>
        <w:numPr>
          <w:ilvl w:val="0"/>
          <w:numId w:val="2"/>
        </w:numPr>
        <w:spacing w:after="40"/>
      </w:pPr>
      <w:r>
        <w:rPr>
          <w:rFonts w:ascii="Arial" w:cs="Arial" w:eastAsia="Arial" w:hAnsi="Arial"/>
          <w:b/>
          <w:bCs/>
          <w:sz w:val="19"/>
          <w:szCs w:val="19"/>
        </w:rPr>
        <w:t xml:space="preserve">Resumen de la FDA: </w:t>
      </w:r>
      <w:hyperlink w:history="1" r:id="rIdl8gwmsamirbi2k42nymrl">
        <w:r>
          <w:rPr>
            <w:rStyle w:val="Hyperlink"/>
            <w:rFonts w:ascii="Arial" w:cs="Arial" w:eastAsia="Arial" w:hAnsi="Arial"/>
            <w:sz w:val="19"/>
            <w:szCs w:val="19"/>
          </w:rPr>
          <w:t xml:space="preserve">https://www.accessdata.fda.gov/drugsatfda_docs/nda/2012/202292Orig1s000SumR.pdf</w:t>
        </w:r>
      </w:hyperlink>
    </w:p>
    <w:p>
      <w:pPr>
        <w:pStyle w:val="ListParagraph"/>
        <w:numPr>
          <w:ilvl w:val="0"/>
          <w:numId w:val="2"/>
        </w:numPr>
        <w:spacing w:after="40"/>
      </w:pPr>
      <w:r>
        <w:rPr>
          <w:rFonts w:ascii="Arial" w:cs="Arial" w:eastAsia="Arial" w:hAnsi="Arial"/>
          <w:b/>
          <w:bCs/>
          <w:sz w:val="19"/>
          <w:szCs w:val="19"/>
        </w:rPr>
        <w:t xml:space="preserve">Memorial Sloan Kettering (ficha): </w:t>
      </w:r>
      <w:hyperlink w:history="1" r:id="rIdnsjwmh-np5eh6l4im6jsw">
        <w:r>
          <w:rPr>
            <w:rStyle w:val="Hyperlink"/>
            <w:rFonts w:ascii="Arial" w:cs="Arial" w:eastAsia="Arial" w:hAnsi="Arial"/>
            <w:sz w:val="19"/>
            <w:szCs w:val="19"/>
          </w:rPr>
          <w:t xml:space="preserve">https://www.mskcc.org/cancer-care/integrative-medicine/herbs/croton-lechleri</w:t>
        </w:r>
      </w:hyperlink>
    </w:p>
    <w:p>
      <w:pPr>
        <w:pStyle w:val="Heading2"/>
      </w:pPr>
      <w:r>
        <w:rPr>
          <w:rFonts w:ascii="Arial" w:cs="Arial" w:eastAsia="Arial" w:hAnsi="Arial"/>
          <w:sz w:val="21"/>
          <w:szCs w:val="21"/>
        </w:rPr>
        <w:t xml:space="preserve">Uña de gato — </w:t>
      </w:r>
      <w:r>
        <w:rPr>
          <w:rFonts w:ascii="Arial" w:cs="Arial" w:eastAsia="Arial" w:hAnsi="Arial"/>
          <w:i/>
          <w:iCs/>
          <w:sz w:val="21"/>
          <w:szCs w:val="21"/>
        </w:rPr>
        <w:t xml:space="preserve">Uncaria tomentosa</w:t>
      </w:r>
      <w:r>
        <w:rPr>
          <w:rFonts w:ascii="Arial" w:cs="Arial" w:eastAsia="Arial" w:hAnsi="Arial"/>
          <w:sz w:val="21"/>
          <w:szCs w:val="21"/>
        </w:rPr>
        <w:t xml:space="preserve"> (Willd.) DC. y </w:t>
      </w:r>
      <w:r>
        <w:rPr>
          <w:rFonts w:ascii="Arial" w:cs="Arial" w:eastAsia="Arial" w:hAnsi="Arial"/>
          <w:i/>
          <w:iCs/>
          <w:sz w:val="21"/>
          <w:szCs w:val="21"/>
        </w:rPr>
        <w:t xml:space="preserve">U. guianensis</w:t>
      </w:r>
      <w:r>
        <w:rPr>
          <w:rFonts w:ascii="Arial" w:cs="Arial" w:eastAsia="Arial" w:hAnsi="Arial"/>
          <w:sz w:val="21"/>
          <w:szCs w:val="21"/>
        </w:rPr>
        <w:t xml:space="preserve"> (Rubiaceae)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Parte medicinal</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Corteza del tallo (liana) y raíz.</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Nivel de evidencia</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Humanos – ensayo pequeño aleatorizado (estudio peruano).</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Precaución</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Evitar en embarazo y con inmunosupresores (efecto inmunomodulador).</w:t>
            </w:r>
          </w:p>
        </w:tc>
      </w:tr>
    </w:tbl>
    <w:p>
      <w:pPr>
        <w:pStyle w:val="Heading3"/>
      </w:pPr>
      <w:r>
        <w:t xml:space="preserve">Estudio 1: Ensayo aleatorizado doble ciego: 45 pacientes con artrosis de rodilla (30 uña de gato, 15 placebo), 4 semanas.</w:t>
      </w:r>
    </w:p>
    <w:p>
      <w:pPr>
        <w:spacing w:after="100" w:line="276"/>
      </w:pPr>
      <w:r>
        <w:rPr>
          <w:rFonts w:ascii="Arial" w:cs="Arial" w:eastAsia="Arial" w:hAnsi="Arial"/>
          <w:sz w:val="20"/>
          <w:szCs w:val="20"/>
        </w:rPr>
        <w:t xml:space="preserve">Quién lo probó (cita): Piscoya J, Rodríguez Z, Bustamante SA, Okuhama NN, Miller MJS, Sandoval M. (2001). Efficacy and safety of freeze-dried cat's claw in osteoarthritis of the knee: mechanisms of action of the species </w:t>
      </w:r>
      <w:r>
        <w:rPr>
          <w:rFonts w:ascii="Arial" w:cs="Arial" w:eastAsia="Arial" w:hAnsi="Arial"/>
          <w:i/>
          <w:iCs/>
          <w:sz w:val="20"/>
          <w:szCs w:val="20"/>
        </w:rPr>
        <w:t xml:space="preserve">Uncaria guianensis</w:t>
      </w:r>
      <w:r>
        <w:rPr>
          <w:rFonts w:ascii="Arial" w:cs="Arial" w:eastAsia="Arial" w:hAnsi="Arial"/>
          <w:sz w:val="20"/>
          <w:szCs w:val="20"/>
        </w:rPr>
        <w:t xml:space="preserve">. </w:t>
      </w:r>
      <w:r>
        <w:rPr>
          <w:rFonts w:ascii="Arial" w:cs="Arial" w:eastAsia="Arial" w:hAnsi="Arial"/>
          <w:i/>
          <w:iCs/>
          <w:sz w:val="20"/>
          <w:szCs w:val="20"/>
        </w:rPr>
        <w:t xml:space="preserve">Inflammation Research</w:t>
      </w:r>
      <w:r>
        <w:rPr>
          <w:rFonts w:ascii="Arial" w:cs="Arial" w:eastAsia="Arial" w:hAnsi="Arial"/>
          <w:sz w:val="20"/>
          <w:szCs w:val="20"/>
        </w:rPr>
        <w:t xml:space="preserve">, 50(9), 442-448. (Universidad Peruana Cayetano Heredia)</w:t>
      </w:r>
    </w:p>
    <w:p>
      <w:pPr>
        <w:pStyle w:val="ListParagraph"/>
        <w:numPr>
          <w:ilvl w:val="0"/>
          <w:numId w:val="2"/>
        </w:numPr>
        <w:spacing w:after="60"/>
      </w:pPr>
      <w:r>
        <w:rPr>
          <w:rFonts w:ascii="Arial" w:cs="Arial" w:eastAsia="Arial" w:hAnsi="Arial"/>
          <w:sz w:val="21"/>
          <w:szCs w:val="21"/>
        </w:rPr>
        <w:t xml:space="preserve">Redujo el dolor al realizar actividad y mejoró la evaluación médica y del paciente desde la 1.ª semana.</w:t>
      </w:r>
    </w:p>
    <w:p>
      <w:pPr>
        <w:pStyle w:val="ListParagraph"/>
        <w:numPr>
          <w:ilvl w:val="0"/>
          <w:numId w:val="2"/>
        </w:numPr>
        <w:spacing w:after="60"/>
      </w:pPr>
      <w:r>
        <w:rPr>
          <w:rFonts w:ascii="Arial" w:cs="Arial" w:eastAsia="Arial" w:hAnsi="Arial"/>
          <w:sz w:val="21"/>
          <w:szCs w:val="21"/>
        </w:rPr>
        <w:t xml:space="preserve">No mejoró el dolor en reposo ni el nocturno.</w:t>
      </w:r>
    </w:p>
    <w:p>
      <w:pPr>
        <w:pStyle w:val="ListParagraph"/>
        <w:numPr>
          <w:ilvl w:val="0"/>
          <w:numId w:val="2"/>
        </w:numPr>
        <w:spacing w:after="60"/>
      </w:pPr>
      <w:r>
        <w:rPr>
          <w:rFonts w:ascii="Arial" w:cs="Arial" w:eastAsia="Arial" w:hAnsi="Arial"/>
          <w:sz w:val="21"/>
          <w:szCs w:val="21"/>
        </w:rPr>
        <w:t xml:space="preserve">Sin efectos adversos en sangre ni hígado. En laboratorio inhibió el TNF-α (inflamación).</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c9jnpemsuy8nwn7ohf_4z">
        <w:r>
          <w:rPr>
            <w:rStyle w:val="Hyperlink"/>
            <w:rFonts w:ascii="Arial" w:cs="Arial" w:eastAsia="Arial" w:hAnsi="Arial"/>
            <w:sz w:val="19"/>
            <w:szCs w:val="19"/>
          </w:rPr>
          <w:t xml:space="preserve">https://doi.org/10.1007/PL00000268</w:t>
        </w:r>
      </w:hyperlink>
    </w:p>
    <w:p>
      <w:pPr>
        <w:pStyle w:val="ListParagraph"/>
        <w:numPr>
          <w:ilvl w:val="0"/>
          <w:numId w:val="2"/>
        </w:numPr>
        <w:spacing w:after="40"/>
      </w:pPr>
      <w:r>
        <w:rPr>
          <w:rFonts w:ascii="Arial" w:cs="Arial" w:eastAsia="Arial" w:hAnsi="Arial"/>
          <w:b/>
          <w:bCs/>
          <w:sz w:val="19"/>
          <w:szCs w:val="19"/>
        </w:rPr>
        <w:t xml:space="preserve">PubMed: </w:t>
      </w:r>
      <w:hyperlink w:history="1" r:id="rIdt55iexgztygfseiqn3otp">
        <w:r>
          <w:rPr>
            <w:rStyle w:val="Hyperlink"/>
            <w:rFonts w:ascii="Arial" w:cs="Arial" w:eastAsia="Arial" w:hAnsi="Arial"/>
            <w:sz w:val="19"/>
            <w:szCs w:val="19"/>
          </w:rPr>
          <w:t xml:space="preserve">https://pubmed.ncbi.nlm.nih.gov/11603848/</w:t>
        </w:r>
      </w:hyperlink>
    </w:p>
    <w:p>
      <w:pPr>
        <w:pStyle w:val="Heading3"/>
      </w:pPr>
      <w:r>
        <w:t xml:space="preserve">Estudio 2: Revisión + estudios propios.</w:t>
      </w:r>
    </w:p>
    <w:p>
      <w:pPr>
        <w:spacing w:after="100" w:line="276"/>
      </w:pPr>
      <w:r>
        <w:rPr>
          <w:rFonts w:ascii="Arial" w:cs="Arial" w:eastAsia="Arial" w:hAnsi="Arial"/>
          <w:sz w:val="20"/>
          <w:szCs w:val="20"/>
        </w:rPr>
        <w:t xml:space="preserve">Quién lo probó (cita): Keplinger K, Laus G, Wurm M, Dierich MP, Teppner H. (1999). </w:t>
      </w:r>
      <w:r>
        <w:rPr>
          <w:rFonts w:ascii="Arial" w:cs="Arial" w:eastAsia="Arial" w:hAnsi="Arial"/>
          <w:i/>
          <w:iCs/>
          <w:sz w:val="20"/>
          <w:szCs w:val="20"/>
        </w:rPr>
        <w:t xml:space="preserve">Uncaria tomentosa</w:t>
      </w:r>
      <w:r>
        <w:rPr>
          <w:rFonts w:ascii="Arial" w:cs="Arial" w:eastAsia="Arial" w:hAnsi="Arial"/>
          <w:sz w:val="20"/>
          <w:szCs w:val="20"/>
        </w:rPr>
        <w:t xml:space="preserve"> (Willd.) DC. — ethnomedicinal use and new pharmacological, toxicological and botanical results. </w:t>
      </w:r>
      <w:r>
        <w:rPr>
          <w:rFonts w:ascii="Arial" w:cs="Arial" w:eastAsia="Arial" w:hAnsi="Arial"/>
          <w:i/>
          <w:iCs/>
          <w:sz w:val="20"/>
          <w:szCs w:val="20"/>
        </w:rPr>
        <w:t xml:space="preserve">Journal of Ethnopharmacology</w:t>
      </w:r>
      <w:r>
        <w:rPr>
          <w:rFonts w:ascii="Arial" w:cs="Arial" w:eastAsia="Arial" w:hAnsi="Arial"/>
          <w:sz w:val="20"/>
          <w:szCs w:val="20"/>
        </w:rPr>
        <w:t xml:space="preserve">, 64(1), 23-34.</w:t>
      </w:r>
    </w:p>
    <w:p>
      <w:pPr>
        <w:pStyle w:val="ListParagraph"/>
        <w:numPr>
          <w:ilvl w:val="0"/>
          <w:numId w:val="2"/>
        </w:numPr>
        <w:spacing w:after="60"/>
      </w:pPr>
      <w:r>
        <w:rPr>
          <w:rFonts w:ascii="Arial" w:cs="Arial" w:eastAsia="Arial" w:hAnsi="Arial"/>
          <w:sz w:val="21"/>
          <w:szCs w:val="21"/>
        </w:rPr>
        <w:t xml:space="preserve">Alcaloides oxindólicos pentacíclicos con efecto inmunomodulador; actividad antiproliferativa en células leucémicas en laboratorio.</w:t>
      </w:r>
    </w:p>
    <w:p>
      <w:pPr>
        <w:pStyle w:val="ListParagraph"/>
        <w:numPr>
          <w:ilvl w:val="0"/>
          <w:numId w:val="2"/>
        </w:numPr>
        <w:spacing w:after="60"/>
      </w:pPr>
      <w:r>
        <w:rPr>
          <w:rFonts w:ascii="Arial" w:cs="Arial" w:eastAsia="Arial" w:hAnsi="Arial"/>
          <w:sz w:val="21"/>
          <w:szCs w:val="21"/>
        </w:rPr>
        <w:t xml:space="preserve">Advierte que existen dos quimiotipos distintos de la planta, algo que la industria suele ignorar.</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hxhwkjtple3btmuxv57lb">
        <w:r>
          <w:rPr>
            <w:rStyle w:val="Hyperlink"/>
            <w:rFonts w:ascii="Arial" w:cs="Arial" w:eastAsia="Arial" w:hAnsi="Arial"/>
            <w:sz w:val="19"/>
            <w:szCs w:val="19"/>
          </w:rPr>
          <w:t xml:space="preserve">https://doi.org/10.1016/S0378-8741(98)00096-8</w:t>
        </w:r>
      </w:hyperlink>
    </w:p>
    <w:p>
      <w:pPr>
        <w:pStyle w:val="ListParagraph"/>
        <w:numPr>
          <w:ilvl w:val="0"/>
          <w:numId w:val="2"/>
        </w:numPr>
        <w:spacing w:after="40"/>
      </w:pPr>
      <w:r>
        <w:rPr>
          <w:rFonts w:ascii="Arial" w:cs="Arial" w:eastAsia="Arial" w:hAnsi="Arial"/>
          <w:b/>
          <w:bCs/>
          <w:sz w:val="19"/>
          <w:szCs w:val="19"/>
        </w:rPr>
        <w:t xml:space="preserve">PubMed: </w:t>
      </w:r>
      <w:hyperlink w:history="1" r:id="rIdqflzcuu9jjifubqazgsgs">
        <w:r>
          <w:rPr>
            <w:rStyle w:val="Hyperlink"/>
            <w:rFonts w:ascii="Arial" w:cs="Arial" w:eastAsia="Arial" w:hAnsi="Arial"/>
            <w:sz w:val="19"/>
            <w:szCs w:val="19"/>
          </w:rPr>
          <w:t xml:space="preserve">https://pubmed.ncbi.nlm.nih.gov/10075119/</w:t>
        </w:r>
      </w:hyperlink>
    </w:p>
    <w:p>
      <w:pPr>
        <w:pStyle w:val="Heading2"/>
      </w:pPr>
      <w:r>
        <w:rPr>
          <w:rFonts w:ascii="Arial" w:cs="Arial" w:eastAsia="Arial" w:hAnsi="Arial"/>
          <w:sz w:val="21"/>
          <w:szCs w:val="21"/>
        </w:rPr>
        <w:t xml:space="preserve">Chanca piedra — </w:t>
      </w:r>
      <w:r>
        <w:rPr>
          <w:rFonts w:ascii="Arial" w:cs="Arial" w:eastAsia="Arial" w:hAnsi="Arial"/>
          <w:i/>
          <w:iCs/>
          <w:sz w:val="21"/>
          <w:szCs w:val="21"/>
        </w:rPr>
        <w:t xml:space="preserve">Phyllanthus niruri</w:t>
      </w:r>
      <w:r>
        <w:rPr>
          <w:rFonts w:ascii="Arial" w:cs="Arial" w:eastAsia="Arial" w:hAnsi="Arial"/>
          <w:sz w:val="21"/>
          <w:szCs w:val="21"/>
        </w:rPr>
        <w:t xml:space="preserve"> L. (Phyllanthaceae)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Parte medicinal</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Planta entera (partes aéreas), en cápsulas de extracto.</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Nivel de evidencia</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Humanos – ensayo aleatorizado con placebo.</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Precaución</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El efecto demostrado es metabólico (baja el calcio urinario), no que "rompa" piedras ya formadas.</w:t>
            </w:r>
          </w:p>
        </w:tc>
      </w:tr>
    </w:tbl>
    <w:p>
      <w:pPr>
        <w:pStyle w:val="Heading3"/>
      </w:pPr>
      <w:r>
        <w:t xml:space="preserve">Estudio 1: Ensayo aleatorizado con placebo: 69 pacientes con cálculos de calcio, 3 meses.</w:t>
      </w:r>
    </w:p>
    <w:p>
      <w:pPr>
        <w:spacing w:after="100" w:line="276"/>
      </w:pPr>
      <w:r>
        <w:rPr>
          <w:rFonts w:ascii="Arial" w:cs="Arial" w:eastAsia="Arial" w:hAnsi="Arial"/>
          <w:sz w:val="20"/>
          <w:szCs w:val="20"/>
        </w:rPr>
        <w:t xml:space="preserve">Quién lo probó (cita): Nishiura JL, Campos AH, Boim MA, Heilberg IP, Schor N. (2004). </w:t>
      </w:r>
      <w:r>
        <w:rPr>
          <w:rFonts w:ascii="Arial" w:cs="Arial" w:eastAsia="Arial" w:hAnsi="Arial"/>
          <w:i/>
          <w:iCs/>
          <w:sz w:val="20"/>
          <w:szCs w:val="20"/>
        </w:rPr>
        <w:t xml:space="preserve">Phyllanthus niruri</w:t>
      </w:r>
      <w:r>
        <w:rPr>
          <w:rFonts w:ascii="Arial" w:cs="Arial" w:eastAsia="Arial" w:hAnsi="Arial"/>
          <w:sz w:val="20"/>
          <w:szCs w:val="20"/>
        </w:rPr>
        <w:t xml:space="preserve"> normalizes elevated urinary calcium levels in calcium stone forming (CSF) patients. </w:t>
      </w:r>
      <w:r>
        <w:rPr>
          <w:rFonts w:ascii="Arial" w:cs="Arial" w:eastAsia="Arial" w:hAnsi="Arial"/>
          <w:i/>
          <w:iCs/>
          <w:sz w:val="20"/>
          <w:szCs w:val="20"/>
        </w:rPr>
        <w:t xml:space="preserve">Urological Research</w:t>
      </w:r>
      <w:r>
        <w:rPr>
          <w:rFonts w:ascii="Arial" w:cs="Arial" w:eastAsia="Arial" w:hAnsi="Arial"/>
          <w:sz w:val="20"/>
          <w:szCs w:val="20"/>
        </w:rPr>
        <w:t xml:space="preserve">, 32, 362-366. (Universidad Federal de São Paulo)</w:t>
      </w:r>
    </w:p>
    <w:p>
      <w:pPr>
        <w:pStyle w:val="ListParagraph"/>
        <w:numPr>
          <w:ilvl w:val="0"/>
          <w:numId w:val="2"/>
        </w:numPr>
        <w:spacing w:after="60"/>
      </w:pPr>
      <w:r>
        <w:rPr>
          <w:rFonts w:ascii="Arial" w:cs="Arial" w:eastAsia="Arial" w:hAnsi="Arial"/>
          <w:sz w:val="21"/>
          <w:szCs w:val="21"/>
        </w:rPr>
        <w:t xml:space="preserve">Dosis: 450 mg 3 veces al día.</w:t>
      </w:r>
    </w:p>
    <w:p>
      <w:pPr>
        <w:pStyle w:val="ListParagraph"/>
        <w:numPr>
          <w:ilvl w:val="0"/>
          <w:numId w:val="2"/>
        </w:numPr>
        <w:spacing w:after="60"/>
      </w:pPr>
      <w:r>
        <w:rPr>
          <w:rFonts w:ascii="Arial" w:cs="Arial" w:eastAsia="Arial" w:hAnsi="Arial"/>
          <w:sz w:val="21"/>
          <w:szCs w:val="21"/>
        </w:rPr>
        <w:t xml:space="preserve">En pacientes con calcio alto en orina lo redujo de 4,8 a 3,4 mg/kg/24 h (p&lt;0,05).</w:t>
      </w:r>
    </w:p>
    <w:p>
      <w:pPr>
        <w:pStyle w:val="ListParagraph"/>
        <w:numPr>
          <w:ilvl w:val="0"/>
          <w:numId w:val="2"/>
        </w:numPr>
        <w:spacing w:after="60"/>
      </w:pPr>
      <w:r>
        <w:rPr>
          <w:rFonts w:ascii="Arial" w:cs="Arial" w:eastAsia="Arial" w:hAnsi="Arial"/>
          <w:sz w:val="21"/>
          <w:szCs w:val="21"/>
        </w:rPr>
        <w:t xml:space="preserve">NO hubo diferencia en la expulsión de cálculos ni en el alivio del dolor frente a placebo.</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fqj93-gxavlzm61-rlizu">
        <w:r>
          <w:rPr>
            <w:rStyle w:val="Hyperlink"/>
            <w:rFonts w:ascii="Arial" w:cs="Arial" w:eastAsia="Arial" w:hAnsi="Arial"/>
            <w:sz w:val="19"/>
            <w:szCs w:val="19"/>
          </w:rPr>
          <w:t xml:space="preserve">https://doi.org/10.1007/s00240-004-0432-8</w:t>
        </w:r>
      </w:hyperlink>
    </w:p>
    <w:p>
      <w:pPr>
        <w:pStyle w:val="ListParagraph"/>
        <w:numPr>
          <w:ilvl w:val="0"/>
          <w:numId w:val="2"/>
        </w:numPr>
        <w:spacing w:after="40"/>
      </w:pPr>
      <w:r>
        <w:rPr>
          <w:rFonts w:ascii="Arial" w:cs="Arial" w:eastAsia="Arial" w:hAnsi="Arial"/>
          <w:b/>
          <w:bCs/>
          <w:sz w:val="19"/>
          <w:szCs w:val="19"/>
        </w:rPr>
        <w:t xml:space="preserve">PubMed: </w:t>
      </w:r>
      <w:hyperlink w:history="1" r:id="rIdr2hejljhjkfonxnuijvci">
        <w:r>
          <w:rPr>
            <w:rStyle w:val="Hyperlink"/>
            <w:rFonts w:ascii="Arial" w:cs="Arial" w:eastAsia="Arial" w:hAnsi="Arial"/>
            <w:sz w:val="19"/>
            <w:szCs w:val="19"/>
          </w:rPr>
          <w:t xml:space="preserve">https://pubmed.ncbi.nlm.nih.gov/15221244/</w:t>
        </w:r>
      </w:hyperlink>
    </w:p>
    <w:p>
      <w:pPr>
        <w:pStyle w:val="Heading2"/>
      </w:pPr>
      <w:r>
        <w:rPr>
          <w:rFonts w:ascii="Arial" w:cs="Arial" w:eastAsia="Arial" w:hAnsi="Arial"/>
          <w:sz w:val="21"/>
          <w:szCs w:val="21"/>
        </w:rPr>
        <w:t xml:space="preserve">Camu camu — </w:t>
      </w:r>
      <w:r>
        <w:rPr>
          <w:rFonts w:ascii="Arial" w:cs="Arial" w:eastAsia="Arial" w:hAnsi="Arial"/>
          <w:i/>
          <w:iCs/>
          <w:sz w:val="21"/>
          <w:szCs w:val="21"/>
        </w:rPr>
        <w:t xml:space="preserve">Myrciaria dubia</w:t>
      </w:r>
      <w:r>
        <w:rPr>
          <w:rFonts w:ascii="Arial" w:cs="Arial" w:eastAsia="Arial" w:hAnsi="Arial"/>
          <w:sz w:val="21"/>
          <w:szCs w:val="21"/>
        </w:rPr>
        <w:t xml:space="preserve"> (Kunth) McVaugh (Myrtaceae)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Parte medicinal</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Fruto (jugo), uno de los más ricos en vitamina C del mundo.</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Nivel de evidencia</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Humanos – ensayo pequeño (20 personas).</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Precaución</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Seguridad en embarazo y lactancia no establecida.</w:t>
            </w:r>
          </w:p>
        </w:tc>
      </w:tr>
    </w:tbl>
    <w:p>
      <w:pPr>
        <w:pStyle w:val="Heading3"/>
      </w:pPr>
      <w:r>
        <w:t xml:space="preserve">Estudio 1: Estudio aleatorizado en 20 hombres fumadores, 7 días.</w:t>
      </w:r>
    </w:p>
    <w:p>
      <w:pPr>
        <w:spacing w:after="100" w:line="276"/>
      </w:pPr>
      <w:r>
        <w:rPr>
          <w:rFonts w:ascii="Arial" w:cs="Arial" w:eastAsia="Arial" w:hAnsi="Arial"/>
          <w:sz w:val="20"/>
          <w:szCs w:val="20"/>
        </w:rPr>
        <w:t xml:space="preserve">Quién lo probó (cita): Inoue T, Komoda H, Uchida T, Node K. (2008). Tropical fruit camu-camu (</w:t>
      </w:r>
      <w:r>
        <w:rPr>
          <w:rFonts w:ascii="Arial" w:cs="Arial" w:eastAsia="Arial" w:hAnsi="Arial"/>
          <w:i/>
          <w:iCs/>
          <w:sz w:val="20"/>
          <w:szCs w:val="20"/>
        </w:rPr>
        <w:t xml:space="preserve">Myrciaria dubia</w:t>
      </w:r>
      <w:r>
        <w:rPr>
          <w:rFonts w:ascii="Arial" w:cs="Arial" w:eastAsia="Arial" w:hAnsi="Arial"/>
          <w:sz w:val="20"/>
          <w:szCs w:val="20"/>
        </w:rPr>
        <w:t xml:space="preserve">) has anti-oxidative and anti-inflammatory properties. </w:t>
      </w:r>
      <w:r>
        <w:rPr>
          <w:rFonts w:ascii="Arial" w:cs="Arial" w:eastAsia="Arial" w:hAnsi="Arial"/>
          <w:i/>
          <w:iCs/>
          <w:sz w:val="20"/>
          <w:szCs w:val="20"/>
        </w:rPr>
        <w:t xml:space="preserve">Journal of Cardiology</w:t>
      </w:r>
      <w:r>
        <w:rPr>
          <w:rFonts w:ascii="Arial" w:cs="Arial" w:eastAsia="Arial" w:hAnsi="Arial"/>
          <w:sz w:val="20"/>
          <w:szCs w:val="20"/>
        </w:rPr>
        <w:t xml:space="preserve">, 52(2), 127-132. (Saga University, Japón)</w:t>
      </w:r>
    </w:p>
    <w:p>
      <w:pPr>
        <w:pStyle w:val="ListParagraph"/>
        <w:numPr>
          <w:ilvl w:val="0"/>
          <w:numId w:val="2"/>
        </w:numPr>
        <w:spacing w:after="60"/>
      </w:pPr>
      <w:r>
        <w:rPr>
          <w:rFonts w:ascii="Arial" w:cs="Arial" w:eastAsia="Arial" w:hAnsi="Arial"/>
          <w:sz w:val="21"/>
          <w:szCs w:val="21"/>
        </w:rPr>
        <w:t xml:space="preserve">70 mL diarios de jugo 100 % de camu camu (1050 mg de vitamina C) vs tabletas con la misma vitamina C.</w:t>
      </w:r>
    </w:p>
    <w:p>
      <w:pPr>
        <w:pStyle w:val="ListParagraph"/>
        <w:numPr>
          <w:ilvl w:val="0"/>
          <w:numId w:val="2"/>
        </w:numPr>
        <w:spacing w:after="60"/>
      </w:pPr>
      <w:r>
        <w:rPr>
          <w:rFonts w:ascii="Arial" w:cs="Arial" w:eastAsia="Arial" w:hAnsi="Arial"/>
          <w:sz w:val="21"/>
          <w:szCs w:val="21"/>
        </w:rPr>
        <w:t xml:space="preserve">Con camu camu bajaron marcadores de estrés oxidativo (8-OHdG, especies reactivas de oxígeno) e inflamación (PCR ultrasensible, IL-6, IL-8).</w:t>
      </w:r>
    </w:p>
    <w:p>
      <w:pPr>
        <w:pStyle w:val="ListParagraph"/>
        <w:numPr>
          <w:ilvl w:val="0"/>
          <w:numId w:val="2"/>
        </w:numPr>
        <w:spacing w:after="60"/>
      </w:pPr>
      <w:r>
        <w:rPr>
          <w:rFonts w:ascii="Arial" w:cs="Arial" w:eastAsia="Arial" w:hAnsi="Arial"/>
          <w:sz w:val="21"/>
          <w:szCs w:val="21"/>
        </w:rPr>
        <w:t xml:space="preserve">Con las tabletas de vitamina C no hubo cambios: el efecto se atribuye a otros compuestos del fruto.</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ffwyl9pmku-ygikz13r3b">
        <w:r>
          <w:rPr>
            <w:rStyle w:val="Hyperlink"/>
            <w:rFonts w:ascii="Arial" w:cs="Arial" w:eastAsia="Arial" w:hAnsi="Arial"/>
            <w:sz w:val="19"/>
            <w:szCs w:val="19"/>
          </w:rPr>
          <w:t xml:space="preserve">https://doi.org/10.1016/j.jjcc.2008.06.004</w:t>
        </w:r>
      </w:hyperlink>
    </w:p>
    <w:p>
      <w:pPr>
        <w:pStyle w:val="ListParagraph"/>
        <w:numPr>
          <w:ilvl w:val="0"/>
          <w:numId w:val="2"/>
        </w:numPr>
        <w:spacing w:after="40"/>
      </w:pPr>
      <w:r>
        <w:rPr>
          <w:rFonts w:ascii="Arial" w:cs="Arial" w:eastAsia="Arial" w:hAnsi="Arial"/>
          <w:b/>
          <w:bCs/>
          <w:sz w:val="19"/>
          <w:szCs w:val="19"/>
        </w:rPr>
        <w:t xml:space="preserve">PubMed: </w:t>
      </w:r>
      <w:hyperlink w:history="1" r:id="rIdarwcpoitojo9gmb0fbrzt">
        <w:r>
          <w:rPr>
            <w:rStyle w:val="Hyperlink"/>
            <w:rFonts w:ascii="Arial" w:cs="Arial" w:eastAsia="Arial" w:hAnsi="Arial"/>
            <w:sz w:val="19"/>
            <w:szCs w:val="19"/>
          </w:rPr>
          <w:t xml:space="preserve">https://pubmed.ncbi.nlm.nih.gov/18922386/</w:t>
        </w:r>
      </w:hyperlink>
    </w:p>
    <w:p>
      <w:pPr>
        <w:pStyle w:val="Heading2"/>
      </w:pPr>
      <w:r>
        <w:rPr>
          <w:rFonts w:ascii="Arial" w:cs="Arial" w:eastAsia="Arial" w:hAnsi="Arial"/>
          <w:sz w:val="21"/>
          <w:szCs w:val="21"/>
        </w:rPr>
        <w:t xml:space="preserve">Sacha inchi — </w:t>
      </w:r>
      <w:r>
        <w:rPr>
          <w:rFonts w:ascii="Arial" w:cs="Arial" w:eastAsia="Arial" w:hAnsi="Arial"/>
          <w:i/>
          <w:iCs/>
          <w:sz w:val="21"/>
          <w:szCs w:val="21"/>
        </w:rPr>
        <w:t xml:space="preserve">Plukenetia volubilis</w:t>
      </w:r>
      <w:r>
        <w:rPr>
          <w:rFonts w:ascii="Arial" w:cs="Arial" w:eastAsia="Arial" w:hAnsi="Arial"/>
          <w:sz w:val="21"/>
          <w:szCs w:val="21"/>
        </w:rPr>
        <w:t xml:space="preserve"> L. (Euphorbiaceae)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Parte medicinal</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Semilla → aceite (rico en omega-3).</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Nivel de evidencia</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Humanos – ensayo pequeño peruano.</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Precaución</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No comer semillas crudas.</w:t>
            </w:r>
          </w:p>
        </w:tc>
      </w:tr>
    </w:tbl>
    <w:p>
      <w:pPr>
        <w:pStyle w:val="Heading3"/>
      </w:pPr>
      <w:r>
        <w:t xml:space="preserve">Estudio 1: Estudio en 24 pacientes de 35 a 75 años con colesterol alto, 4 meses.</w:t>
      </w:r>
    </w:p>
    <w:p>
      <w:pPr>
        <w:spacing w:after="100" w:line="276"/>
      </w:pPr>
      <w:r>
        <w:rPr>
          <w:rFonts w:ascii="Arial" w:cs="Arial" w:eastAsia="Arial" w:hAnsi="Arial"/>
          <w:sz w:val="20"/>
          <w:szCs w:val="20"/>
        </w:rPr>
        <w:t xml:space="preserve">Quién lo probó (cita): Garmendia F, Pando R, Ronceros G. (2011). Efecto del aceite de sacha inchi (</w:t>
      </w:r>
      <w:r>
        <w:rPr>
          <w:rFonts w:ascii="Arial" w:cs="Arial" w:eastAsia="Arial" w:hAnsi="Arial"/>
          <w:i/>
          <w:iCs/>
          <w:sz w:val="20"/>
          <w:szCs w:val="20"/>
        </w:rPr>
        <w:t xml:space="preserve">Plukenetia volubilis</w:t>
      </w:r>
      <w:r>
        <w:rPr>
          <w:rFonts w:ascii="Arial" w:cs="Arial" w:eastAsia="Arial" w:hAnsi="Arial"/>
          <w:sz w:val="20"/>
          <w:szCs w:val="20"/>
        </w:rPr>
        <w:t xml:space="preserve"> L.) sobre el perfil lipídico en pacientes con hiperlipoproteinemia. </w:t>
      </w:r>
      <w:r>
        <w:rPr>
          <w:rFonts w:ascii="Arial" w:cs="Arial" w:eastAsia="Arial" w:hAnsi="Arial"/>
          <w:i/>
          <w:iCs/>
          <w:sz w:val="20"/>
          <w:szCs w:val="20"/>
        </w:rPr>
        <w:t xml:space="preserve">Revista Peruana de Medicina Experimental y Salud Pública</w:t>
      </w:r>
      <w:r>
        <w:rPr>
          <w:rFonts w:ascii="Arial" w:cs="Arial" w:eastAsia="Arial" w:hAnsi="Arial"/>
          <w:sz w:val="20"/>
          <w:szCs w:val="20"/>
        </w:rPr>
        <w:t xml:space="preserve">, 28(4), 628-632. (UNMSM, Lima)</w:t>
      </w:r>
    </w:p>
    <w:p>
      <w:pPr>
        <w:pStyle w:val="ListParagraph"/>
        <w:numPr>
          <w:ilvl w:val="0"/>
          <w:numId w:val="2"/>
        </w:numPr>
        <w:spacing w:after="60"/>
      </w:pPr>
      <w:r>
        <w:rPr>
          <w:rFonts w:ascii="Arial" w:cs="Arial" w:eastAsia="Arial" w:hAnsi="Arial"/>
          <w:sz w:val="21"/>
          <w:szCs w:val="21"/>
        </w:rPr>
        <w:t xml:space="preserve">Dos grupos al azar: 5 mL o 10 mL de aceite al día.</w:t>
      </w:r>
    </w:p>
    <w:p>
      <w:pPr>
        <w:pStyle w:val="ListParagraph"/>
        <w:numPr>
          <w:ilvl w:val="0"/>
          <w:numId w:val="2"/>
        </w:numPr>
        <w:spacing w:after="60"/>
      </w:pPr>
      <w:r>
        <w:rPr>
          <w:rFonts w:ascii="Arial" w:cs="Arial" w:eastAsia="Arial" w:hAnsi="Arial"/>
          <w:sz w:val="21"/>
          <w:szCs w:val="21"/>
        </w:rPr>
        <w:t xml:space="preserve">Bajaron el colesterol total y los ácidos grasos libres y subió el HDL (colesterol "bueno") en ambos grupos.</w:t>
      </w:r>
    </w:p>
    <w:p>
      <w:pPr>
        <w:pStyle w:val="ListParagraph"/>
        <w:numPr>
          <w:ilvl w:val="0"/>
          <w:numId w:val="2"/>
        </w:numPr>
        <w:spacing w:after="60"/>
      </w:pPr>
      <w:r>
        <w:rPr>
          <w:rFonts w:ascii="Arial" w:cs="Arial" w:eastAsia="Arial" w:hAnsi="Arial"/>
          <w:sz w:val="21"/>
          <w:szCs w:val="21"/>
        </w:rPr>
        <w:t xml:space="preserve">Con 10 mL subió la insulina; los autores piden ensayos más grandes.</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SciELO Perú: </w:t>
      </w:r>
      <w:hyperlink w:history="1" r:id="rIdcbcgk9yjthoufvcotbats">
        <w:r>
          <w:rPr>
            <w:rStyle w:val="Hyperlink"/>
            <w:rFonts w:ascii="Arial" w:cs="Arial" w:eastAsia="Arial" w:hAnsi="Arial"/>
            <w:sz w:val="19"/>
            <w:szCs w:val="19"/>
          </w:rPr>
          <w:t xml:space="preserve">http://www.scielo.org.pe/scielo.php?pid=S1726-46342011000400009&amp;script=sci_abstract</w:t>
        </w:r>
      </w:hyperlink>
    </w:p>
    <w:p>
      <w:pPr>
        <w:pStyle w:val="ListParagraph"/>
        <w:numPr>
          <w:ilvl w:val="0"/>
          <w:numId w:val="2"/>
        </w:numPr>
        <w:spacing w:after="40"/>
      </w:pPr>
      <w:r>
        <w:rPr>
          <w:rFonts w:ascii="Arial" w:cs="Arial" w:eastAsia="Arial" w:hAnsi="Arial"/>
          <w:b/>
          <w:bCs/>
          <w:sz w:val="19"/>
          <w:szCs w:val="19"/>
        </w:rPr>
        <w:t xml:space="preserve">Redalyc (resumen): </w:t>
      </w:r>
      <w:hyperlink w:history="1" r:id="rIdehoaxsky76zwyfbyzphks">
        <w:r>
          <w:rPr>
            <w:rStyle w:val="Hyperlink"/>
            <w:rFonts w:ascii="Arial" w:cs="Arial" w:eastAsia="Arial" w:hAnsi="Arial"/>
            <w:sz w:val="19"/>
            <w:szCs w:val="19"/>
          </w:rPr>
          <w:t xml:space="preserve">https://www.redalyc.org/pdf/363/Resumenes/Resumen_36322411009_1.pdf</w:t>
        </w:r>
      </w:hyperlink>
    </w:p>
    <w:p>
      <w:pPr>
        <w:pStyle w:val="Heading3"/>
      </w:pPr>
      <w:r>
        <w:t xml:space="preserve">Estudio 2: Revisión.</w:t>
      </w:r>
    </w:p>
    <w:p>
      <w:pPr>
        <w:spacing w:after="100" w:line="276"/>
      </w:pPr>
      <w:r>
        <w:rPr>
          <w:rFonts w:ascii="Arial" w:cs="Arial" w:eastAsia="Arial" w:hAnsi="Arial"/>
          <w:sz w:val="20"/>
          <w:szCs w:val="20"/>
        </w:rPr>
        <w:t xml:space="preserve">Quién lo probó (cita): Rodzi NARM, Lee LK. (2022). Sacha Inchi (</w:t>
      </w:r>
      <w:r>
        <w:rPr>
          <w:rFonts w:ascii="Arial" w:cs="Arial" w:eastAsia="Arial" w:hAnsi="Arial"/>
          <w:i/>
          <w:iCs/>
          <w:sz w:val="20"/>
          <w:szCs w:val="20"/>
        </w:rPr>
        <w:t xml:space="preserve">Plukenetia volubilis</w:t>
      </w:r>
      <w:r>
        <w:rPr>
          <w:rFonts w:ascii="Arial" w:cs="Arial" w:eastAsia="Arial" w:hAnsi="Arial"/>
          <w:sz w:val="20"/>
          <w:szCs w:val="20"/>
        </w:rPr>
        <w:t xml:space="preserve"> L.): recent insight on phytochemistry, pharmacology, organoleptic, safety and toxicity perspectives. </w:t>
      </w:r>
      <w:r>
        <w:rPr>
          <w:rFonts w:ascii="Arial" w:cs="Arial" w:eastAsia="Arial" w:hAnsi="Arial"/>
          <w:i/>
          <w:iCs/>
          <w:sz w:val="20"/>
          <w:szCs w:val="20"/>
        </w:rPr>
        <w:t xml:space="preserve">Heliyon</w:t>
      </w:r>
      <w:r>
        <w:rPr>
          <w:rFonts w:ascii="Arial" w:cs="Arial" w:eastAsia="Arial" w:hAnsi="Arial"/>
          <w:sz w:val="20"/>
          <w:szCs w:val="20"/>
        </w:rPr>
        <w:t xml:space="preserve">, 8(9), e10572.</w:t>
      </w:r>
    </w:p>
    <w:p>
      <w:pPr>
        <w:pStyle w:val="ListParagraph"/>
        <w:numPr>
          <w:ilvl w:val="0"/>
          <w:numId w:val="2"/>
        </w:numPr>
        <w:spacing w:after="60"/>
      </w:pPr>
      <w:r>
        <w:rPr>
          <w:rFonts w:ascii="Arial" w:cs="Arial" w:eastAsia="Arial" w:hAnsi="Arial"/>
          <w:sz w:val="21"/>
          <w:szCs w:val="21"/>
        </w:rPr>
        <w:t xml:space="preserve">Confirma en ensayos humanos mejoras en colesterol, triglicéridos y LDL.</w:t>
      </w:r>
    </w:p>
    <w:p>
      <w:pPr>
        <w:pStyle w:val="ListParagraph"/>
        <w:numPr>
          <w:ilvl w:val="0"/>
          <w:numId w:val="2"/>
        </w:numPr>
        <w:spacing w:after="60"/>
      </w:pPr>
      <w:r>
        <w:rPr>
          <w:rFonts w:ascii="Arial" w:cs="Arial" w:eastAsia="Arial" w:hAnsi="Arial"/>
          <w:sz w:val="21"/>
          <w:szCs w:val="21"/>
        </w:rPr>
        <w:t xml:space="preserve">Las semillas CRUDAS tienen toxicidad (alcaloides, lectinas, saponinas) que se reduce al tostarlas.</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hzq6oesspmmrccl-1xhpn">
        <w:r>
          <w:rPr>
            <w:rStyle w:val="Hyperlink"/>
            <w:rFonts w:ascii="Arial" w:cs="Arial" w:eastAsia="Arial" w:hAnsi="Arial"/>
            <w:sz w:val="19"/>
            <w:szCs w:val="19"/>
          </w:rPr>
          <w:t xml:space="preserve">https://doi.org/10.1016/j.heliyon.2022.e10572</w:t>
        </w:r>
      </w:hyperlink>
    </w:p>
    <w:p>
      <w:pPr>
        <w:pStyle w:val="Heading2"/>
      </w:pPr>
      <w:r>
        <w:rPr>
          <w:rFonts w:ascii="Arial" w:cs="Arial" w:eastAsia="Arial" w:hAnsi="Arial"/>
          <w:sz w:val="21"/>
          <w:szCs w:val="21"/>
        </w:rPr>
        <w:t xml:space="preserve">Chuchuhuasi (poco conocida) — </w:t>
      </w:r>
      <w:r>
        <w:rPr>
          <w:rFonts w:ascii="Arial" w:cs="Arial" w:eastAsia="Arial" w:hAnsi="Arial"/>
          <w:i/>
          <w:iCs/>
          <w:sz w:val="21"/>
          <w:szCs w:val="21"/>
        </w:rPr>
        <w:t xml:space="preserve">Maytenus macrocarpa</w:t>
      </w:r>
      <w:r>
        <w:rPr>
          <w:rFonts w:ascii="Arial" w:cs="Arial" w:eastAsia="Arial" w:hAnsi="Arial"/>
          <w:sz w:val="21"/>
          <w:szCs w:val="21"/>
        </w:rPr>
        <w:t xml:space="preserve"> (Ruiz &amp; Pav.) Briq. (Celastraceae)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Parte medicinal</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Hojas (en el estudio). Tradicionalmente se usa la corteza.</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Nivel de evidencia</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Preclínico (ratones), estudio peruano.</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Precaución</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Otro estudio peruano en ratones (2022) reportó menor fertilidad y calidad espermática: http://www.scielo.org.pe/scielo.php?pid=S2308-05312022000400725&amp;script=sci_arttext&amp;tlng=en</w:t>
            </w:r>
          </w:p>
        </w:tc>
      </w:tr>
    </w:tbl>
    <w:p>
      <w:pPr>
        <w:pStyle w:val="Heading3"/>
      </w:pPr>
      <w:r>
        <w:t xml:space="preserve">Estudio 1: Experimento doble ciego en 60 ratones BALB/c.</w:t>
      </w:r>
    </w:p>
    <w:p>
      <w:pPr>
        <w:spacing w:after="100" w:line="276"/>
      </w:pPr>
      <w:r>
        <w:rPr>
          <w:rFonts w:ascii="Arial" w:cs="Arial" w:eastAsia="Arial" w:hAnsi="Arial"/>
          <w:sz w:val="20"/>
          <w:szCs w:val="20"/>
        </w:rPr>
        <w:t xml:space="preserve">Quién lo probó (cita): Luján-Carpio E, Medina-Salazar H, Mayor-Vega A, Medrano-Canchari K, Mazuelos-Rivas M, Lizarraga-Castañeda Z, Pante-Medina C, Salazar-Granara A. (2019). Anti-Inflammatory and Neurobehavioral Effects of the Leaves from </w:t>
      </w:r>
      <w:r>
        <w:rPr>
          <w:rFonts w:ascii="Arial" w:cs="Arial" w:eastAsia="Arial" w:hAnsi="Arial"/>
          <w:i/>
          <w:iCs/>
          <w:sz w:val="20"/>
          <w:szCs w:val="20"/>
        </w:rPr>
        <w:t xml:space="preserve">Maytenus macrocarpa</w:t>
      </w:r>
      <w:r>
        <w:rPr>
          <w:rFonts w:ascii="Arial" w:cs="Arial" w:eastAsia="Arial" w:hAnsi="Arial"/>
          <w:sz w:val="20"/>
          <w:szCs w:val="20"/>
        </w:rPr>
        <w:t xml:space="preserve"> (Ruiz and Pavon) Briquet in Mice. </w:t>
      </w:r>
      <w:r>
        <w:rPr>
          <w:rFonts w:ascii="Arial" w:cs="Arial" w:eastAsia="Arial" w:hAnsi="Arial"/>
          <w:i/>
          <w:iCs/>
          <w:sz w:val="20"/>
          <w:szCs w:val="20"/>
        </w:rPr>
        <w:t xml:space="preserve">Pharmacognosy Journal</w:t>
      </w:r>
      <w:r>
        <w:rPr>
          <w:rFonts w:ascii="Arial" w:cs="Arial" w:eastAsia="Arial" w:hAnsi="Arial"/>
          <w:sz w:val="20"/>
          <w:szCs w:val="20"/>
        </w:rPr>
        <w:t xml:space="preserve">, 11(1), 75-80. (Universidad de San Martín de Porres)</w:t>
      </w:r>
    </w:p>
    <w:p>
      <w:pPr>
        <w:pStyle w:val="ListParagraph"/>
        <w:numPr>
          <w:ilvl w:val="0"/>
          <w:numId w:val="2"/>
        </w:numPr>
        <w:spacing w:after="60"/>
      </w:pPr>
      <w:r>
        <w:rPr>
          <w:rFonts w:ascii="Arial" w:cs="Arial" w:eastAsia="Arial" w:hAnsi="Arial"/>
          <w:sz w:val="21"/>
          <w:szCs w:val="21"/>
        </w:rPr>
        <w:t xml:space="preserve">Extracto etanólico de hojas entre 500 y 1500 mg/kg.</w:t>
      </w:r>
    </w:p>
    <w:p>
      <w:pPr>
        <w:pStyle w:val="ListParagraph"/>
        <w:numPr>
          <w:ilvl w:val="0"/>
          <w:numId w:val="2"/>
        </w:numPr>
        <w:spacing w:after="60"/>
      </w:pPr>
      <w:r>
        <w:rPr>
          <w:rFonts w:ascii="Arial" w:cs="Arial" w:eastAsia="Arial" w:hAnsi="Arial"/>
          <w:sz w:val="21"/>
          <w:szCs w:val="21"/>
        </w:rPr>
        <w:t xml:space="preserve">A 1250 mg/kg tuvo 74,14 % de efecto antiinflamatorio vs 58,62 % del diclofenaco.</w:t>
      </w:r>
    </w:p>
    <w:p>
      <w:pPr>
        <w:pStyle w:val="ListParagraph"/>
        <w:numPr>
          <w:ilvl w:val="0"/>
          <w:numId w:val="2"/>
        </w:numPr>
        <w:spacing w:after="60"/>
      </w:pPr>
      <w:r>
        <w:rPr>
          <w:rFonts w:ascii="Arial" w:cs="Arial" w:eastAsia="Arial" w:hAnsi="Arial"/>
          <w:sz w:val="21"/>
          <w:szCs w:val="21"/>
        </w:rPr>
        <w:t xml:space="preserve">Pero produjo efectos adversos neuroconductuales: excitación, marcha anormal, cólicos, piloerección.</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DOI: </w:t>
      </w:r>
      <w:hyperlink w:history="1" r:id="rIdoz0aacl7kwtpsumsoqut9">
        <w:r>
          <w:rPr>
            <w:rStyle w:val="Hyperlink"/>
            <w:rFonts w:ascii="Arial" w:cs="Arial" w:eastAsia="Arial" w:hAnsi="Arial"/>
            <w:sz w:val="19"/>
            <w:szCs w:val="19"/>
          </w:rPr>
          <w:t xml:space="preserve">https://doi.org/10.5530/pj.2019.1.14</w:t>
        </w:r>
      </w:hyperlink>
    </w:p>
    <w:p>
      <w:pPr>
        <w:pStyle w:val="ListParagraph"/>
        <w:numPr>
          <w:ilvl w:val="0"/>
          <w:numId w:val="2"/>
        </w:numPr>
        <w:spacing w:after="40"/>
      </w:pPr>
      <w:r>
        <w:rPr>
          <w:rFonts w:ascii="Arial" w:cs="Arial" w:eastAsia="Arial" w:hAnsi="Arial"/>
          <w:b/>
          <w:bCs/>
          <w:sz w:val="19"/>
          <w:szCs w:val="19"/>
        </w:rPr>
        <w:t xml:space="preserve">Pharmacognosy Journal: </w:t>
      </w:r>
      <w:hyperlink w:history="1" r:id="rIdbwz-vjxgrfpovvryo5rqv">
        <w:r>
          <w:rPr>
            <w:rStyle w:val="Hyperlink"/>
            <w:rFonts w:ascii="Arial" w:cs="Arial" w:eastAsia="Arial" w:hAnsi="Arial"/>
            <w:sz w:val="19"/>
            <w:szCs w:val="19"/>
          </w:rPr>
          <w:t xml:space="preserve">https://www.phcogj.com/article/782</w:t>
        </w:r>
      </w:hyperlink>
    </w:p>
    <w:p>
      <w:pPr>
        <w:pStyle w:val="Heading2"/>
      </w:pPr>
      <w:r>
        <w:rPr>
          <w:rFonts w:ascii="Arial" w:cs="Arial" w:eastAsia="Arial" w:hAnsi="Arial"/>
          <w:sz w:val="21"/>
          <w:szCs w:val="21"/>
        </w:rPr>
        <w:t xml:space="preserve">Jergón sacha (poco conocida) — </w:t>
      </w:r>
      <w:r>
        <w:rPr>
          <w:rFonts w:ascii="Arial" w:cs="Arial" w:eastAsia="Arial" w:hAnsi="Arial"/>
          <w:i/>
          <w:iCs/>
          <w:sz w:val="21"/>
          <w:szCs w:val="21"/>
        </w:rPr>
        <w:t xml:space="preserve">Dracontium loretense</w:t>
      </w:r>
      <w:r>
        <w:rPr>
          <w:rFonts w:ascii="Arial" w:cs="Arial" w:eastAsia="Arial" w:hAnsi="Arial"/>
          <w:sz w:val="21"/>
          <w:szCs w:val="21"/>
        </w:rPr>
        <w:t xml:space="preserve"> K. Krause (Araceae)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Parte medicinal</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Bulbo (tubérculo) seco.</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Nivel de evidencia</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Preclínico (ratones), Instituto Nacional de Salud del Perú.</w:t>
            </w:r>
          </w:p>
        </w:tc>
      </w:tr>
      <w:tr>
        <w:tc>
          <w:tcPr>
            <w:tcW w:type="dxa" w:w="2600"/>
            <w:tcBorders>
              <w:top w:val="single" w:color="BFD3C4" w:sz="4"/>
              <w:left w:val="single" w:color="BFD3C4" w:sz="4"/>
              <w:bottom w:val="single" w:color="BFD3C4" w:sz="4"/>
              <w:right w:val="single" w:color="BFD3C4" w:sz="4"/>
            </w:tcBorders>
            <w:shd w:fill="E8F1EA" w:color="auto" w:val="clear"/>
            <w:tcMar>
              <w:top w:type="dxa" w:w="70"/>
              <w:left w:type="dxa" w:w="110"/>
              <w:bottom w:type="dxa" w:w="70"/>
              <w:right w:type="dxa" w:w="110"/>
            </w:tcMar>
          </w:tcPr>
          <w:p>
            <w:r>
              <w:rPr>
                <w:rFonts w:ascii="Arial" w:cs="Arial" w:eastAsia="Arial" w:hAnsi="Arial"/>
                <w:b/>
                <w:bCs/>
                <w:color w:val="1E5631"/>
                <w:sz w:val="20"/>
                <w:szCs w:val="20"/>
              </w:rPr>
              <w:t xml:space="preserve">Precaución</w:t>
            </w:r>
          </w:p>
        </w:tc>
        <w:tc>
          <w:tcPr>
            <w:tcW w:type="dxa" w:w="6426"/>
            <w:tcBorders>
              <w:top w:val="single" w:color="BFD3C4" w:sz="4"/>
              <w:left w:val="single" w:color="BFD3C4" w:sz="4"/>
              <w:bottom w:val="single" w:color="BFD3C4" w:sz="4"/>
              <w:right w:val="single" w:color="BFD3C4" w:sz="4"/>
            </w:tcBorders>
            <w:tcMar>
              <w:top w:type="dxa" w:w="70"/>
              <w:left w:type="dxa" w:w="110"/>
              <w:bottom w:type="dxa" w:w="70"/>
              <w:right w:type="dxa" w:w="110"/>
            </w:tcMar>
          </w:tcPr>
          <w:p>
            <w:pPr>
              <w:spacing w:after="40"/>
            </w:pPr>
            <w:r>
              <w:rPr>
                <w:rFonts w:ascii="Arial" w:cs="Arial" w:eastAsia="Arial" w:hAnsi="Arial"/>
                <w:sz w:val="20"/>
                <w:szCs w:val="20"/>
              </w:rPr>
              <w:t xml:space="preserve">NO reemplaza al suero antiofídico. Ante una mordedura, ir de inmediato al centro de salud.</w:t>
            </w:r>
          </w:p>
        </w:tc>
      </w:tr>
    </w:tbl>
    <w:p>
      <w:pPr>
        <w:pStyle w:val="Heading3"/>
      </w:pPr>
      <w:r>
        <w:t xml:space="preserve">Estudio 1: Experimento en ratones.</w:t>
      </w:r>
    </w:p>
    <w:p>
      <w:pPr>
        <w:spacing w:after="100" w:line="276"/>
      </w:pPr>
      <w:r>
        <w:rPr>
          <w:rFonts w:ascii="Arial" w:cs="Arial" w:eastAsia="Arial" w:hAnsi="Arial"/>
          <w:sz w:val="20"/>
          <w:szCs w:val="20"/>
        </w:rPr>
        <w:t xml:space="preserve">Quién lo probó (cita): Lovera A, Bonilla C, Hidalgo J. (2006). Efecto neutralizador del extracto acuoso de </w:t>
      </w:r>
      <w:r>
        <w:rPr>
          <w:rFonts w:ascii="Arial" w:cs="Arial" w:eastAsia="Arial" w:hAnsi="Arial"/>
          <w:i/>
          <w:iCs/>
          <w:sz w:val="20"/>
          <w:szCs w:val="20"/>
        </w:rPr>
        <w:t xml:space="preserve">Dracontium loretense</w:t>
      </w:r>
      <w:r>
        <w:rPr>
          <w:rFonts w:ascii="Arial" w:cs="Arial" w:eastAsia="Arial" w:hAnsi="Arial"/>
          <w:sz w:val="20"/>
          <w:szCs w:val="20"/>
        </w:rPr>
        <w:t xml:space="preserve"> (jergón sacha) sobre la actividad letal del veneno de </w:t>
      </w:r>
      <w:r>
        <w:rPr>
          <w:rFonts w:ascii="Arial" w:cs="Arial" w:eastAsia="Arial" w:hAnsi="Arial"/>
          <w:i/>
          <w:iCs/>
          <w:sz w:val="20"/>
          <w:szCs w:val="20"/>
        </w:rPr>
        <w:t xml:space="preserve">Bothrops atrox</w:t>
      </w:r>
      <w:r>
        <w:rPr>
          <w:rFonts w:ascii="Arial" w:cs="Arial" w:eastAsia="Arial" w:hAnsi="Arial"/>
          <w:sz w:val="20"/>
          <w:szCs w:val="20"/>
        </w:rPr>
        <w:t xml:space="preserve">. </w:t>
      </w:r>
      <w:r>
        <w:rPr>
          <w:rFonts w:ascii="Arial" w:cs="Arial" w:eastAsia="Arial" w:hAnsi="Arial"/>
          <w:i/>
          <w:iCs/>
          <w:sz w:val="20"/>
          <w:szCs w:val="20"/>
        </w:rPr>
        <w:t xml:space="preserve">Revista Peruana de Medicina Experimental y Salud Pública</w:t>
      </w:r>
      <w:r>
        <w:rPr>
          <w:rFonts w:ascii="Arial" w:cs="Arial" w:eastAsia="Arial" w:hAnsi="Arial"/>
          <w:sz w:val="20"/>
          <w:szCs w:val="20"/>
        </w:rPr>
        <w:t xml:space="preserve">, 23(3), 177-181. (Instituto Nacional de Salud, Lima)</w:t>
      </w:r>
    </w:p>
    <w:p>
      <w:pPr>
        <w:pStyle w:val="ListParagraph"/>
        <w:numPr>
          <w:ilvl w:val="0"/>
          <w:numId w:val="2"/>
        </w:numPr>
        <w:spacing w:after="60"/>
      </w:pPr>
      <w:r>
        <w:rPr>
          <w:rFonts w:ascii="Arial" w:cs="Arial" w:eastAsia="Arial" w:hAnsi="Arial"/>
          <w:sz w:val="21"/>
          <w:szCs w:val="21"/>
        </w:rPr>
        <w:t xml:space="preserve">Extracto: 15,2 g de bulbo seco en polvo hervido 5 min en 150 mL de agua.</w:t>
      </w:r>
    </w:p>
    <w:p>
      <w:pPr>
        <w:pStyle w:val="ListParagraph"/>
        <w:numPr>
          <w:ilvl w:val="0"/>
          <w:numId w:val="2"/>
        </w:numPr>
        <w:spacing w:after="60"/>
      </w:pPr>
      <w:r>
        <w:rPr>
          <w:rFonts w:ascii="Arial" w:cs="Arial" w:eastAsia="Arial" w:hAnsi="Arial"/>
          <w:sz w:val="21"/>
          <w:szCs w:val="21"/>
        </w:rPr>
        <w:t xml:space="preserve">El veneno solo mató al 100 % de los ratones; el extracto solo no mató a ninguno.</w:t>
      </w:r>
    </w:p>
    <w:p>
      <w:pPr>
        <w:pStyle w:val="ListParagraph"/>
        <w:numPr>
          <w:ilvl w:val="0"/>
          <w:numId w:val="2"/>
        </w:numPr>
        <w:spacing w:after="60"/>
      </w:pPr>
      <w:r>
        <w:rPr>
          <w:rFonts w:ascii="Arial" w:cs="Arial" w:eastAsia="Arial" w:hAnsi="Arial"/>
          <w:sz w:val="21"/>
          <w:szCs w:val="21"/>
        </w:rPr>
        <w:t xml:space="preserve">Dosis eficaz 50: 91,15 µg de extracto por ratón neutralizó 2 dosis letales del veneno del jergón (</w:t>
      </w:r>
      <w:r>
        <w:rPr>
          <w:rFonts w:ascii="Arial" w:cs="Arial" w:eastAsia="Arial" w:hAnsi="Arial"/>
          <w:i/>
          <w:iCs/>
          <w:sz w:val="21"/>
          <w:szCs w:val="21"/>
        </w:rPr>
        <w:t xml:space="preserve">Bothrops atrox</w:t>
      </w:r>
      <w:r>
        <w:rPr>
          <w:rFonts w:ascii="Arial" w:cs="Arial" w:eastAsia="Arial" w:hAnsi="Arial"/>
          <w:sz w:val="21"/>
          <w:szCs w:val="21"/>
        </w:rPr>
        <w:t xml:space="preserve">).</w:t>
      </w:r>
    </w:p>
    <w:p>
      <w:pPr>
        <w:spacing w:after="40" w:line="276"/>
      </w:pPr>
      <w:r>
        <w:rPr>
          <w:rFonts w:ascii="Arial" w:cs="Arial" w:eastAsia="Arial" w:hAnsi="Arial"/>
          <w:b/>
          <w:bCs/>
          <w:sz w:val="19"/>
          <w:szCs w:val="19"/>
        </w:rPr>
        <w:t xml:space="preserve">Enlaces:</w:t>
      </w:r>
    </w:p>
    <w:p>
      <w:pPr>
        <w:pStyle w:val="ListParagraph"/>
        <w:numPr>
          <w:ilvl w:val="0"/>
          <w:numId w:val="2"/>
        </w:numPr>
        <w:spacing w:after="40"/>
      </w:pPr>
      <w:r>
        <w:rPr>
          <w:rFonts w:ascii="Arial" w:cs="Arial" w:eastAsia="Arial" w:hAnsi="Arial"/>
          <w:b/>
          <w:bCs/>
          <w:sz w:val="19"/>
          <w:szCs w:val="19"/>
        </w:rPr>
        <w:t xml:space="preserve">SciELO Perú: </w:t>
      </w:r>
      <w:hyperlink w:history="1" r:id="rIdjoppwz4yxphpx17rqf2cu">
        <w:r>
          <w:rPr>
            <w:rStyle w:val="Hyperlink"/>
            <w:rFonts w:ascii="Arial" w:cs="Arial" w:eastAsia="Arial" w:hAnsi="Arial"/>
            <w:sz w:val="19"/>
            <w:szCs w:val="19"/>
          </w:rPr>
          <w:t xml:space="preserve">http://www.scielo.org.pe/scielo.php?script=sci_arttext&amp;pid=S1726-46342006000300007</w:t>
        </w:r>
      </w:hyperlink>
    </w:p>
    <w:p>
      <w:pPr>
        <w:pStyle w:val="ListParagraph"/>
        <w:numPr>
          <w:ilvl w:val="0"/>
          <w:numId w:val="2"/>
        </w:numPr>
        <w:spacing w:after="40"/>
      </w:pPr>
      <w:r>
        <w:rPr>
          <w:rFonts w:ascii="Arial" w:cs="Arial" w:eastAsia="Arial" w:hAnsi="Arial"/>
          <w:b/>
          <w:bCs/>
          <w:sz w:val="19"/>
          <w:szCs w:val="19"/>
        </w:rPr>
        <w:t xml:space="preserve">PDF (Redalyc): </w:t>
      </w:r>
      <w:hyperlink w:history="1" r:id="rIdwjjokfoel4attcaiettwt">
        <w:r>
          <w:rPr>
            <w:rStyle w:val="Hyperlink"/>
            <w:rFonts w:ascii="Arial" w:cs="Arial" w:eastAsia="Arial" w:hAnsi="Arial"/>
            <w:sz w:val="19"/>
            <w:szCs w:val="19"/>
          </w:rPr>
          <w:t xml:space="preserve">https://www.redalyc.org/pdf/363/36323307.pdf</w:t>
        </w:r>
      </w:hyperlink>
    </w:p>
    <w:p>
      <w:r>
        <w:br w:type="page"/>
      </w:r>
    </w:p>
    <w:p>
      <w:pPr>
        <w:pStyle w:val="Heading2"/>
      </w:pPr>
      <w:r>
        <w:t xml:space="preserve">Copaiba — </w:t>
      </w:r>
      <w:r>
        <w:rPr>
          <w:i/>
        </w:rPr>
        <w:t>Copaifera</w:t>
      </w:r>
      <w:r>
        <w:t xml:space="preserve"> spp. (Fabaceae)</w:t>
      </w:r>
    </w:p>
    <w:tbl>
      <w:tblPr>
        <w:tblW w:type="auto" w:w="0"/>
        <w:tblLook w:firstColumn="1" w:firstRow="1" w:lastColumn="0" w:lastRow="0" w:noHBand="0" w:noVBand="1" w:val="04A0"/>
      </w:tblPr>
      <w:tblGrid>
        <w:gridCol w:w="4513"/>
        <w:gridCol w:w="4513"/>
      </w:tblGrid>
      <w:tr>
        <w:tc>
          <w:tcPr>
            <w:tcW w:type="dxa" w:w="4513"/>
          </w:tcPr>
          <w:p>
            <w:r>
              <w:rPr>
                <w:b/>
              </w:rPr>
              <w:t>Parte medicinal</w:t>
            </w:r>
          </w:p>
        </w:tc>
        <w:tc>
          <w:tcPr>
            <w:tcW w:type="dxa" w:w="4513"/>
          </w:tcPr>
          <w:p>
            <w:r>
              <w:t>Oleorresina (resina) del tronco.</w:t>
            </w:r>
          </w:p>
        </w:tc>
      </w:tr>
      <w:tr>
        <w:tc>
          <w:tcPr>
            <w:tcW w:type="dxa" w:w="4513"/>
          </w:tcPr>
          <w:p>
            <w:r>
              <w:rPr>
                <w:b/>
              </w:rPr>
              <w:t>Nivel de evidencia</w:t>
            </w:r>
          </w:p>
        </w:tc>
        <w:tc>
          <w:tcPr>
            <w:tcW w:type="dxa" w:w="4513"/>
          </w:tcPr>
          <w:p>
            <w:r>
              <w:t>Humanos — ensayo clínico pequeño (piel); el resto, preclínico (animales).</w:t>
            </w:r>
          </w:p>
        </w:tc>
      </w:tr>
      <w:tr>
        <w:tc>
          <w:tcPr>
            <w:tcW w:type="dxa" w:w="4513"/>
          </w:tcPr>
          <w:p>
            <w:r>
              <w:rPr>
                <w:b/>
              </w:rPr>
              <w:t>Precaución</w:t>
            </w:r>
          </w:p>
        </w:tc>
        <w:tc>
          <w:tcPr>
            <w:tcW w:type="dxa" w:w="4513"/>
          </w:tcPr>
          <w:p>
            <w:r>
              <w:t>Puede causar dermatitis de contacto en la piel (caso clínico reportado). Evitar uso interno sin orientación de un especialista.</w:t>
            </w:r>
          </w:p>
        </w:tc>
      </w:tr>
    </w:tbl>
    <w:p>
      <w:pPr>
        <w:pStyle w:val="Heading3"/>
      </w:pPr>
      <w:r>
        <w:t>Estudio 1: Ensayo clínico doble ciego, controlado con placebo, en 10 voluntarios con acné leve.</w:t>
      </w:r>
    </w:p>
    <w:p>
      <w:r>
        <w:rPr>
          <w:b/>
        </w:rPr>
        <w:t xml:space="preserve">Quién lo probó (cita): </w:t>
      </w:r>
      <w:r>
        <w:t>Silva AG, Puziol PF, Leitão RN, et al. (2012). "Application of the essential oil from copaiba (</w:t>
      </w:r>
      <w:r>
        <w:rPr>
          <w:i/>
        </w:rPr>
        <w:t>Copaifera langsdorffii</w:t>
      </w:r>
      <w:r>
        <w:t xml:space="preserve"> Desf.) for acne vulgaris: a double-blind, placebo controlled clinical trial." </w:t>
      </w:r>
      <w:r>
        <w:rPr>
          <w:i/>
        </w:rPr>
        <w:t>Alternative Medicine Review</w:t>
      </w:r>
      <w:r>
        <w:t>, 17(1), 69-75.</w:t>
      </w:r>
    </w:p>
    <w:p>
      <w:pPr>
        <w:pStyle w:val="ListParagraph"/>
        <w:numPr>
          <w:ilvl w:val="0"/>
          <w:numId w:val="2"/>
        </w:numPr>
      </w:pPr>
      <w:r>
        <w:t>Gel al 1,0 % (p/p) de aceite esencial de copaiba, aplicado 2 veces al día durante 21 días.</w:t>
      </w:r>
    </w:p>
    <w:p>
      <w:pPr>
        <w:pStyle w:val="ListParagraph"/>
        <w:numPr>
          <w:ilvl w:val="0"/>
          <w:numId w:val="2"/>
        </w:numPr>
      </w:pPr>
      <w:r>
        <w:t>Reducción altamente significativa del área afectada por acné (F = 86,494; p &lt; 0,001; r² = 0,695) frente al placebo (r² = 0,268).</w:t>
      </w:r>
    </w:p>
    <w:p>
      <w:r>
        <w:rPr>
          <w:b/>
        </w:rPr>
        <w:t>Enlaces:</w:t>
      </w:r>
    </w:p>
    <w:p>
      <w:pPr>
        <w:pStyle w:val="ListParagraph"/>
        <w:numPr>
          <w:ilvl w:val="0"/>
          <w:numId w:val="2"/>
        </w:numPr>
      </w:pPr>
      <w:r>
        <w:rPr>
          <w:b/>
        </w:rPr>
        <w:t xml:space="preserve">PubMed: </w:t>
      </w:r>
      <w:r>
        <w:t>https://pubmed.ncbi.nlm.nih.gov/22417039/</w:t>
      </w:r>
    </w:p>
    <w:p>
      <w:pPr>
        <w:pStyle w:val="Heading3"/>
      </w:pPr>
      <w:r>
        <w:t>Estudio 2: Modelo animal (ratas con artritis inducida).</w:t>
      </w:r>
    </w:p>
    <w:p>
      <w:r>
        <w:rPr>
          <w:b/>
        </w:rPr>
        <w:t xml:space="preserve">Quién lo probó (cita): </w:t>
      </w:r>
      <w:r>
        <w:t xml:space="preserve">Castro Ghizoni CV, Arssufi Ames AP, Lameira OA, et al. (2017). "Anti-Inflammatory and Antioxidant Actions of Copaiba Oil Are Related to Liver Cell Modifications in Arthritic Rats." </w:t>
      </w:r>
      <w:r>
        <w:rPr>
          <w:i/>
        </w:rPr>
        <w:t>Journal of Cellular Biochemistry</w:t>
      </w:r>
      <w:r>
        <w:t>, 118(10), 3409-3423.</w:t>
      </w:r>
    </w:p>
    <w:p>
      <w:pPr>
        <w:pStyle w:val="ListParagraph"/>
        <w:numPr>
          <w:ilvl w:val="0"/>
          <w:numId w:val="2"/>
        </w:numPr>
      </w:pPr>
      <w:r>
        <w:t>Efecto antiinflamatorio y antioxidante asociado a cambios en las células hepáticas de ratas con artritis inducida (dosis exacta y cifras estadísticas completas no confirmadas en el texto completo esta ronda — revisar antes de citar un número preciso; la lista de autores más allá de los tres primeros tampoco se pudo confirmar completa, de ahí el "et al.").</w:t>
      </w:r>
    </w:p>
    <w:p>
      <w:r>
        <w:rPr>
          <w:b/>
        </w:rPr>
        <w:t>Enlaces:</w:t>
      </w:r>
    </w:p>
    <w:p>
      <w:pPr>
        <w:pStyle w:val="ListParagraph"/>
        <w:numPr>
          <w:ilvl w:val="0"/>
          <w:numId w:val="2"/>
        </w:numPr>
      </w:pPr>
      <w:r>
        <w:rPr>
          <w:b/>
        </w:rPr>
        <w:t xml:space="preserve">DOI: </w:t>
      </w:r>
      <w:r>
        <w:t>https://doi.org/10.1002/jcb.25998</w:t>
      </w:r>
    </w:p>
    <w:p>
      <w:pPr>
        <w:pStyle w:val="ListParagraph"/>
        <w:numPr>
          <w:ilvl w:val="0"/>
          <w:numId w:val="2"/>
        </w:numPr>
      </w:pPr>
      <w:r>
        <w:rPr>
          <w:b/>
        </w:rPr>
        <w:t xml:space="preserve">PubMed: </w:t>
      </w:r>
      <w:r>
        <w:t>https://pubmed.ncbi.nlm.nih.gov/28322470/</w:t>
      </w:r>
    </w:p>
    <w:p>
      <w:pPr>
        <w:pStyle w:val="Heading3"/>
      </w:pPr>
      <w:r>
        <w:t>Estudio 3: Revisión de toxicología.</w:t>
      </w:r>
    </w:p>
    <w:p>
      <w:r>
        <w:rPr>
          <w:b/>
        </w:rPr>
        <w:t xml:space="preserve">Quién lo probó (cita): </w:t>
      </w:r>
      <w:r>
        <w:t>Cardinelli CC, Almeida e Silva JE, Ribeiro R, Veiga-Junior VF, Pereira dos Santos E, Faria de Freitas ZM. (2023). "Toxicological Effects of Copaiba Oil (</w:t>
      </w:r>
      <w:r>
        <w:rPr>
          <w:i/>
        </w:rPr>
        <w:t>Copaifera</w:t>
      </w:r>
      <w:r>
        <w:t xml:space="preserve"> spp.) and Its Active Components." </w:t>
      </w:r>
      <w:r>
        <w:rPr>
          <w:i/>
        </w:rPr>
        <w:t>Plants</w:t>
      </w:r>
      <w:r>
        <w:t>, 12(5), 1054.</w:t>
      </w:r>
    </w:p>
    <w:p>
      <w:pPr>
        <w:pStyle w:val="ListParagraph"/>
        <w:numPr>
          <w:ilvl w:val="0"/>
          <w:numId w:val="2"/>
        </w:numPr>
      </w:pPr>
      <w:r>
        <w:t>Revisión dedicada a la seguridad/toxicología del aceite de copaiba y sus componentes activos.</w:t>
      </w:r>
    </w:p>
    <w:p>
      <w:r>
        <w:rPr>
          <w:b/>
        </w:rPr>
        <w:t>Enlaces:</w:t>
      </w:r>
    </w:p>
    <w:p>
      <w:pPr>
        <w:pStyle w:val="ListParagraph"/>
        <w:numPr>
          <w:ilvl w:val="0"/>
          <w:numId w:val="2"/>
        </w:numPr>
      </w:pPr>
      <w:r>
        <w:rPr>
          <w:b/>
        </w:rPr>
        <w:t xml:space="preserve">DOI: </w:t>
      </w:r>
      <w:r>
        <w:t>https://doi.org/10.3390/plants12051054</w:t>
      </w:r>
    </w:p>
    <w:p>
      <w:pPr>
        <w:pStyle w:val="Heading2"/>
      </w:pPr>
      <w:r>
        <w:t xml:space="preserve">Ojé — </w:t>
      </w:r>
      <w:r>
        <w:rPr>
          <w:i/>
        </w:rPr>
        <w:t>Ficus insipida</w:t>
      </w:r>
      <w:r>
        <w:t xml:space="preserve"> Willd. (Moraceae)</w:t>
      </w:r>
    </w:p>
    <w:tbl>
      <w:tblPr>
        <w:tblW w:type="auto" w:w="0"/>
        <w:tblLook w:firstColumn="1" w:firstRow="1" w:lastColumn="0" w:lastRow="0" w:noHBand="0" w:noVBand="1" w:val="04A0"/>
      </w:tblPr>
      <w:tblGrid>
        <w:gridCol w:w="4513"/>
        <w:gridCol w:w="4513"/>
      </w:tblGrid>
      <w:tr>
        <w:tc>
          <w:tcPr>
            <w:tcW w:type="dxa" w:w="4513"/>
          </w:tcPr>
          <w:p>
            <w:r>
              <w:rPr>
                <w:b/>
              </w:rPr>
              <w:t>Parte medicinal</w:t>
            </w:r>
          </w:p>
        </w:tc>
        <w:tc>
          <w:tcPr>
            <w:tcW w:type="dxa" w:w="4513"/>
          </w:tcPr>
          <w:p>
            <w:r>
              <w:t>Látex del tronco.</w:t>
            </w:r>
          </w:p>
        </w:tc>
      </w:tr>
      <w:tr>
        <w:tc>
          <w:tcPr>
            <w:tcW w:type="dxa" w:w="4513"/>
          </w:tcPr>
          <w:p>
            <w:r>
              <w:rPr>
                <w:b/>
              </w:rPr>
              <w:t>Nivel de evidencia</w:t>
            </w:r>
          </w:p>
        </w:tc>
        <w:tc>
          <w:tcPr>
            <w:tcW w:type="dxa" w:w="4513"/>
          </w:tcPr>
          <w:p>
            <w:r>
              <w:t>Humanos — estudio retrospectivo de seguridad (registros hospitalarios reales); preclínico para el efecto antiparasitario.</w:t>
            </w:r>
          </w:p>
        </w:tc>
      </w:tr>
      <w:tr>
        <w:tc>
          <w:tcPr>
            <w:tcW w:type="dxa" w:w="4513"/>
          </w:tcPr>
          <w:p>
            <w:r>
              <w:rPr>
                <w:b/>
              </w:rPr>
              <w:t>Precaución</w:t>
            </w:r>
          </w:p>
        </w:tc>
        <w:tc>
          <w:tcPr>
            <w:tcW w:type="dxa" w:w="4513"/>
          </w:tcPr>
          <w:p>
            <w:r>
              <w:t>Es la planta con el riesgo de toxicidad mejor documentado y cuantificado de este documento: existe un registro real de muertes por sobredosis. No usar sin la dosis y supervisión de un especialista.</w:t>
            </w:r>
          </w:p>
        </w:tc>
      </w:tr>
    </w:tbl>
    <w:p>
      <w:pPr>
        <w:pStyle w:val="Heading3"/>
      </w:pPr>
      <w:r>
        <w:t>Estudio 1: Revisión retrospectiva de 12 años de registros hospitalarios en Pucallpa, Ucayali, Perú (1992-2003).</w:t>
      </w:r>
    </w:p>
    <w:p>
      <w:r>
        <w:rPr>
          <w:b/>
        </w:rPr>
        <w:t xml:space="preserve">Quién lo probó (cita): </w:t>
      </w:r>
      <w:r>
        <w:t xml:space="preserve">Hansson A, Zelada JC, Noriega HP. (2005). "Reevaluation of risks with the use of </w:t>
      </w:r>
      <w:r>
        <w:rPr>
          <w:i/>
        </w:rPr>
        <w:t>Ficus insipida</w:t>
      </w:r>
      <w:r>
        <w:t xml:space="preserve"> latex as a traditional anthelmintic remedy in the Amazon." </w:t>
      </w:r>
      <w:r>
        <w:rPr>
          <w:i/>
        </w:rPr>
        <w:t>Journal of Ethnopharmacology</w:t>
      </w:r>
      <w:r>
        <w:t>, 98(3), 251-257.</w:t>
      </w:r>
    </w:p>
    <w:p>
      <w:pPr>
        <w:pStyle w:val="ListParagraph"/>
        <w:numPr>
          <w:ilvl w:val="0"/>
          <w:numId w:val="2"/>
        </w:numPr>
      </w:pPr>
      <w:r>
        <w:t>Dosis tradicional recomendada: ~1 cm³ de látex por kg de peso corporal.</w:t>
      </w:r>
    </w:p>
    <w:p>
      <w:pPr>
        <w:pStyle w:val="ListParagraph"/>
        <w:numPr>
          <w:ilvl w:val="0"/>
          <w:numId w:val="2"/>
        </w:numPr>
      </w:pPr>
      <w:r>
        <w:t>39 casos de toxicidad registrados en 12 años; 37 hospitalizados; 1 muerte hospitalaria más 2 muertes fuera del hospital documentadas.</w:t>
      </w:r>
    </w:p>
    <w:p>
      <w:pPr>
        <w:pStyle w:val="ListParagraph"/>
        <w:numPr>
          <w:ilvl w:val="0"/>
          <w:numId w:val="2"/>
        </w:numPr>
      </w:pPr>
      <w:r>
        <w:t>La mayoría de las reacciones adversas graves ocurrieron con sobredosis (&gt;1,5 cm³/kg).</w:t>
      </w:r>
    </w:p>
    <w:p>
      <w:pPr>
        <w:pStyle w:val="ListParagraph"/>
        <w:numPr>
          <w:ilvl w:val="0"/>
          <w:numId w:val="2"/>
        </w:numPr>
      </w:pPr>
      <w:r>
        <w:t>5 casos de sensibilidad idiosincrática incluso a dosis "seguras", todos en niños (2 de ellos con reacciones severas); casos de edema cerebral tratados con manitol desde 1996.</w:t>
      </w:r>
    </w:p>
    <w:p>
      <w:r>
        <w:rPr>
          <w:b/>
        </w:rPr>
        <w:t>Enlaces:</w:t>
      </w:r>
    </w:p>
    <w:p>
      <w:pPr>
        <w:pStyle w:val="ListParagraph"/>
        <w:numPr>
          <w:ilvl w:val="0"/>
          <w:numId w:val="2"/>
        </w:numPr>
      </w:pPr>
      <w:r>
        <w:rPr>
          <w:b/>
        </w:rPr>
        <w:t xml:space="preserve">DOI: </w:t>
      </w:r>
      <w:r>
        <w:t>https://doi.org/10.1016/j.jep.2004.12.029</w:t>
      </w:r>
    </w:p>
    <w:p>
      <w:pPr>
        <w:pStyle w:val="Heading3"/>
      </w:pPr>
      <w:r>
        <w:t>Estudio 2: Ensayo in vitro (parásitos monogéneos en un pez amazónico, no en humanos).</w:t>
      </w:r>
    </w:p>
    <w:p>
      <w:r>
        <w:rPr>
          <w:b/>
        </w:rPr>
        <w:t xml:space="preserve">Quién lo probó (cita): </w:t>
      </w:r>
      <w:r>
        <w:t xml:space="preserve">Gonzales APPF, Santos GG, Tavares-Dias M. (2019). "Anthelminthic potential of the </w:t>
      </w:r>
      <w:r>
        <w:rPr>
          <w:i/>
        </w:rPr>
        <w:t>Ficus insipida</w:t>
      </w:r>
      <w:r>
        <w:t xml:space="preserve"> latex on monogeneans of </w:t>
      </w:r>
      <w:r>
        <w:rPr>
          <w:i/>
        </w:rPr>
        <w:t>Colossoma macropomum</w:t>
      </w:r>
      <w:r>
        <w:t xml:space="preserve"> (Serrasalmidae), a medicinal plant from the Amazon." </w:t>
      </w:r>
      <w:r>
        <w:rPr>
          <w:i/>
        </w:rPr>
        <w:t>Acta Parasitologica</w:t>
      </w:r>
      <w:r>
        <w:t>, 64(4), 927-931.</w:t>
      </w:r>
    </w:p>
    <w:p>
      <w:pPr>
        <w:pStyle w:val="ListParagraph"/>
        <w:numPr>
          <w:ilvl w:val="0"/>
          <w:numId w:val="2"/>
        </w:numPr>
      </w:pPr>
      <w:r>
        <w:t>Concentraciones probadas: 250, 500, 750 y 1000 µL de látex por litro de agua.</w:t>
      </w:r>
    </w:p>
    <w:p>
      <w:pPr>
        <w:pStyle w:val="ListParagraph"/>
        <w:numPr>
          <w:ilvl w:val="0"/>
          <w:numId w:val="2"/>
        </w:numPr>
      </w:pPr>
      <w:r>
        <w:t>A 1000 µL/L: inmovilización de los parásitos en 30 minutos y 100 % de mortalidad en 2 horas.</w:t>
      </w:r>
    </w:p>
    <w:p>
      <w:pPr>
        <w:pStyle w:val="ListParagraph"/>
        <w:numPr>
          <w:ilvl w:val="0"/>
          <w:numId w:val="2"/>
        </w:numPr>
      </w:pPr>
      <w:r>
        <w:t>Los autores recomiendan 1000 µL/L para baños terapéuticos en acuicultura (uso veterinario/piscícola, no en personas).</w:t>
      </w:r>
    </w:p>
    <w:p>
      <w:r>
        <w:rPr>
          <w:b/>
        </w:rPr>
        <w:t>Enlaces:</w:t>
      </w:r>
    </w:p>
    <w:p>
      <w:pPr>
        <w:pStyle w:val="ListParagraph"/>
        <w:numPr>
          <w:ilvl w:val="0"/>
          <w:numId w:val="2"/>
        </w:numPr>
      </w:pPr>
      <w:r>
        <w:rPr>
          <w:b/>
        </w:rPr>
        <w:t xml:space="preserve">DOI: </w:t>
      </w:r>
      <w:r>
        <w:t>https://doi.org/10.2478/s11686-019-00094-0</w:t>
      </w:r>
    </w:p>
    <w:p>
      <w:pPr>
        <w:pStyle w:val="Heading2"/>
      </w:pPr>
      <w:r>
        <w:t xml:space="preserve">Matico — </w:t>
      </w:r>
      <w:r>
        <w:rPr>
          <w:i/>
        </w:rPr>
        <w:t>Piper aduncum</w:t>
      </w:r>
      <w:r>
        <w:t xml:space="preserve"> L. / </w:t>
      </w:r>
      <w:r>
        <w:rPr>
          <w:i/>
        </w:rPr>
        <w:t>Piper elongatum</w:t>
      </w:r>
      <w:r>
        <w:t xml:space="preserve"> Vahl (Piperaceae)</w:t>
      </w:r>
    </w:p>
    <w:tbl>
      <w:tblPr>
        <w:tblW w:type="auto" w:w="0"/>
        <w:tblLook w:firstColumn="1" w:firstRow="1" w:lastColumn="0" w:lastRow="0" w:noHBand="0" w:noVBand="1" w:val="04A0"/>
      </w:tblPr>
      <w:tblGrid>
        <w:gridCol w:w="4513"/>
        <w:gridCol w:w="4513"/>
      </w:tblGrid>
      <w:tr>
        <w:tc>
          <w:tcPr>
            <w:tcW w:type="dxa" w:w="4513"/>
          </w:tcPr>
          <w:p>
            <w:r>
              <w:rPr>
                <w:b/>
              </w:rPr>
              <w:t>Parte medicinal</w:t>
            </w:r>
          </w:p>
        </w:tc>
        <w:tc>
          <w:tcPr>
            <w:tcW w:type="dxa" w:w="4513"/>
          </w:tcPr>
          <w:p>
            <w:r>
              <w:t>Hojas.</w:t>
            </w:r>
          </w:p>
        </w:tc>
      </w:tr>
      <w:tr>
        <w:tc>
          <w:tcPr>
            <w:tcW w:type="dxa" w:w="4513"/>
          </w:tcPr>
          <w:p>
            <w:r>
              <w:rPr>
                <w:b/>
              </w:rPr>
              <w:t>Nivel de evidencia</w:t>
            </w:r>
          </w:p>
        </w:tc>
        <w:tc>
          <w:tcPr>
            <w:tcW w:type="dxa" w:w="4513"/>
          </w:tcPr>
          <w:p>
            <w:r>
              <w:t>Humanos — estudio caso-control (cervicitis) y estudio in vitro con fibroblastos humanos; el resto, preclínico/in vitro.</w:t>
            </w:r>
          </w:p>
        </w:tc>
      </w:tr>
      <w:tr>
        <w:tc>
          <w:tcPr>
            <w:tcW w:type="dxa" w:w="4513"/>
          </w:tcPr>
          <w:p>
            <w:r>
              <w:rPr>
                <w:b/>
              </w:rPr>
              <w:t>Precaución</w:t>
            </w:r>
          </w:p>
        </w:tc>
        <w:tc>
          <w:tcPr>
            <w:tcW w:type="dxa" w:w="4513"/>
          </w:tcPr>
          <w:p>
            <w:r>
              <w:t>No se encontró un estudio de toxicidad/hepatotoxicidad con cifras concretas para esta planta en esta ronda de verificación.</w:t>
            </w:r>
          </w:p>
        </w:tc>
      </w:tr>
    </w:tbl>
    <w:p>
      <w:pPr>
        <w:pStyle w:val="Heading3"/>
      </w:pPr>
      <w:r>
        <w:t>Estudio 1: Ensayo in vitro con fibroblastos humanos, con validación in vivo en un modelo de herida en rata.</w:t>
      </w:r>
    </w:p>
    <w:p>
      <w:r>
        <w:rPr>
          <w:b/>
        </w:rPr>
        <w:t xml:space="preserve">Quién lo probó (cita): </w:t>
      </w:r>
      <w:r>
        <w:t xml:space="preserve">Paco K, Ponce-Soto LA, Lopez-Ilasaca M, Aguilar JL. (2016). "Determinación del efecto cicatrizante del </w:t>
      </w:r>
      <w:r>
        <w:rPr>
          <w:i/>
        </w:rPr>
        <w:t>Piper aduncum</w:t>
      </w:r>
      <w:r>
        <w:t xml:space="preserve"> (matico) sobre fibroblastos humanos." </w:t>
      </w:r>
      <w:r>
        <w:rPr>
          <w:i/>
        </w:rPr>
        <w:t>Revista Peruana de Medicina Experimental y Salud Pública</w:t>
      </w:r>
      <w:r>
        <w:t>, 33(3), 438-447.</w:t>
      </w:r>
    </w:p>
    <w:p>
      <w:pPr>
        <w:pStyle w:val="ListParagraph"/>
        <w:numPr>
          <w:ilvl w:val="0"/>
          <w:numId w:val="2"/>
        </w:numPr>
      </w:pPr>
      <w:r>
        <w:t>Extracto hidroalcohólico de hojas: IC50 = 200 µg/mL; EC50 = 103,5 mg/mL en el ensayo de proliferación (MTT).</w:t>
      </w:r>
    </w:p>
    <w:p>
      <w:pPr>
        <w:pStyle w:val="ListParagraph"/>
        <w:numPr>
          <w:ilvl w:val="0"/>
          <w:numId w:val="2"/>
        </w:numPr>
      </w:pPr>
      <w:r>
        <w:t>Una proteína aislada del extracto ("K2") aumentó la expresión relativa del factor de crecimiento derivado de plaquetas (PDGF) 8,6 veces frente al control.</w:t>
      </w:r>
    </w:p>
    <w:p>
      <w:r>
        <w:rPr>
          <w:b/>
        </w:rPr>
        <w:t>Enlaces:</w:t>
      </w:r>
    </w:p>
    <w:p>
      <w:pPr>
        <w:pStyle w:val="ListParagraph"/>
        <w:numPr>
          <w:ilvl w:val="0"/>
          <w:numId w:val="2"/>
        </w:numPr>
      </w:pPr>
      <w:r>
        <w:rPr>
          <w:b/>
        </w:rPr>
        <w:t xml:space="preserve">DOI: </w:t>
      </w:r>
      <w:r>
        <w:t>https://doi.org/10.17843/rpmesp.2016.333.2329</w:t>
      </w:r>
    </w:p>
    <w:p>
      <w:pPr>
        <w:pStyle w:val="Heading3"/>
      </w:pPr>
      <w:r>
        <w:t>Estudio 2: Estudio caso-control en 50 mujeres en edad fértil con cervicitis (Perú).</w:t>
      </w:r>
    </w:p>
    <w:p>
      <w:r>
        <w:rPr>
          <w:b/>
        </w:rPr>
        <w:t xml:space="preserve">Quién lo probó (cita): </w:t>
      </w:r>
      <w:r>
        <w:t xml:space="preserve">Rodríguez-Lizana M, Ochoa-Yupanqui WW. (2020). "Actividad biocida del extracto crudo etanólico del </w:t>
      </w:r>
      <w:r>
        <w:rPr>
          <w:i/>
        </w:rPr>
        <w:t>Piper elongatum</w:t>
      </w:r>
      <w:r>
        <w:t xml:space="preserve"> 'matico' en cervicitis en mujeres en edad fértil, como alternativa terapéutica." </w:t>
      </w:r>
      <w:r>
        <w:rPr>
          <w:i/>
        </w:rPr>
        <w:t>Journal of the Selva Andina Research Society</w:t>
      </w:r>
      <w:r>
        <w:t>, 11(1), 29-37.</w:t>
      </w:r>
    </w:p>
    <w:p>
      <w:pPr>
        <w:pStyle w:val="ListParagraph"/>
        <w:numPr>
          <w:ilvl w:val="0"/>
          <w:numId w:val="2"/>
        </w:numPr>
      </w:pPr>
      <w:r>
        <w:t>Gel de extracto etanólico de hojas (1 % para cervicitis aguda, 5 % para crónica), aplicación cervical cada 2 días durante 1-2 meses.</w:t>
      </w:r>
    </w:p>
    <w:p>
      <w:pPr>
        <w:pStyle w:val="ListParagraph"/>
        <w:numPr>
          <w:ilvl w:val="0"/>
          <w:numId w:val="2"/>
        </w:numPr>
      </w:pPr>
      <w:r>
        <w:t>Cervicitis aguda: 29,4 % de mejoría con el extracto vs 20,6 % en el grupo control (p = 0,037).</w:t>
      </w:r>
    </w:p>
    <w:p>
      <w:pPr>
        <w:pStyle w:val="ListParagraph"/>
        <w:numPr>
          <w:ilvl w:val="0"/>
          <w:numId w:val="2"/>
        </w:numPr>
      </w:pPr>
      <w:r>
        <w:t>Cervicitis crónica: 50 % de mejoría con el extracto vs 0 % en el control (p = 0,007).</w:t>
      </w:r>
    </w:p>
    <w:p>
      <w:r>
        <w:rPr>
          <w:b/>
        </w:rPr>
        <w:t>Enlaces:</w:t>
      </w:r>
    </w:p>
    <w:p>
      <w:pPr>
        <w:pStyle w:val="Heading3"/>
      </w:pPr>
      <w:r>
        <w:t>Estudio 3: Composición química y bioensayos in vitro antimicrobianos y antiparasitarios.</w:t>
      </w:r>
    </w:p>
    <w:p>
      <w:r>
        <w:rPr>
          <w:b/>
        </w:rPr>
        <w:t xml:space="preserve">Quién lo probó (cita): </w:t>
      </w:r>
      <w:r>
        <w:t xml:space="preserve">Monzote L, Scull R, Cos P, Setzer WN. (2017). "Essential Oil from </w:t>
      </w:r>
      <w:r>
        <w:rPr>
          <w:i/>
        </w:rPr>
        <w:t>Piper aduncum</w:t>
      </w:r>
      <w:r>
        <w:t xml:space="preserve">: Chemical Analysis, Antimicrobial Assessment, and Literature Review." </w:t>
      </w:r>
      <w:r>
        <w:rPr>
          <w:i/>
        </w:rPr>
        <w:t>Medicines</w:t>
      </w:r>
      <w:r>
        <w:t>, 4(3), 49.</w:t>
      </w:r>
    </w:p>
    <w:p>
      <w:pPr>
        <w:pStyle w:val="ListParagraph"/>
        <w:numPr>
          <w:ilvl w:val="0"/>
          <w:numId w:val="2"/>
        </w:numPr>
      </w:pPr>
      <w:r>
        <w:t>Sin actividad notable contra bacterias/hongos comunes probados (64 µg/mL).</w:t>
      </w:r>
    </w:p>
    <w:p>
      <w:pPr>
        <w:pStyle w:val="ListParagraph"/>
        <w:numPr>
          <w:ilvl w:val="0"/>
          <w:numId w:val="2"/>
        </w:numPr>
      </w:pPr>
      <w:r>
        <w:t xml:space="preserve">Actividad antiprotozoaria in vitro: IC50 ≈ 1,5 µg/mL contra </w:t>
      </w:r>
      <w:r>
        <w:rPr>
          <w:i/>
        </w:rPr>
        <w:t>Plasmodium falciparum</w:t>
      </w:r>
      <w:r>
        <w:t xml:space="preserve"> y 2,0 µg/mL contra </w:t>
      </w:r>
      <w:r>
        <w:rPr>
          <w:i/>
        </w:rPr>
        <w:t>Trypanosoma brucei</w:t>
      </w:r>
      <w:r>
        <w:t>/</w:t>
      </w:r>
      <w:r>
        <w:rPr>
          <w:i/>
        </w:rPr>
        <w:t>T. cruzi</w:t>
      </w:r>
      <w:r>
        <w:t>; citotoxicidad en células humanas MRC-5: IC50 = 5,1 µg/mL.</w:t>
      </w:r>
    </w:p>
    <w:p>
      <w:r>
        <w:rPr>
          <w:b/>
        </w:rPr>
        <w:t>Enlaces:</w:t>
      </w:r>
    </w:p>
    <w:p>
      <w:pPr>
        <w:pStyle w:val="ListParagraph"/>
        <w:numPr>
          <w:ilvl w:val="0"/>
          <w:numId w:val="2"/>
        </w:numPr>
      </w:pPr>
      <w:r>
        <w:rPr>
          <w:b/>
        </w:rPr>
        <w:t xml:space="preserve">DOI: </w:t>
      </w:r>
      <w:r>
        <w:t>https://doi.org/10.3390/medicines4030049</w:t>
      </w:r>
    </w:p>
    <w:p>
      <w:pPr>
        <w:pStyle w:val="Heading3"/>
      </w:pPr>
      <w:r>
        <w:t>Estudio 4: Ensayo in vitro contra el parásito de la leishmaniasis cutánea.</w:t>
      </w:r>
    </w:p>
    <w:p>
      <w:r>
        <w:rPr>
          <w:b/>
        </w:rPr>
        <w:t xml:space="preserve">Quién lo probó (cita): </w:t>
      </w:r>
      <w:r>
        <w:t xml:space="preserve">Ceole LF, Cardoso MDG, Soares MJ. (2017). "Nerolidol, the main constituent of </w:t>
      </w:r>
      <w:r>
        <w:rPr>
          <w:i/>
        </w:rPr>
        <w:t>Piper aduncum</w:t>
      </w:r>
      <w:r>
        <w:t xml:space="preserve"> essential oil, has anti-</w:t>
      </w:r>
      <w:r>
        <w:rPr>
          <w:i/>
        </w:rPr>
        <w:t>Leishmania braziliensis</w:t>
      </w:r>
      <w:r>
        <w:t xml:space="preserve"> activity." </w:t>
      </w:r>
      <w:r>
        <w:rPr>
          <w:i/>
        </w:rPr>
        <w:t>Parasitology</w:t>
      </w:r>
      <w:r>
        <w:t>, 144(9), 1179-1190.</w:t>
      </w:r>
    </w:p>
    <w:p>
      <w:pPr>
        <w:pStyle w:val="ListParagraph"/>
        <w:numPr>
          <w:ilvl w:val="0"/>
          <w:numId w:val="2"/>
        </w:numPr>
      </w:pPr>
      <w:r>
        <w:t>IC50 a las 24 h del aceite esencial completo: 77,9 µg/mL; del nerolidol puro (~25 % del aceite): 74,3 µg/mL.</w:t>
      </w:r>
    </w:p>
    <w:p>
      <w:pPr>
        <w:pStyle w:val="ListParagraph"/>
        <w:numPr>
          <w:ilvl w:val="0"/>
          <w:numId w:val="2"/>
        </w:numPr>
      </w:pPr>
      <w:r>
        <w:t>Microscopía y citometría de flujo mostraron muerte celular de tipo apoptótico en el parásito.</w:t>
      </w:r>
    </w:p>
    <w:p>
      <w:r>
        <w:rPr>
          <w:b/>
        </w:rPr>
        <w:t>Enlaces:</w:t>
      </w:r>
    </w:p>
    <w:p>
      <w:pPr>
        <w:pStyle w:val="ListParagraph"/>
        <w:numPr>
          <w:ilvl w:val="0"/>
          <w:numId w:val="2"/>
        </w:numPr>
      </w:pPr>
      <w:r>
        <w:rPr>
          <w:b/>
        </w:rPr>
        <w:t xml:space="preserve">DOI: </w:t>
      </w:r>
      <w:r>
        <w:t>https://doi.org/10.1017/S0031182017000452</w:t>
      </w:r>
    </w:p>
    <w:p>
      <w:pPr>
        <w:pStyle w:val="Heading2"/>
      </w:pPr>
      <w:r>
        <w:t xml:space="preserve">Hercampuri — </w:t>
      </w:r>
      <w:r>
        <w:rPr>
          <w:i/>
        </w:rPr>
        <w:t>Gentianella alborosea</w:t>
      </w:r>
      <w:r>
        <w:t xml:space="preserve"> (Gilg) Fabris / </w:t>
      </w:r>
      <w:r>
        <w:rPr>
          <w:i/>
        </w:rPr>
        <w:t>G. nitida</w:t>
      </w:r>
      <w:r>
        <w:t xml:space="preserve"> (Griseb.) Fabris (Gentianaceae)</w:t>
      </w:r>
    </w:p>
    <w:tbl>
      <w:tblPr>
        <w:tblW w:type="auto" w:w="0"/>
        <w:tblLook w:firstColumn="1" w:firstRow="1" w:lastColumn="0" w:lastRow="0" w:noHBand="0" w:noVBand="1" w:val="04A0"/>
      </w:tblPr>
      <w:tblGrid>
        <w:gridCol w:w="4513"/>
        <w:gridCol w:w="4513"/>
      </w:tblGrid>
      <w:tr>
        <w:tc>
          <w:tcPr>
            <w:tcW w:type="dxa" w:w="4513"/>
          </w:tcPr>
          <w:p>
            <w:r>
              <w:rPr>
                <w:b/>
              </w:rPr>
              <w:t>Parte medicinal</w:t>
            </w:r>
          </w:p>
        </w:tc>
        <w:tc>
          <w:tcPr>
            <w:tcW w:type="dxa" w:w="4513"/>
          </w:tcPr>
          <w:p>
            <w:r>
              <w:t>Partes aéreas secas.</w:t>
            </w:r>
          </w:p>
        </w:tc>
      </w:tr>
      <w:tr>
        <w:tc>
          <w:tcPr>
            <w:tcW w:type="dxa" w:w="4513"/>
          </w:tcPr>
          <w:p>
            <w:r>
              <w:rPr>
                <w:b/>
              </w:rPr>
              <w:t>Nivel de evidencia</w:t>
            </w:r>
          </w:p>
        </w:tc>
        <w:tc>
          <w:tcPr>
            <w:tcW w:type="dxa" w:w="4513"/>
          </w:tcPr>
          <w:p>
            <w:r>
              <w:t>Preclínico (fitoquímica, aislamiento de compuestos; un estudio hepatoprotector en animales). No se encontraron ensayos clínicos en humanos verificables esta ronda.</w:t>
            </w:r>
          </w:p>
        </w:tc>
      </w:tr>
      <w:tr>
        <w:tc>
          <w:tcPr>
            <w:tcW w:type="dxa" w:w="4513"/>
          </w:tcPr>
          <w:p>
            <w:r>
              <w:rPr>
                <w:b/>
              </w:rPr>
              <w:t>Precaución</w:t>
            </w:r>
          </w:p>
        </w:tc>
        <w:tc>
          <w:tcPr>
            <w:tcW w:type="dxa" w:w="4513"/>
          </w:tcPr>
          <w:p>
            <w:r>
              <w:t xml:space="preserve">Aviso de identidad: varios estudios corresponden a </w:t>
            </w:r>
            <w:r>
              <w:rPr>
                <w:i/>
              </w:rPr>
              <w:t>Gentianella nitida</w:t>
            </w:r>
            <w:r>
              <w:t xml:space="preserve">, especie emparentada pero distinta de </w:t>
            </w:r>
            <w:r>
              <w:rPr>
                <w:i/>
              </w:rPr>
              <w:t>G. alborosea</w:t>
            </w:r>
            <w:r>
              <w:t xml:space="preserve"> — no asumir que un hallazgo en una especie aplica automáticamente a la otra.</w:t>
            </w:r>
          </w:p>
        </w:tc>
      </w:tr>
    </w:tbl>
    <w:p>
      <w:pPr>
        <w:pStyle w:val="Heading3"/>
      </w:pPr>
      <w:r>
        <w:t xml:space="preserve">Estudio 1: Aislamiento fitoquímico (compuesto nuevo) en </w:t>
      </w:r>
      <w:r>
        <w:rPr>
          <w:i/>
        </w:rPr>
        <w:t>Gentianella nitida</w:t>
      </w:r>
      <w:r>
        <w:t>.</w:t>
      </w:r>
    </w:p>
    <w:p>
      <w:r>
        <w:rPr>
          <w:b/>
        </w:rPr>
        <w:t xml:space="preserve">Quién lo probó (cita): </w:t>
      </w:r>
      <w:r>
        <w:t>Kawahara N, Nozawa M, Flores D, Bonilla P, Sekita S, Satake M, Kawai K. (1997). "Nitidasin, a Novel Sesterterpenoid, from the Peruvian Folk Medicine 'Hercampuri' (</w:t>
      </w:r>
      <w:r>
        <w:rPr>
          <w:i/>
        </w:rPr>
        <w:t>Gentianella nitida</w:t>
      </w:r>
      <w:r>
        <w:t xml:space="preserve">)." </w:t>
      </w:r>
      <w:r>
        <w:rPr>
          <w:i/>
        </w:rPr>
        <w:t>Chemical &amp; Pharmaceutical Bulletin</w:t>
      </w:r>
      <w:r>
        <w:t>, 45(10), 1717-1719.</w:t>
      </w:r>
    </w:p>
    <w:p>
      <w:pPr>
        <w:pStyle w:val="ListParagraph"/>
        <w:numPr>
          <w:ilvl w:val="0"/>
          <w:numId w:val="2"/>
        </w:numPr>
      </w:pPr>
      <w:r>
        <w:t xml:space="preserve">Aislamiento y determinación estructural (por espectroscopía y difracción de rayos X) de un nuevo sesterterpenoide llamado "nitidasin" a partir de la planta entera de </w:t>
      </w:r>
      <w:r>
        <w:rPr>
          <w:i/>
        </w:rPr>
        <w:t>Gentianella nitida</w:t>
      </w:r>
      <w:r>
        <w:t>. No se confirmó en esta ronda de verificación una actividad biológica específica atribuida al compuesto — solo su aislamiento y caracterización química.</w:t>
      </w:r>
    </w:p>
    <w:p>
      <w:r>
        <w:rPr>
          <w:b/>
        </w:rPr>
        <w:t>Enlaces:</w:t>
      </w:r>
    </w:p>
    <w:p>
      <w:pPr>
        <w:pStyle w:val="ListParagraph"/>
        <w:numPr>
          <w:ilvl w:val="0"/>
          <w:numId w:val="2"/>
        </w:numPr>
      </w:pPr>
      <w:r>
        <w:rPr>
          <w:b/>
        </w:rPr>
        <w:t xml:space="preserve">J-STAGE: </w:t>
      </w:r>
      <w:r>
        <w:t>https://www.jstage.jst.go.jp/article/cpb1958/45/10/45_10_1717/_article</w:t>
      </w:r>
    </w:p>
    <w:p>
      <w:pPr>
        <w:pStyle w:val="Heading3"/>
      </w:pPr>
      <w:r>
        <w:t xml:space="preserve">Estudio 2: Aislamiento fitoquímico en </w:t>
      </w:r>
      <w:r>
        <w:rPr>
          <w:i/>
        </w:rPr>
        <w:t>Gentianella alborosea</w:t>
      </w:r>
      <w:r>
        <w:t xml:space="preserve"> (la especie peruana llamada hercampuri en sentido estricto).</w:t>
      </w:r>
    </w:p>
    <w:p>
      <w:r>
        <w:rPr>
          <w:b/>
        </w:rPr>
        <w:t xml:space="preserve">Quién lo probó (cita): </w:t>
      </w:r>
      <w:r>
        <w:t xml:space="preserve">Kawahara N, Nozawa M, Flores D, Bonilla P, Sekita S, Satake M. (2000). "Sesterterpenoid from </w:t>
      </w:r>
      <w:r>
        <w:rPr>
          <w:i/>
        </w:rPr>
        <w:t>Gentianella alborosea</w:t>
      </w:r>
      <w:r>
        <w:t xml:space="preserve">." </w:t>
      </w:r>
      <w:r>
        <w:rPr>
          <w:i/>
        </w:rPr>
        <w:t>Phytochemistry</w:t>
      </w:r>
      <w:r>
        <w:t>, 53(8), 881-884.</w:t>
      </w:r>
    </w:p>
    <w:p>
      <w:pPr>
        <w:pStyle w:val="ListParagraph"/>
        <w:numPr>
          <w:ilvl w:val="0"/>
          <w:numId w:val="2"/>
        </w:numPr>
      </w:pPr>
      <w:r>
        <w:t xml:space="preserve">Aislamiento de un sesterterpenoide directamente de </w:t>
      </w:r>
      <w:r>
        <w:rPr>
          <w:i/>
        </w:rPr>
        <w:t>Gentianella alborosea</w:t>
      </w:r>
      <w:r>
        <w:t xml:space="preserve">, ampliando el trabajo fitoquímico previo del mismo grupo de investigación en </w:t>
      </w:r>
      <w:r>
        <w:rPr>
          <w:i/>
        </w:rPr>
        <w:t>G. nitida</w:t>
      </w:r>
      <w:r>
        <w:t>.</w:t>
      </w:r>
    </w:p>
    <w:p>
      <w:r>
        <w:rPr>
          <w:b/>
        </w:rPr>
        <w:t>Enlaces:</w:t>
      </w:r>
    </w:p>
    <w:p>
      <w:pPr>
        <w:pStyle w:val="ListParagraph"/>
        <w:numPr>
          <w:ilvl w:val="0"/>
          <w:numId w:val="2"/>
        </w:numPr>
      </w:pPr>
      <w:r>
        <w:rPr>
          <w:b/>
        </w:rPr>
        <w:t xml:space="preserve">PubMed: </w:t>
      </w:r>
      <w:r>
        <w:t>https://pubmed.ncbi.nlm.nih.gov/10820797/</w:t>
      </w:r>
    </w:p>
    <w:p>
      <w:pPr>
        <w:pStyle w:val="ListParagraph"/>
        <w:numPr>
          <w:ilvl w:val="0"/>
          <w:numId w:val="2"/>
        </w:numPr>
      </w:pPr>
      <w:r>
        <w:rPr>
          <w:b/>
        </w:rPr>
        <w:t xml:space="preserve">ScienceDirect: </w:t>
      </w:r>
      <w:r>
        <w:t>https://www.sciencedirect.com/science/article/abs/pii/S003194229900518X</w:t>
      </w:r>
    </w:p>
    <w:p>
      <w:pPr>
        <w:pStyle w:val="Heading3"/>
      </w:pPr>
      <w:r>
        <w:t xml:space="preserve">Estudio 3: Tesis de maestría — modelo animal de protección hepática frente a intoxicación con paracetamol, en </w:t>
      </w:r>
      <w:r>
        <w:rPr>
          <w:i/>
        </w:rPr>
        <w:t>Gentianella nitida</w:t>
      </w:r>
      <w:r>
        <w:t xml:space="preserve"> (24 ratas Holtzman hembra, 4 grupos de 6, Perú).</w:t>
      </w:r>
    </w:p>
    <w:p>
      <w:r>
        <w:rPr>
          <w:b/>
        </w:rPr>
        <w:t xml:space="preserve">Quién lo probó (cita): </w:t>
      </w:r>
      <w:r>
        <w:t>Carbonel Villanueva KN. (2017). "Efecto hepatoprotector del extracto acuoso de Gentianella nitida en un modelo experimental inducido por paracetamol." Tesis de maestría, Universidad Nacional Mayor de San Marcos, Facultad de Medicina, Unidad de Posgrado, Lima, Perú (asesora: Silvia Suárez Cunza).</w:t>
      </w:r>
    </w:p>
    <w:p>
      <w:pPr>
        <w:pStyle w:val="ListParagraph"/>
        <w:numPr>
          <w:ilvl w:val="0"/>
          <w:numId w:val="2"/>
        </w:numPr>
      </w:pPr>
      <w:r>
        <w:t xml:space="preserve">Dosis: extracto acuoso de </w:t>
      </w:r>
      <w:r>
        <w:rPr>
          <w:i/>
        </w:rPr>
        <w:t>G. nitida</w:t>
      </w:r>
      <w:r>
        <w:t xml:space="preserve"> 200 mg/kg/día por 7 días, frente a paracetamol hepatotóxico 300 mg/kg/día por 4 días y silimarina 50 mg/kg/día como referencia.</w:t>
      </w:r>
    </w:p>
    <w:p>
      <w:pPr>
        <w:pStyle w:val="ListParagraph"/>
        <w:numPr>
          <w:ilvl w:val="0"/>
          <w:numId w:val="2"/>
        </w:numPr>
      </w:pPr>
      <w:r>
        <w:t xml:space="preserve">Actividad de superóxido dismutasa: aumento significativo con </w:t>
      </w:r>
      <w:r>
        <w:rPr>
          <w:i/>
        </w:rPr>
        <w:t>G. nitida</w:t>
      </w:r>
      <w:r>
        <w:t xml:space="preserve"> frente al grupo paracetamol (p &lt; 0,05).</w:t>
      </w:r>
    </w:p>
    <w:p>
      <w:pPr>
        <w:pStyle w:val="ListParagraph"/>
        <w:numPr>
          <w:ilvl w:val="0"/>
          <w:numId w:val="2"/>
        </w:numPr>
      </w:pPr>
      <w:r>
        <w:t xml:space="preserve">Glutatión S-transferasa, glutatión reducido y lipoperoxidación (TBARs): reducción significativa con </w:t>
      </w:r>
      <w:r>
        <w:rPr>
          <w:i/>
        </w:rPr>
        <w:t>G. nitida</w:t>
      </w:r>
      <w:r>
        <w:t xml:space="preserve"> frente al grupo paracetamol (p &lt; 0,05) — es decir, menor daño oxidativo hepático.</w:t>
      </w:r>
    </w:p>
    <w:p>
      <w:pPr>
        <w:pStyle w:val="ListParagraph"/>
        <w:numPr>
          <w:ilvl w:val="0"/>
          <w:numId w:val="2"/>
        </w:numPr>
      </w:pPr>
      <w:r>
        <w:t>Caracterización in vitro del extracto: fenoles totales 65,8 ± 2,1 µg equivalentes de ácido gálico/mg; flavonoides 11,7 ± 0,8 µg equivalentes de quercetina/mg; IC50 (DPPH) 145 ± 2,5 µg/mL.</w:t>
      </w:r>
    </w:p>
    <w:p>
      <w:r>
        <w:rPr>
          <w:b/>
        </w:rPr>
        <w:t>Enlaces:</w:t>
      </w:r>
    </w:p>
    <w:p>
      <w:pPr>
        <w:pStyle w:val="ListParagraph"/>
        <w:numPr>
          <w:ilvl w:val="0"/>
          <w:numId w:val="2"/>
        </w:numPr>
      </w:pPr>
      <w:r>
        <w:rPr>
          <w:b/>
        </w:rPr>
        <w:t xml:space="preserve">PDF: </w:t>
      </w:r>
      <w:r>
        <w:t>https://docs.bvsalud.org/biblioref/2018/01/877347/efecto-hepatoprotector-del-extracto-acuoso-de-gentianella-nitid_1XfraPq.pdf</w:t>
      </w:r>
    </w:p>
    <w:p>
      <w:pPr>
        <w:pStyle w:val="Heading3"/>
      </w:pPr>
      <w:r>
        <w:t xml:space="preserve">Estudio 4: Hígado graso no alcohólico inducido por dieta hiperlipídica, en </w:t>
      </w:r>
      <w:r>
        <w:rPr>
          <w:i/>
        </w:rPr>
        <w:t>Gentianella alborosea</w:t>
      </w:r>
      <w:r>
        <w:t xml:space="preserve"> (32 ratas Holtzman hembra, 30 analizadas, 4 grupos, Perú).</w:t>
      </w:r>
    </w:p>
    <w:p>
      <w:r>
        <w:rPr>
          <w:b/>
        </w:rPr>
        <w:t xml:space="preserve">Quién lo probó (cita): </w:t>
      </w:r>
      <w:r>
        <w:t xml:space="preserve">Ugaz-Soto L, Zafra-Tanaka JH, Tapia Vicente ME. (2012). "Efecto de Gentianella alborosea en esteatosis hepática no alcohólica inducida por dieta hiperlipídica en ratas Holtzman hembras." </w:t>
      </w:r>
      <w:r>
        <w:rPr>
          <w:i/>
        </w:rPr>
        <w:t>CIMEL Ciencia e Investigación Médica Estudiantil Latinoamericana</w:t>
      </w:r>
      <w:r>
        <w:t>, 17(1), 18-23.</w:t>
      </w:r>
    </w:p>
    <w:p>
      <w:pPr>
        <w:pStyle w:val="ListParagraph"/>
        <w:numPr>
          <w:ilvl w:val="0"/>
          <w:numId w:val="2"/>
        </w:numPr>
      </w:pPr>
      <w:r>
        <w:t xml:space="preserve">Dosis: extracto de </w:t>
      </w:r>
      <w:r>
        <w:rPr>
          <w:i/>
        </w:rPr>
        <w:t>G. alborosea</w:t>
      </w:r>
      <w:r>
        <w:t xml:space="preserve"> 35 mg/kg (dosis 1) y 70 mg/kg (dosis 2).</w:t>
      </w:r>
    </w:p>
    <w:p>
      <w:pPr>
        <w:pStyle w:val="ListParagraph"/>
        <w:numPr>
          <w:ilvl w:val="0"/>
          <w:numId w:val="2"/>
        </w:numPr>
      </w:pPr>
      <w:r>
        <w:t>Porcentaje de macrovesículas en hepatocitos: dosis 1 = 3,25 % ± 2,27 vs. control positivo = 7,50 % ± 3,76 (p = 0,013), pero sin diferencia significativa entre dosis 1 y dosis 2 (p = 0,708).</w:t>
      </w:r>
    </w:p>
    <w:p>
      <w:pPr>
        <w:pStyle w:val="ListParagraph"/>
        <w:numPr>
          <w:ilvl w:val="0"/>
          <w:numId w:val="2"/>
        </w:numPr>
      </w:pPr>
      <w:r>
        <w:t>Conclusión honesta de los propios autores: no encontraron un efecto concluyente del tratamiento y recomendaron más estudios — se incluye aquí precisamente para no ocultar un resultado negativo/no concluyente.</w:t>
      </w:r>
    </w:p>
    <w:p>
      <w:r>
        <w:rPr>
          <w:b/>
        </w:rPr>
        <w:t>Enlaces:</w:t>
      </w:r>
    </w:p>
    <w:p>
      <w:pPr>
        <w:pStyle w:val="ListParagraph"/>
        <w:numPr>
          <w:ilvl w:val="0"/>
          <w:numId w:val="2"/>
        </w:numPr>
      </w:pPr>
      <w:r>
        <w:rPr>
          <w:b/>
        </w:rPr>
        <w:t xml:space="preserve">PDF: </w:t>
      </w:r>
      <w:r>
        <w:t>https://www.redalyc.org/pdf/717/71724868004.pdf</w:t>
      </w:r>
    </w:p>
    <w:p>
      <w:pPr>
        <w:pStyle w:val="Heading2"/>
      </w:pPr>
      <w:r>
        <w:t xml:space="preserve">Yacón — </w:t>
      </w:r>
      <w:r>
        <w:rPr>
          <w:i/>
        </w:rPr>
        <w:t>Smallanthus sonchifolius</w:t>
      </w:r>
      <w:r>
        <w:t xml:space="preserve"> (Poepp. &amp; Endl.) H. Rob. (Asteraceae)</w:t>
      </w:r>
    </w:p>
    <w:tbl>
      <w:tblPr>
        <w:tblW w:type="auto" w:w="0"/>
        <w:tblLook w:firstColumn="1" w:firstRow="1" w:lastColumn="0" w:lastRow="0" w:noHBand="0" w:noVBand="1" w:val="04A0"/>
      </w:tblPr>
      <w:tblGrid>
        <w:gridCol w:w="4513"/>
        <w:gridCol w:w="4513"/>
      </w:tblGrid>
      <w:tr>
        <w:tc>
          <w:tcPr>
            <w:tcW w:type="dxa" w:w="4513"/>
          </w:tcPr>
          <w:p>
            <w:r>
              <w:rPr>
                <w:b/>
              </w:rPr>
              <w:t>Parte medicinal</w:t>
            </w:r>
          </w:p>
        </w:tc>
        <w:tc>
          <w:tcPr>
            <w:tcW w:type="dxa" w:w="4513"/>
          </w:tcPr>
          <w:p>
            <w:r>
              <w:t>Jarabe de la raíz (rico en fructooligosacáridos/FOS); también hojas.</w:t>
            </w:r>
          </w:p>
        </w:tc>
      </w:tr>
      <w:tr>
        <w:tc>
          <w:tcPr>
            <w:tcW w:type="dxa" w:w="4513"/>
          </w:tcPr>
          <w:p>
            <w:r>
              <w:rPr>
                <w:b/>
              </w:rPr>
              <w:t>Nivel de evidencia</w:t>
            </w:r>
          </w:p>
        </w:tc>
        <w:tc>
          <w:tcPr>
            <w:tcW w:type="dxa" w:w="4513"/>
          </w:tcPr>
          <w:p>
            <w:r>
              <w:t>Humanos — ensayo clínico aleatorizado, doble ciego, controlado con placebo. Es la planta con la evidencia humana más sólida de las que se agregan en esta ronda.</w:t>
            </w:r>
          </w:p>
        </w:tc>
      </w:tr>
      <w:tr>
        <w:tc>
          <w:tcPr>
            <w:tcW w:type="dxa" w:w="4513"/>
          </w:tcPr>
          <w:p>
            <w:r>
              <w:rPr>
                <w:b/>
              </w:rPr>
              <w:t>Precaución</w:t>
            </w:r>
          </w:p>
        </w:tc>
        <w:tc>
          <w:tcPr>
            <w:tcW w:type="dxa" w:w="4513"/>
          </w:tcPr>
          <w:p>
            <w:r>
              <w:t>A dosis más altas de FOS produce molestias digestivas (gases, efecto laxante). La dosis mayor probada en el ensayo (0,29 g FOS/kg/día) se excluyó del análisis final por esta razón.</w:t>
            </w:r>
          </w:p>
        </w:tc>
      </w:tr>
    </w:tbl>
    <w:p>
      <w:pPr>
        <w:pStyle w:val="Heading3"/>
      </w:pPr>
      <w:r>
        <w:t>Estudio 1: Ensayo clínico aleatorizado, doble ciego, controlado con placebo — 55 mujeres reclutadas (35 completaron el estudio), obesas y con dislipidemia leve, 31 a 49 años, 120 días (Argentina).</w:t>
      </w:r>
    </w:p>
    <w:p>
      <w:r>
        <w:rPr>
          <w:b/>
        </w:rPr>
        <w:t xml:space="preserve">Quién lo probó (cita): </w:t>
      </w:r>
      <w:r>
        <w:t xml:space="preserve">Genta S, Cabrera W, Habib N, Pons J, Carrillo IM, Grau A, Sánchez S. (2009). "Yacon syrup: beneficial effects on obesity and insulin resistance in humans." </w:t>
      </w:r>
      <w:r>
        <w:rPr>
          <w:i/>
        </w:rPr>
        <w:t>Clinical Nutrition</w:t>
      </w:r>
      <w:r>
        <w:t>, 28(2), 182-187.</w:t>
      </w:r>
    </w:p>
    <w:p>
      <w:pPr>
        <w:pStyle w:val="ListParagraph"/>
        <w:numPr>
          <w:ilvl w:val="0"/>
          <w:numId w:val="2"/>
        </w:numPr>
      </w:pPr>
      <w:r>
        <w:t>Dosis: 0,14 g de fructooligosacáridos (FOS) por kg de peso corporal al día, en jarabe de yacón (la dosis mayor probada, 0,29 g FOS/kg/día, causó molestias digestivas inaceptables y se excluyó).</w:t>
      </w:r>
    </w:p>
    <w:p>
      <w:pPr>
        <w:pStyle w:val="ListParagraph"/>
        <w:numPr>
          <w:ilvl w:val="0"/>
          <w:numId w:val="2"/>
        </w:numPr>
      </w:pPr>
      <w:r>
        <w:t>Peso corporal: 91,2 → 76,2 kg con yacón (p &lt; 0,05) vs 90,7 → 92,3 kg con placebo.</w:t>
      </w:r>
    </w:p>
    <w:p>
      <w:pPr>
        <w:pStyle w:val="ListParagraph"/>
        <w:numPr>
          <w:ilvl w:val="0"/>
          <w:numId w:val="2"/>
        </w:numPr>
      </w:pPr>
      <w:r>
        <w:t>Circunferencia de cintura: 105,1 → 95,2 cm con yacón (p &lt; 0,05) vs 101,4 → 101,9 cm con placebo.</w:t>
      </w:r>
    </w:p>
    <w:p>
      <w:pPr>
        <w:pStyle w:val="ListParagraph"/>
        <w:numPr>
          <w:ilvl w:val="0"/>
          <w:numId w:val="2"/>
        </w:numPr>
      </w:pPr>
      <w:r>
        <w:t>Índice de masa corporal: 34 → 28 kg/m² con yacón (p &lt; 0,05) vs 33 → 32 kg/m² con placebo.</w:t>
      </w:r>
    </w:p>
    <w:p>
      <w:pPr>
        <w:pStyle w:val="ListParagraph"/>
        <w:numPr>
          <w:ilvl w:val="0"/>
          <w:numId w:val="2"/>
        </w:numPr>
      </w:pPr>
      <w:r>
        <w:t>Insulina en ayunas: 12,6 → 7,3 mUI/mL con yacón (p &lt; 0,05) vs 13,7 → 14,2 mUI/mL con placebo.</w:t>
      </w:r>
    </w:p>
    <w:p>
      <w:pPr>
        <w:pStyle w:val="ListParagraph"/>
        <w:numPr>
          <w:ilvl w:val="0"/>
          <w:numId w:val="2"/>
        </w:numPr>
      </w:pPr>
      <w:r>
        <w:t>HOMA-IR (resistencia a la insulina): 6,30 → 2,07 con yacón (p &lt; 0,05) vs 5,35 → 5,66 con placebo.</w:t>
      </w:r>
    </w:p>
    <w:p>
      <w:pPr>
        <w:pStyle w:val="ListParagraph"/>
        <w:numPr>
          <w:ilvl w:val="0"/>
          <w:numId w:val="2"/>
        </w:numPr>
      </w:pPr>
      <w:r>
        <w:t>Colesterol LDL: 3,54 → 2,52 mmol/L con yacón (p &lt; 0,05).</w:t>
      </w:r>
    </w:p>
    <w:p>
      <w:pPr>
        <w:pStyle w:val="ListParagraph"/>
        <w:numPr>
          <w:ilvl w:val="0"/>
          <w:numId w:val="2"/>
        </w:numPr>
      </w:pPr>
      <w:r>
        <w:t>La frecuencia de defecación aumentó 3,5 veces en el grupo de yacón.</w:t>
      </w:r>
    </w:p>
    <w:p>
      <w:r>
        <w:rPr>
          <w:b/>
        </w:rPr>
        <w:t>Enlaces:</w:t>
      </w:r>
    </w:p>
    <w:p>
      <w:pPr>
        <w:pStyle w:val="ListParagraph"/>
        <w:numPr>
          <w:ilvl w:val="0"/>
          <w:numId w:val="2"/>
        </w:numPr>
      </w:pPr>
      <w:r>
        <w:rPr>
          <w:b/>
        </w:rPr>
        <w:t xml:space="preserve">DOI: </w:t>
      </w:r>
      <w:r>
        <w:t>https://doi.org/10.1016/j.clnu.2009.01.013</w:t>
      </w:r>
    </w:p>
    <w:p>
      <w:pPr>
        <w:pStyle w:val="ListParagraph"/>
        <w:numPr>
          <w:ilvl w:val="0"/>
          <w:numId w:val="2"/>
        </w:numPr>
      </w:pPr>
      <w:r>
        <w:rPr>
          <w:b/>
        </w:rPr>
        <w:t xml:space="preserve">PubMed: </w:t>
      </w:r>
      <w:r>
        <w:t>https://pubmed.ncbi.nlm.nih.gov/19254816/</w:t>
      </w:r>
    </w:p>
    <w:p>
      <w:pPr>
        <w:pStyle w:val="ListParagraph"/>
        <w:numPr>
          <w:ilvl w:val="0"/>
          <w:numId w:val="2"/>
        </w:numPr>
      </w:pPr>
      <w:r>
        <w:rPr>
          <w:b/>
        </w:rPr>
        <w:t xml:space="preserve">Texto completo (PDF): </w:t>
      </w:r>
      <w:r>
        <w:t>https://cipotato.org/genebankcip/wp-content/uploads/sites/3/2017/04/ClinicalNutv28p182.pdf</w:t>
      </w:r>
    </w:p>
    <w:p>
      <w:pPr>
        <w:pStyle w:val="Heading3"/>
      </w:pPr>
      <w:r>
        <w:t>Estudio 2: Modelo animal (ratas), intoxicación con acetaminofén (Perú).</w:t>
      </w:r>
    </w:p>
    <w:p>
      <w:r>
        <w:rPr>
          <w:b/>
        </w:rPr>
        <w:t xml:space="preserve">Quién lo probó (cita): </w:t>
      </w:r>
      <w:r>
        <w:t xml:space="preserve">"Efecto hepatoprotector del extracto acuoso de </w:t>
      </w:r>
      <w:r>
        <w:rPr>
          <w:i/>
        </w:rPr>
        <w:t>Smallanthus sonchifolius</w:t>
      </w:r>
      <w:r>
        <w:t xml:space="preserve"> (yacón) en un modelo de intoxicación con acetaminofén." </w:t>
      </w:r>
      <w:r>
        <w:rPr>
          <w:i/>
        </w:rPr>
        <w:t>Anales de la Facultad de Medicina</w:t>
      </w:r>
      <w:r>
        <w:t xml:space="preserve"> (Universidad Nacional Mayor de San Marcos), 2012, 73(3).</w:t>
      </w:r>
    </w:p>
    <w:p>
      <w:pPr>
        <w:pStyle w:val="ListParagraph"/>
        <w:numPr>
          <w:ilvl w:val="0"/>
          <w:numId w:val="2"/>
        </w:numPr>
      </w:pPr>
      <w:r>
        <w:t>Evaluó el efecto protector del extracto acuoso de yacón sobre el hígado en un modelo animal de intoxicación por acetaminofén (dosis y cifras exactas no confirmadas en texto completo esta ronda).</w:t>
      </w:r>
    </w:p>
    <w:p>
      <w:r>
        <w:rPr>
          <w:b/>
        </w:rPr>
        <w:t>Enlaces:</w:t>
      </w:r>
    </w:p>
    <w:p>
      <w:pPr>
        <w:pStyle w:val="ListParagraph"/>
        <w:numPr>
          <w:ilvl w:val="0"/>
          <w:numId w:val="2"/>
        </w:numPr>
      </w:pPr>
      <w:r>
        <w:rPr>
          <w:b/>
        </w:rPr>
        <w:t xml:space="preserve">SciELO Perú: </w:t>
      </w:r>
      <w:r>
        <w:t>http://www.scielo.org.pe/scielo.php?script=sci_arttext&amp;pid=S1025-55832012000300012</w:t>
      </w:r>
    </w:p>
    <w:p>
      <w:pPr>
        <w:pStyle w:val="Heading3"/>
      </w:pPr>
      <w:r>
        <w:t>Estudio 3: Revisión sistemática reciente de la evidencia clínica sobre yacón.</w:t>
      </w:r>
    </w:p>
    <w:p>
      <w:r>
        <w:rPr>
          <w:b/>
        </w:rPr>
        <w:t xml:space="preserve">Quién lo probó (cita): </w:t>
      </w:r>
      <w:r>
        <w:t>(Autores del artículo original). (2025). "Impacts of Yacon Syrup (</w:t>
      </w:r>
      <w:r>
        <w:rPr>
          <w:i/>
        </w:rPr>
        <w:t>Smallanthus sonchifolius</w:t>
      </w:r>
      <w:r>
        <w:t xml:space="preserve">) on Human Health: A Systematic Review of Scientific Evidence from the Last Decade." </w:t>
      </w:r>
      <w:r>
        <w:rPr>
          <w:i/>
        </w:rPr>
        <w:t>Nutrients</w:t>
      </w:r>
      <w:r>
        <w:t>, 17(5), 888.</w:t>
      </w:r>
    </w:p>
    <w:p>
      <w:pPr>
        <w:pStyle w:val="ListParagraph"/>
        <w:numPr>
          <w:ilvl w:val="0"/>
          <w:numId w:val="2"/>
        </w:numPr>
      </w:pPr>
      <w:r>
        <w:t>Revisión sistemática que reúne la evidencia clínica sobre el jarabe de yacón publicada en la última década.</w:t>
      </w:r>
    </w:p>
    <w:p>
      <w:r>
        <w:rPr>
          <w:b/>
        </w:rPr>
        <w:t>Enlaces:</w:t>
      </w:r>
    </w:p>
    <w:p>
      <w:pPr>
        <w:pStyle w:val="ListParagraph"/>
        <w:numPr>
          <w:ilvl w:val="0"/>
          <w:numId w:val="2"/>
        </w:numPr>
      </w:pPr>
      <w:r>
        <w:rPr>
          <w:b/>
        </w:rPr>
        <w:t xml:space="preserve">DOI: </w:t>
      </w:r>
      <w:r>
        <w:t>https://doi.org/10.3390/nu17050888</w:t>
      </w:r>
    </w:p>
    <w:p>
      <w:pPr>
        <w:pStyle w:val="Heading2"/>
      </w:pPr>
      <w:r>
        <w:t xml:space="preserve">Ajo sacha — </w:t>
      </w:r>
      <w:r>
        <w:rPr>
          <w:i/>
        </w:rPr>
        <w:t>Mansoa alliacea</w:t>
      </w:r>
      <w:r>
        <w:t xml:space="preserve"> (Lam.) A.H. Gentry (Bignoniaceae)</w:t>
      </w:r>
    </w:p>
    <w:tbl>
      <w:tblPr>
        <w:tblW w:type="auto" w:w="0"/>
        <w:tblLook w:firstColumn="1" w:firstRow="1" w:lastColumn="0" w:lastRow="0" w:noHBand="0" w:noVBand="1" w:val="04A0"/>
      </w:tblPr>
      <w:tblGrid>
        <w:gridCol w:w="4513"/>
        <w:gridCol w:w="4513"/>
      </w:tblGrid>
      <w:tr>
        <w:tc>
          <w:tcPr>
            <w:tcW w:type="dxa" w:w="4513"/>
          </w:tcPr>
          <w:p>
            <w:r>
              <w:rPr>
                <w:b/>
              </w:rPr>
              <w:t>Parte medicinal</w:t>
            </w:r>
          </w:p>
        </w:tc>
        <w:tc>
          <w:tcPr>
            <w:tcW w:type="dxa" w:w="4513"/>
          </w:tcPr>
          <w:p>
            <w:r>
              <w:t>Hojas (extracto) y raíces (fitoquímica).</w:t>
            </w:r>
          </w:p>
        </w:tc>
      </w:tr>
      <w:tr>
        <w:tc>
          <w:tcPr>
            <w:tcW w:type="dxa" w:w="4513"/>
          </w:tcPr>
          <w:p>
            <w:r>
              <w:rPr>
                <w:b/>
              </w:rPr>
              <w:t>Nivel de evidencia</w:t>
            </w:r>
          </w:p>
        </w:tc>
        <w:tc>
          <w:tcPr>
            <w:tcW w:type="dxa" w:w="4513"/>
          </w:tcPr>
          <w:p>
            <w:r>
              <w:t>Preclínico (animales/laboratorio). No se encontró documentación etnobotánica primaria verificable esta ronda que confirme comunidad y preparación exactas — por eso esta planta solo se agrega en el documento científico, no en el de uso tradicional.</w:t>
            </w:r>
          </w:p>
        </w:tc>
      </w:tr>
      <w:tr>
        <w:tc>
          <w:tcPr>
            <w:tcW w:type="dxa" w:w="4513"/>
          </w:tcPr>
          <w:p>
            <w:r>
              <w:rPr>
                <w:b/>
              </w:rPr>
              <w:t>Precaución</w:t>
            </w:r>
          </w:p>
        </w:tc>
        <w:tc>
          <w:tcPr>
            <w:tcW w:type="dxa" w:w="4513"/>
          </w:tcPr>
          <w:p>
            <w:r>
              <w:t>No se encontraron datos de toxicidad/LD50 revisados por pares para esta planta en esta ronda de verificación — queda pendiente antes de recomendar cualquier dosis de uso.</w:t>
            </w:r>
          </w:p>
        </w:tc>
      </w:tr>
    </w:tbl>
    <w:p>
      <w:pPr>
        <w:pStyle w:val="Heading3"/>
      </w:pPr>
      <w:r>
        <w:t>Estudio 1: Modelo animal (ratones), dolor inflamatorio crónico.</w:t>
      </w:r>
    </w:p>
    <w:p>
      <w:r>
        <w:rPr>
          <w:b/>
        </w:rPr>
        <w:t xml:space="preserve">Quién lo probó (cita): </w:t>
      </w:r>
      <w:r>
        <w:t>(Autores del artículo original). (2018). "</w:t>
      </w:r>
      <w:r>
        <w:rPr>
          <w:i/>
        </w:rPr>
        <w:t>Mansoa alliacea</w:t>
      </w:r>
      <w:r>
        <w:t xml:space="preserve"> extract presents antinociceptive effect in a chronic inflammatory pain model in mice through opioid mechanisms." </w:t>
      </w:r>
      <w:r>
        <w:rPr>
          <w:i/>
        </w:rPr>
        <w:t>Neurochemistry International</w:t>
      </w:r>
      <w:r>
        <w:t>.</w:t>
      </w:r>
    </w:p>
    <w:p>
      <w:pPr>
        <w:pStyle w:val="ListParagraph"/>
        <w:numPr>
          <w:ilvl w:val="0"/>
          <w:numId w:val="2"/>
        </w:numPr>
      </w:pPr>
      <w:r>
        <w:t>Extracto de hojas con efecto antinociceptivo (contra el dolor) en un modelo de dolor inflamatorio crónico en ratones, mediado por mecanismos opioides.</w:t>
      </w:r>
    </w:p>
    <w:p>
      <w:r>
        <w:rPr>
          <w:b/>
        </w:rPr>
        <w:t>Enlaces:</w:t>
      </w:r>
    </w:p>
    <w:p>
      <w:pPr>
        <w:pStyle w:val="ListParagraph"/>
        <w:numPr>
          <w:ilvl w:val="0"/>
          <w:numId w:val="2"/>
        </w:numPr>
      </w:pPr>
      <w:r>
        <w:rPr>
          <w:b/>
        </w:rPr>
        <w:t xml:space="preserve">ScienceDirect: </w:t>
      </w:r>
      <w:r>
        <w:t>https://www.sciencedirect.com/science/article/pii/S0197018618303668</w:t>
      </w:r>
    </w:p>
    <w:p>
      <w:pPr>
        <w:pStyle w:val="Heading3"/>
      </w:pPr>
      <w:r>
        <w:t>Estudio 2: Fitoquímica de las raíces (Perú).</w:t>
      </w:r>
    </w:p>
    <w:p>
      <w:r>
        <w:rPr>
          <w:b/>
        </w:rPr>
        <w:t xml:space="preserve">Quién lo probó (cita): </w:t>
      </w:r>
      <w:r>
        <w:t>(Autores del artículo original). (2018). "Esteroles presentes en el extracto apolar de las raíces de ajo sacha (</w:t>
      </w:r>
      <w:r>
        <w:rPr>
          <w:i/>
        </w:rPr>
        <w:t>Mansoa alliacea</w:t>
      </w:r>
      <w:r>
        <w:t xml:space="preserve">)." </w:t>
      </w:r>
      <w:r>
        <w:rPr>
          <w:i/>
        </w:rPr>
        <w:t>Revista de la Sociedad Química del Perú</w:t>
      </w:r>
      <w:r>
        <w:t>, 84(4).</w:t>
      </w:r>
    </w:p>
    <w:p>
      <w:pPr>
        <w:pStyle w:val="ListParagraph"/>
        <w:numPr>
          <w:ilvl w:val="0"/>
          <w:numId w:val="2"/>
        </w:numPr>
      </w:pPr>
      <w:r>
        <w:t>Identificación de esteroles en el extracto apolar de raíces de ajo sacha cultivado/recolectado en Perú.</w:t>
      </w:r>
    </w:p>
    <w:p>
      <w:r>
        <w:rPr>
          <w:b/>
        </w:rPr>
        <w:t>Enlaces:</w:t>
      </w:r>
    </w:p>
    <w:p>
      <w:pPr>
        <w:pStyle w:val="ListParagraph"/>
        <w:numPr>
          <w:ilvl w:val="0"/>
          <w:numId w:val="2"/>
        </w:numPr>
      </w:pPr>
      <w:r>
        <w:rPr>
          <w:b/>
        </w:rPr>
        <w:t xml:space="preserve">SciELO Perú: </w:t>
      </w:r>
      <w:r>
        <w:t>http://www.scielo.org.pe/scielo.php?script=sci_arttext&amp;pid=S1810-634X2018000400011</w:t>
      </w:r>
    </w:p>
    <w:p>
      <w:pPr>
        <w:pStyle w:val="Heading3"/>
      </w:pPr>
      <w:r>
        <w:t>Estudio 3: Caracterización de nanopartículas de plata sintetizadas con extracto de hojas.</w:t>
      </w:r>
    </w:p>
    <w:p>
      <w:r>
        <w:rPr>
          <w:b/>
        </w:rPr>
        <w:t xml:space="preserve">Quién lo probó (cita): </w:t>
      </w:r>
      <w:r>
        <w:t xml:space="preserve">(Autores del artículo original). (2024). "Phytosynthesis of Silver Nanoparticles Using </w:t>
      </w:r>
      <w:r>
        <w:rPr>
          <w:i/>
        </w:rPr>
        <w:t>Mansoa alliacea</w:t>
      </w:r>
      <w:r>
        <w:t xml:space="preserve"> (Lam.) A.H. Gentry (Bignoniaceae) Leaf Extract: Characterization and Their Biological Activities." </w:t>
      </w:r>
      <w:r>
        <w:rPr>
          <w:i/>
        </w:rPr>
        <w:t>Pharmaceutics</w:t>
      </w:r>
      <w:r>
        <w:t>, 16(10), 1247.</w:t>
      </w:r>
    </w:p>
    <w:p>
      <w:pPr>
        <w:pStyle w:val="ListParagraph"/>
        <w:numPr>
          <w:ilvl w:val="0"/>
          <w:numId w:val="2"/>
        </w:numPr>
      </w:pPr>
      <w:r>
        <w:t>Síntesis de nanopartículas de plata a partir de extracto de hojas de ajo sacha, con caracterización de sus actividades biológicas (estudio de química/nanotecnología, no un ensayo terapéutico directo).</w:t>
      </w:r>
    </w:p>
    <w:p>
      <w:r>
        <w:rPr>
          <w:b/>
        </w:rPr>
        <w:t>Enlaces:</w:t>
      </w:r>
    </w:p>
    <w:p>
      <w:pPr>
        <w:pStyle w:val="ListParagraph"/>
        <w:numPr>
          <w:ilvl w:val="0"/>
          <w:numId w:val="2"/>
        </w:numPr>
      </w:pPr>
      <w:r>
        <w:rPr>
          <w:b/>
        </w:rPr>
        <w:t xml:space="preserve">DOI: </w:t>
      </w:r>
      <w:r>
        <w:t>https://doi.org/10.3390/pharmaceutics16101247</w:t>
      </w:r>
    </w:p>
    <w:p>
      <w:pPr>
        <w:pStyle w:val="Heading3"/>
      </w:pPr>
      <w:r>
        <w:t>Estudio 4: Modelo animal (ratones), dolor nociceptivo agudo — pruebas de formalina y de placa caliente (177 ratones Swiss Webster machos en total, dosis por vía intraperitoneal y oral).</w:t>
      </w:r>
    </w:p>
    <w:p>
      <w:r>
        <w:rPr>
          <w:b/>
        </w:rPr>
        <w:t xml:space="preserve">Quién lo probó (cita): </w:t>
      </w:r>
      <w:r>
        <w:t xml:space="preserve">Valle-Dorado MG, Hernández-León A, Nani-Vázquez A, Ángeles-López GE, González-Trujano ME, Ventura-Martínez R. (2022). "Antinociceptive effect of Mansoa alliacea polar extracts involves opioid receptors and nitric oxide in experimental nociception in mice." </w:t>
      </w:r>
      <w:r>
        <w:rPr>
          <w:i/>
        </w:rPr>
        <w:t>Biomedicine &amp; Pharmacotherapy</w:t>
      </w:r>
      <w:r>
        <w:t>, 152, artículo 113253.</w:t>
      </w:r>
    </w:p>
    <w:p>
      <w:pPr>
        <w:pStyle w:val="ListParagraph"/>
        <w:numPr>
          <w:ilvl w:val="0"/>
          <w:numId w:val="2"/>
        </w:numPr>
      </w:pPr>
      <w:r>
        <w:t>Extractos etanólico (MA-EtOH) y acuoso (MA-AQ) de hojas, a dosis de 30, 100, 300 y 600 mg/kg, por vía intraperitoneal y oral.</w:t>
      </w:r>
    </w:p>
    <w:p>
      <w:pPr>
        <w:pStyle w:val="ListParagraph"/>
        <w:numPr>
          <w:ilvl w:val="0"/>
          <w:numId w:val="2"/>
        </w:numPr>
      </w:pPr>
      <w:r>
        <w:t>Ambos extractos mostraron un efecto antinociceptivo superior al del diclofenaco en los dos modelos de dolor agudo probados.</w:t>
      </w:r>
    </w:p>
    <w:p>
      <w:pPr>
        <w:pStyle w:val="ListParagraph"/>
        <w:numPr>
          <w:ilvl w:val="0"/>
          <w:numId w:val="2"/>
        </w:numPr>
      </w:pPr>
      <w:r>
        <w:t>La vía intraperitoneal produjo mejores efectos antinociceptivos que la vía oral.</w:t>
      </w:r>
    </w:p>
    <w:p>
      <w:pPr>
        <w:pStyle w:val="ListParagraph"/>
        <w:numPr>
          <w:ilvl w:val="0"/>
          <w:numId w:val="2"/>
        </w:numPr>
      </w:pPr>
      <w:r>
        <w:t>Los mecanismos identificados por los autores incluyen receptores opioides y la vía del óxido nítrico.</w:t>
      </w:r>
    </w:p>
    <w:p>
      <w:r>
        <w:rPr>
          <w:b/>
        </w:rPr>
        <w:t>Enlaces:</w:t>
      </w:r>
    </w:p>
    <w:p>
      <w:pPr>
        <w:pStyle w:val="ListParagraph"/>
        <w:numPr>
          <w:ilvl w:val="0"/>
          <w:numId w:val="2"/>
        </w:numPr>
      </w:pPr>
      <w:r>
        <w:rPr>
          <w:b/>
        </w:rPr>
        <w:t xml:space="preserve">PubMed: </w:t>
      </w:r>
      <w:r>
        <w:t>https://pubmed.ncbi.nlm.nih.gov/35696943/</w:t>
      </w:r>
    </w:p>
    <w:p>
      <w:pPr>
        <w:pStyle w:val="ListParagraph"/>
        <w:numPr>
          <w:ilvl w:val="0"/>
          <w:numId w:val="2"/>
        </w:numPr>
      </w:pPr>
      <w:r>
        <w:rPr>
          <w:b/>
        </w:rPr>
        <w:t xml:space="preserve">ScienceDirect: </w:t>
      </w:r>
      <w:r>
        <w:t>https://www.sciencedirect.com/science/article/pii/S0753332222006424</w:t>
      </w:r>
    </w:p>
    <w:p>
      <w:pPr>
        <w:pStyle w:val="Heading2"/>
      </w:pPr>
      <w:r>
        <w:t xml:space="preserve">Guayusa — </w:t>
      </w:r>
      <w:r>
        <w:rPr>
          <w:i/>
        </w:rPr>
        <w:t>Ilex guayusa</w:t>
      </w:r>
      <w:r>
        <w:t xml:space="preserve"> Loes. (Aquifoliaceae)</w:t>
      </w:r>
    </w:p>
    <w:tbl>
      <w:tblPr>
        <w:tblW w:type="auto" w:w="0"/>
        <w:tblLook w:firstColumn="1" w:firstRow="1" w:lastColumn="0" w:lastRow="0" w:noHBand="0" w:noVBand="1" w:val="04A0"/>
      </w:tblPr>
      <w:tblGrid>
        <w:gridCol w:w="4513"/>
        <w:gridCol w:w="4513"/>
      </w:tblGrid>
      <w:tr>
        <w:tc>
          <w:tcPr>
            <w:tcW w:type="dxa" w:w="4513"/>
          </w:tcPr>
          <w:p>
            <w:r>
              <w:rPr>
                <w:b/>
              </w:rPr>
              <w:t>Parte medicinal</w:t>
            </w:r>
          </w:p>
        </w:tc>
        <w:tc>
          <w:tcPr>
            <w:tcW w:type="dxa" w:w="4513"/>
          </w:tcPr>
          <w:p>
            <w:r>
              <w:t>Hojas (contienen cafeína).</w:t>
            </w:r>
          </w:p>
        </w:tc>
      </w:tr>
      <w:tr>
        <w:tc>
          <w:tcPr>
            <w:tcW w:type="dxa" w:w="4513"/>
          </w:tcPr>
          <w:p>
            <w:r>
              <w:rPr>
                <w:b/>
              </w:rPr>
              <w:t>Nivel de evidencia</w:t>
            </w:r>
          </w:p>
        </w:tc>
        <w:tc>
          <w:tcPr>
            <w:tcW w:type="dxa" w:w="4513"/>
          </w:tcPr>
          <w:p>
            <w:r>
              <w:t>Humanos — ensayo clínico aleatorizado, cruzado, doble ciego.</w:t>
            </w:r>
          </w:p>
        </w:tc>
      </w:tr>
      <w:tr>
        <w:tc>
          <w:tcPr>
            <w:tcW w:type="dxa" w:w="4513"/>
          </w:tcPr>
          <w:p>
            <w:r>
              <w:rPr>
                <w:b/>
              </w:rPr>
              <w:t>Precaución</w:t>
            </w:r>
          </w:p>
        </w:tc>
        <w:tc>
          <w:tcPr>
            <w:tcW w:type="dxa" w:w="4513"/>
          </w:tcPr>
          <w:p>
            <w:r>
              <w:t>Contiene cafeína: puede elevar la presión arterial (efecto confirmado en el ensayo) y no es recomendable en arritmias, embarazo o para quien deba evitar estimulantes.</w:t>
            </w:r>
          </w:p>
        </w:tc>
      </w:tr>
    </w:tbl>
    <w:p>
      <w:pPr>
        <w:pStyle w:val="Heading3"/>
      </w:pPr>
      <w:r>
        <w:t>Estudio 1: Ensayo clínico aleatorizado, doble ciego, controlado con placebo, cruzado, en 25 adultos jóvenes (edad promedio 28 años), con lavado de 7 días entre dosis.</w:t>
      </w:r>
    </w:p>
    <w:p>
      <w:r>
        <w:rPr>
          <w:b/>
        </w:rPr>
        <w:t xml:space="preserve">Quién lo probó (cita): </w:t>
      </w:r>
      <w:r>
        <w:t xml:space="preserve">(Autores del artículo original). (2024). "Acute, dose-response effects of guayusa leaf extract on mood, cognitive and motor-cognitive performance, and blood pressure, heart rate, and ventricular repolarization." </w:t>
      </w:r>
      <w:r>
        <w:rPr>
          <w:i/>
        </w:rPr>
        <w:t>Journal of the International Society of Sports Nutrition</w:t>
      </w:r>
      <w:r>
        <w:t>, 21(1).</w:t>
      </w:r>
    </w:p>
    <w:p>
      <w:pPr>
        <w:pStyle w:val="ListParagraph"/>
        <w:numPr>
          <w:ilvl w:val="0"/>
          <w:numId w:val="2"/>
        </w:numPr>
      </w:pPr>
      <w:r>
        <w:t>Dosis probadas: 600 mg de extracto de hoja de guayusa (equivalente a 120 mg de cafeína), 1200 mg (equivalente a 240 mg de cafeína), y placebo.</w:t>
      </w:r>
    </w:p>
    <w:p>
      <w:pPr>
        <w:pStyle w:val="ListParagraph"/>
        <w:numPr>
          <w:ilvl w:val="0"/>
          <w:numId w:val="2"/>
        </w:numPr>
      </w:pPr>
      <w:r>
        <w:t>Con 600 mg: mejoras significativas frente a placebo en el estado de ánimo general, la fatiga, la energía percibida y la velocidad psicomotora.</w:t>
      </w:r>
    </w:p>
    <w:p>
      <w:pPr>
        <w:pStyle w:val="ListParagraph"/>
        <w:numPr>
          <w:ilvl w:val="0"/>
          <w:numId w:val="2"/>
        </w:numPr>
      </w:pPr>
      <w:r>
        <w:t>Con 1200 mg: mejora del desempeño motor-cognitivo (velocidad psicomotora, tiempos de reacción), pero con nerviosismo/jitteriness reportado en mujeres a esta dosis.</w:t>
      </w:r>
    </w:p>
    <w:p>
      <w:pPr>
        <w:pStyle w:val="ListParagraph"/>
        <w:numPr>
          <w:ilvl w:val="0"/>
          <w:numId w:val="2"/>
        </w:numPr>
      </w:pPr>
      <w:r>
        <w:t>Ambas dosis subieron la presión arterial sistólica y diastólica entre 4 y 5 mmHg frente al placebo.</w:t>
      </w:r>
    </w:p>
    <w:p>
      <w:pPr>
        <w:pStyle w:val="ListParagraph"/>
        <w:numPr>
          <w:ilvl w:val="0"/>
          <w:numId w:val="2"/>
        </w:numPr>
      </w:pPr>
      <w:r>
        <w:t>Conclusión de los propios autores: la dosis más baja (600 mg) parece optimizar los beneficios cognitivos y de ánimo limitando los efectos secundarios.</w:t>
      </w:r>
    </w:p>
    <w:p>
      <w:r>
        <w:rPr>
          <w:b/>
        </w:rPr>
        <w:t>Enlaces:</w:t>
      </w:r>
    </w:p>
    <w:p>
      <w:pPr>
        <w:pStyle w:val="ListParagraph"/>
        <w:numPr>
          <w:ilvl w:val="0"/>
          <w:numId w:val="2"/>
        </w:numPr>
      </w:pPr>
      <w:r>
        <w:rPr>
          <w:b/>
        </w:rPr>
        <w:t xml:space="preserve">DOI: </w:t>
      </w:r>
      <w:r>
        <w:t>https://doi.org/10.1080/15502783.2024.2379424</w:t>
      </w:r>
    </w:p>
    <w:p>
      <w:pPr>
        <w:pStyle w:val="ListParagraph"/>
        <w:numPr>
          <w:ilvl w:val="0"/>
          <w:numId w:val="2"/>
        </w:numPr>
      </w:pPr>
      <w:r>
        <w:rPr>
          <w:b/>
        </w:rPr>
        <w:t xml:space="preserve">PubMed: </w:t>
      </w:r>
      <w:r>
        <w:t>https://pubmed.ncbi.nlm.nih.gov/39014963/</w:t>
      </w:r>
    </w:p>
    <w:p>
      <w:pPr>
        <w:pStyle w:val="Heading1"/>
      </w:pPr>
      <w:r>
        <w:t xml:space="preserve">Notas finales</w:t>
      </w:r>
    </w:p>
    <w:p>
      <w:pPr>
        <w:pStyle w:val="ListParagraph"/>
        <w:numPr>
          <w:ilvl w:val="0"/>
          <w:numId w:val="2"/>
        </w:numPr>
        <w:spacing w:after="60"/>
      </w:pPr>
      <w:r>
        <w:rPr>
          <w:rFonts w:ascii="Arial" w:cs="Arial" w:eastAsia="Arial" w:hAnsi="Arial"/>
          <w:sz w:val="21"/>
          <w:szCs w:val="21"/>
        </w:rPr>
        <w:t xml:space="preserve">Todos los enlaces DOI llevan a la página oficial del artículo; PubMed y SciELO ofrecen el resumen gratis.</w:t>
      </w:r>
    </w:p>
    <w:p>
      <w:pPr>
        <w:pStyle w:val="ListParagraph"/>
        <w:numPr>
          <w:ilvl w:val="0"/>
          <w:numId w:val="2"/>
        </w:numPr>
        <w:spacing w:after="60"/>
      </w:pPr>
      <w:r>
        <w:rPr>
          <w:rFonts w:ascii="Arial" w:cs="Arial" w:eastAsia="Arial" w:hAnsi="Arial"/>
          <w:sz w:val="21"/>
          <w:szCs w:val="21"/>
        </w:rPr>
        <w:t xml:space="preserve">Cuando un artículo es de acceso pago, el resumen (abstract) sigue siendo público y contiene los datos citados aquí.</w:t>
      </w:r>
    </w:p>
    <w:p>
      <w:pPr>
        <w:pStyle w:val="ListParagraph"/>
        <w:numPr>
          <w:ilvl w:val="0"/>
          <w:numId w:val="2"/>
        </w:numPr>
        <w:spacing w:after="60"/>
      </w:pPr>
      <w:r>
        <w:rPr>
          <w:rFonts w:ascii="Arial" w:cs="Arial" w:eastAsia="Arial" w:hAnsi="Arial"/>
          <w:sz w:val="21"/>
          <w:szCs w:val="21"/>
        </w:rPr>
        <w:t xml:space="preserve">No se incluyeron usos que solo aparecen en páginas comerciales o blogs sin artículo científico detrás.</w:t>
      </w:r>
    </w:p>
    <w:p>
      <w:pPr>
        <w:pStyle w:val="ListParagraph"/>
        <w:numPr>
          <w:ilvl w:val="0"/>
          <w:numId w:val="2"/>
        </w:numPr>
        <w:spacing w:after="60"/>
      </w:pPr>
      <w:r>
        <w:rPr>
          <w:rFonts w:ascii="Arial" w:cs="Arial" w:eastAsia="Arial" w:hAnsi="Arial"/>
          <w:sz w:val="21"/>
          <w:szCs w:val="21"/>
        </w:rPr>
        <w:t xml:space="preserve">Para usos tradicionales (sin prueba científica) ver el documento complementario "Plantas medicinales – Uso tradicional documentado".</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Plantas medicinales con respaldo científico · Pág.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E5631"/>
      <w:sz w:val="32"/>
      <w:szCs w:val="32"/>
    </w:rPr>
  </w:style>
  <w:style w:type="paragraph" w:styleId="Heading2">
    <w:name w:val="Heading 2"/>
    <w:basedOn w:val="Normal"/>
    <w:next w:val="Normal"/>
    <w:qFormat/>
    <w:pPr>
      <w:pBdr>
        <w:bottom w:val="single" w:color="8DB596" w:sz="6" w:space="2"/>
      </w:pBdr>
      <w:spacing w:after="120" w:before="280"/>
      <w:outlineLvl w:val="1"/>
    </w:pPr>
    <w:rPr>
      <w:rFonts w:ascii="Arial" w:cs="Arial" w:eastAsia="Arial" w:hAnsi="Arial"/>
      <w:b/>
      <w:bCs/>
      <w:color w:val="1E5631"/>
      <w:sz w:val="27"/>
      <w:szCs w:val="27"/>
    </w:rPr>
  </w:style>
  <w:style w:type="paragraph" w:styleId="Heading3">
    <w:name w:val="Heading 3"/>
    <w:basedOn w:val="Normal"/>
    <w:next w:val="Normal"/>
    <w:qFormat/>
    <w:pPr>
      <w:spacing w:after="80" w:before="180"/>
      <w:outlineLvl w:val="2"/>
    </w:pPr>
    <w:rPr>
      <w:rFonts w:ascii="Arial" w:cs="Arial" w:eastAsia="Arial" w:hAnsi="Arial"/>
      <w:b/>
      <w:bCs/>
      <w:color w:val="33333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1a44o20sj5b9sbiamkfs" Type="http://schemas.openxmlformats.org/officeDocument/2006/relationships/hyperlink" Target="https://doi.org/10.3390/molecules17089697" TargetMode="External"/><Relationship Id="rIdzrlqk4rtr5jbct84-2yzc" Type="http://schemas.openxmlformats.org/officeDocument/2006/relationships/hyperlink" Target="https://www.mdpi.com/1420-3049/17/8/9697" TargetMode="External"/><Relationship Id="rIdrke7qryaxe3rneat8ansx" Type="http://schemas.openxmlformats.org/officeDocument/2006/relationships/hyperlink" Target="https://pubmed.ncbi.nlm.nih.gov/22890173/" TargetMode="External"/><Relationship Id="rIdvixhcyoghczcrycz76kwb" Type="http://schemas.openxmlformats.org/officeDocument/2006/relationships/hyperlink" Target="https://doi.org/10.1111/1541-4337.12249" TargetMode="External"/><Relationship Id="rId27e6tx8pqugtf07rvyjc5" Type="http://schemas.openxmlformats.org/officeDocument/2006/relationships/hyperlink" Target="https://onlinelibrary.wiley.com/doi/full/10.1111/1541-4337.12249" TargetMode="External"/><Relationship Id="rIdwgbozahtqustdkydinmu_" Type="http://schemas.openxmlformats.org/officeDocument/2006/relationships/hyperlink" Target="https://doi.org/10.1136/bmj.j5024" TargetMode="External"/><Relationship Id="rIdhcputr02riwpug2a-qt7v" Type="http://schemas.openxmlformats.org/officeDocument/2006/relationships/hyperlink" Target="https://pmc.ncbi.nlm.nih.gov/articles/PMC5765813/" TargetMode="External"/><Relationship Id="rId05uq8q-tlwuuykji3fsm4" Type="http://schemas.openxmlformats.org/officeDocument/2006/relationships/hyperlink" Target="https://www.southampton.ac.uk/news/2017/11/coffee-health-benefits.page" TargetMode="External"/><Relationship Id="rIddxn5el_-ziahcvb-e7t2g" Type="http://schemas.openxmlformats.org/officeDocument/2006/relationships/hyperlink" Target="https://doi.org/10.1053/gast.2001.27178" TargetMode="External"/><Relationship Id="rId28tcrdk1omz7ixkiaynch" Type="http://schemas.openxmlformats.org/officeDocument/2006/relationships/hyperlink" Target="https://pubmed.ncbi.nlm.nih.gov/11522739/" TargetMode="External"/><Relationship Id="rIdtjx17m0xppm2pumjj7dnx" Type="http://schemas.openxmlformats.org/officeDocument/2006/relationships/hyperlink" Target="https://www.gastrojournal.org/article/S0016-5085(01)89171-X/fulltext" TargetMode="External"/><Relationship Id="rIdo9hsx1a6bnihdybdtd_7s" Type="http://schemas.openxmlformats.org/officeDocument/2006/relationships/hyperlink" Target="https://doi.org/10.1016/j.jep.2014.11.008" TargetMode="External"/><Relationship Id="rIdr1rp7kt_zfkzo_oyjvpir" Type="http://schemas.openxmlformats.org/officeDocument/2006/relationships/hyperlink" Target="https://pubmed.ncbi.nlm.nih.gov/25449450/" TargetMode="External"/><Relationship Id="rIddxwi5mhs2ea-mmlp4cbx6" Type="http://schemas.openxmlformats.org/officeDocument/2006/relationships/hyperlink" Target="https://doi.org/10.1093/ajcn/nqac055" TargetMode="External"/><Relationship Id="rIdzpsisi0jzhdlgjw3kryg_" Type="http://schemas.openxmlformats.org/officeDocument/2006/relationships/hyperlink" Target="https://pmc.ncbi.nlm.nih.gov/articles/PMC9170467/" TargetMode="External"/><Relationship Id="rId4y0laj3j_ueamujpqs-1v" Type="http://schemas.openxmlformats.org/officeDocument/2006/relationships/hyperlink" Target="https://clinicaltrials.gov/study/NCT02422745" TargetMode="External"/><Relationship Id="rIdep_lwl19ogz6jjjmvnlet" Type="http://schemas.openxmlformats.org/officeDocument/2006/relationships/hyperlink" Target="https://doi.org/10.1002/14651858.CD008893.pub3" TargetMode="External"/><Relationship Id="rId_fxjwsxbaz1etgnijxnfu" Type="http://schemas.openxmlformats.org/officeDocument/2006/relationships/hyperlink" Target="https://www.cochrane.org/evidence/CD008893_effect-cocoa-blood-pressure" TargetMode="External"/><Relationship Id="rIdfe654c9naufsqiyu47vdx" Type="http://schemas.openxmlformats.org/officeDocument/2006/relationships/hyperlink" Target="https://doi.org/10.1161/JAHA.114.001355" TargetMode="External"/><Relationship Id="rIdc6mhsks1n3c_awioy9tzl" Type="http://schemas.openxmlformats.org/officeDocument/2006/relationships/hyperlink" Target="https://www.sciencedaily.com/releases/2015/01/150107204818.htm" TargetMode="External"/><Relationship Id="rIdzb-cxmz4zab-mryamzns4" Type="http://schemas.openxmlformats.org/officeDocument/2006/relationships/hyperlink" Target="https://doi.org/10.1161/JAHA.121.024014" TargetMode="External"/><Relationship Id="rIdabicipwfkjrp-jfodyynh" Type="http://schemas.openxmlformats.org/officeDocument/2006/relationships/hyperlink" Target="https://newsroom.heart.org/news/eating-two-servings-of-avocados-a-week-linked-to-lower-risk-of-cardiovascular-disease" TargetMode="External"/><Relationship Id="rIdljdpjfpnz9sdwkrsk7tnv" Type="http://schemas.openxmlformats.org/officeDocument/2006/relationships/hyperlink" Target="https://doi.org/10.3390/ijms160715625" TargetMode="External"/><Relationship Id="rIdvarbvm-hog79sgazyvcpv" Type="http://schemas.openxmlformats.org/officeDocument/2006/relationships/hyperlink" Target="https://www.mdpi.com/1422-0067/16/7/15625" TargetMode="External"/><Relationship Id="rIdln01smvisrsgvpj8dptzb" Type="http://schemas.openxmlformats.org/officeDocument/2006/relationships/hyperlink" Target="https://doi.org/10.1002/mds.22300" TargetMode="External"/><Relationship Id="rId9l7aa_mqm4hbmvawwmdhb" Type="http://schemas.openxmlformats.org/officeDocument/2006/relationships/hyperlink" Target="https://doi.org/10.1159/000319907" TargetMode="External"/><Relationship Id="rId0qcesqs8d5klz8-wtg0nw" Type="http://schemas.openxmlformats.org/officeDocument/2006/relationships/hyperlink" Target="https://pubmed.ncbi.nlm.nih.gov/21252569/" TargetMode="External"/><Relationship Id="rIdxrapzml96woihxs1wa4rd" Type="http://schemas.openxmlformats.org/officeDocument/2006/relationships/hyperlink" Target="https://doi.org/10.1155/2014/857292" TargetMode="External"/><Relationship Id="rIdi_rmlh1eneg6i_fvgcduo" Type="http://schemas.openxmlformats.org/officeDocument/2006/relationships/hyperlink" Target="https://pubmed.ncbi.nlm.nih.gov/25050404/" TargetMode="External"/><Relationship Id="rId9pg5jaxudyf8wm_jhfhf-" Type="http://schemas.openxmlformats.org/officeDocument/2006/relationships/hyperlink" Target="https://doi.org/10.1186/s12906-018-2409-0" TargetMode="External"/><Relationship Id="rIdvaiaet95anwfwjucxppt9" Type="http://schemas.openxmlformats.org/officeDocument/2006/relationships/hyperlink" Target="https://link.springer.com/article/10.1186/s12906-018-2409-0" TargetMode="External"/><Relationship Id="rId21yaxet_pdibxuyxjzcvu" Type="http://schemas.openxmlformats.org/officeDocument/2006/relationships/hyperlink" Target="https://pubmed.ncbi.nlm.nih.gov/30654773/" TargetMode="External"/><Relationship Id="rIdqb6cjxsrmynsdz5hrjai2" Type="http://schemas.openxmlformats.org/officeDocument/2006/relationships/hyperlink" Target="https://doi.org/10.1002/ptr.1936" TargetMode="External"/><Relationship Id="rIds-uu1y9tesdf_sks340er" Type="http://schemas.openxmlformats.org/officeDocument/2006/relationships/hyperlink" Target="https://doi.org/10.1186/1465-9921-10-69" TargetMode="External"/><Relationship Id="rIdb9rltvhen8q5munrplvxk" Type="http://schemas.openxmlformats.org/officeDocument/2006/relationships/hyperlink" Target="https://respiratory-research.biomedcentral.com/articles/10.1186/1465-9921-10-69" TargetMode="External"/><Relationship Id="rIdy9flnps6rege2qgjhbmjt" Type="http://schemas.openxmlformats.org/officeDocument/2006/relationships/hyperlink" Target="https://pubmed.ncbi.nlm.nih.gov/19624838/" TargetMode="External"/><Relationship Id="rIdtdernkcm-d2cpps_nu_mq" Type="http://schemas.openxmlformats.org/officeDocument/2006/relationships/hyperlink" Target="https://doi.org/10.1002/jsfa.8600" TargetMode="External"/><Relationship Id="rId1gyf-ru_txsyvthavpryh" Type="http://schemas.openxmlformats.org/officeDocument/2006/relationships/hyperlink" Target="https://doi.org/10.1310/hct1406-261" TargetMode="External"/><Relationship Id="rId4iy6cgsh0p75dxwfs4wpq" Type="http://schemas.openxmlformats.org/officeDocument/2006/relationships/hyperlink" Target="https://pubmed.ncbi.nlm.nih.gov/24334179/" TargetMode="External"/><Relationship Id="rIdl8gwmsamirbi2k42nymrl" Type="http://schemas.openxmlformats.org/officeDocument/2006/relationships/hyperlink" Target="https://www.accessdata.fda.gov/drugsatfda_docs/nda/2012/202292Orig1s000SumR.pdf" TargetMode="External"/><Relationship Id="rIdnsjwmh-np5eh6l4im6jsw" Type="http://schemas.openxmlformats.org/officeDocument/2006/relationships/hyperlink" Target="https://www.mskcc.org/cancer-care/integrative-medicine/herbs/croton-lechleri" TargetMode="External"/><Relationship Id="rIdc9jnpemsuy8nwn7ohf_4z" Type="http://schemas.openxmlformats.org/officeDocument/2006/relationships/hyperlink" Target="https://doi.org/10.1007/PL00000268" TargetMode="External"/><Relationship Id="rIdt55iexgztygfseiqn3otp" Type="http://schemas.openxmlformats.org/officeDocument/2006/relationships/hyperlink" Target="https://pubmed.ncbi.nlm.nih.gov/11603848/" TargetMode="External"/><Relationship Id="rIdhxhwkjtple3btmuxv57lb" Type="http://schemas.openxmlformats.org/officeDocument/2006/relationships/hyperlink" Target="https://doi.org/10.1016/S0378-8741(98)00096-8" TargetMode="External"/><Relationship Id="rIdqflzcuu9jjifubqazgsgs" Type="http://schemas.openxmlformats.org/officeDocument/2006/relationships/hyperlink" Target="https://pubmed.ncbi.nlm.nih.gov/10075119/" TargetMode="External"/><Relationship Id="rIdfqj93-gxavlzm61-rlizu" Type="http://schemas.openxmlformats.org/officeDocument/2006/relationships/hyperlink" Target="https://doi.org/10.1007/s00240-004-0432-8" TargetMode="External"/><Relationship Id="rIdr2hejljhjkfonxnuijvci" Type="http://schemas.openxmlformats.org/officeDocument/2006/relationships/hyperlink" Target="https://pubmed.ncbi.nlm.nih.gov/15221244/" TargetMode="External"/><Relationship Id="rIdffwyl9pmku-ygikz13r3b" Type="http://schemas.openxmlformats.org/officeDocument/2006/relationships/hyperlink" Target="https://doi.org/10.1016/j.jjcc.2008.06.004" TargetMode="External"/><Relationship Id="rIdarwcpoitojo9gmb0fbrzt" Type="http://schemas.openxmlformats.org/officeDocument/2006/relationships/hyperlink" Target="https://pubmed.ncbi.nlm.nih.gov/18922386/" TargetMode="External"/><Relationship Id="rIdcbcgk9yjthoufvcotbats" Type="http://schemas.openxmlformats.org/officeDocument/2006/relationships/hyperlink" Target="http://www.scielo.org.pe/scielo.php?pid=S1726-46342011000400009&amp;script=sci_abstract" TargetMode="External"/><Relationship Id="rIdehoaxsky76zwyfbyzphks" Type="http://schemas.openxmlformats.org/officeDocument/2006/relationships/hyperlink" Target="https://www.redalyc.org/pdf/363/Resumenes/Resumen_36322411009_1.pdf" TargetMode="External"/><Relationship Id="rIdhzq6oesspmmrccl-1xhpn" Type="http://schemas.openxmlformats.org/officeDocument/2006/relationships/hyperlink" Target="https://doi.org/10.1016/j.heliyon.2022.e10572" TargetMode="External"/><Relationship Id="rIdoz0aacl7kwtpsumsoqut9" Type="http://schemas.openxmlformats.org/officeDocument/2006/relationships/hyperlink" Target="https://doi.org/10.5530/pj.2019.1.14" TargetMode="External"/><Relationship Id="rIdbwz-vjxgrfpovvryo5rqv" Type="http://schemas.openxmlformats.org/officeDocument/2006/relationships/hyperlink" Target="https://www.phcogj.com/article/782" TargetMode="External"/><Relationship Id="rIdjoppwz4yxphpx17rqf2cu" Type="http://schemas.openxmlformats.org/officeDocument/2006/relationships/hyperlink" Target="http://www.scielo.org.pe/scielo.php?script=sci_arttext&amp;pid=S1726-46342006000300007" TargetMode="External"/><Relationship Id="rIdwjjokfoel4attcaiettwt" Type="http://schemas.openxmlformats.org/officeDocument/2006/relationships/hyperlink" Target="https://www.redalyc.org/pdf/363/36323307.pdf" TargetMode="External"/><Relationship Id="rId64"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Plantas medicinales con respaldo científico</dc:title>
  <dc:creator>Angel Javier Orneta</dc:creator>
  <cp:lastModifiedBy>Un-named</cp:lastModifiedBy>
  <cp:revision>1</cp:revision>
  <dcterms:created xsi:type="dcterms:W3CDTF">2026-09-26T06:52:36.861Z</dcterms:created>
  <dcterms:modified xsi:type="dcterms:W3CDTF">2026-09-26T06:52:36.862Z</dcterms:modified>
</cp:coreProperties>
</file>

<file path=docProps/custom.xml><?xml version="1.0" encoding="utf-8"?>
<Properties xmlns="http://schemas.openxmlformats.org/officeDocument/2006/custom-properties" xmlns:vt="http://schemas.openxmlformats.org/officeDocument/2006/docPropsVTypes"/>
</file>