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color w:val="8A5A2B"/>
          <w:sz w:val="20"/>
          <w:szCs w:val="20"/>
        </w:rPr>
        <w:t xml:space="preserve">HACK-AMAZON 2026</w:t>
      </w:r>
    </w:p>
    <w:p>
      <w:pPr>
        <w:spacing w:after="0" w:before="60"/>
        <w:jc w:val="center"/>
      </w:pPr>
      <w:r>
        <w:rPr>
          <w:color w:val="595959"/>
          <w:sz w:val="18"/>
          <w:szCs w:val="18"/>
        </w:rPr>
        <w:t xml:space="preserve">Desafío 2 — Bioeconomía Amazónica</w:t>
      </w:r>
    </w:p>
    <w:p>
      <w:pPr>
        <w:spacing w:after="200" w:before="900"/>
        <w:jc w:val="center"/>
      </w:pPr>
      <w:r>
        <w:rPr>
          <w:b/>
          <w:bCs/>
          <w:color w:val="2E5E3E"/>
          <w:sz w:val="52"/>
          <w:szCs w:val="52"/>
        </w:rPr>
        <w:t xml:space="preserve">Plan de Gestión de Cambios</w:t>
      </w:r>
    </w:p>
    <w:p>
      <w:pPr>
        <w:spacing w:after="700" w:before="0"/>
        <w:jc w:val="center"/>
      </w:pPr>
      <w:r>
        <w:rPr>
          <w:color w:val="1F2A1F"/>
          <w:sz w:val="26"/>
          <w:szCs w:val="26"/>
        </w:rPr>
        <w:t xml:space="preserve">Registro de cambios a la arquitectura, al plan de construcción y al roadmap de HAMPIYURA v2.0, con trazabilidad de motivo e impacto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shd w:fill="EFF4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E3E"/>
                <w:sz w:val="20"/>
                <w:szCs w:val="20"/>
              </w:rPr>
              <w:t xml:space="preserve">Proyecto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HAMPIYURA — Plataforma de conocimiento, conservación y desarrollo económico local sobre plantas nativas de la Amazonía</w:t>
            </w:r>
          </w:p>
        </w:tc>
      </w:tr>
      <w:tr>
        <w:tc>
          <w:tcPr>
            <w:tcW w:type="dxa" w:w="2400"/>
            <w:shd w:fill="EFF4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E3E"/>
                <w:sz w:val="20"/>
                <w:szCs w:val="20"/>
              </w:rPr>
              <w:t xml:space="preserve">Documento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 Gestión de Cambios</w:t>
            </w:r>
          </w:p>
        </w:tc>
      </w:tr>
      <w:tr>
        <w:tc>
          <w:tcPr>
            <w:tcW w:type="dxa" w:w="2400"/>
            <w:shd w:fill="EFF4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E3E"/>
                <w:sz w:val="20"/>
                <w:szCs w:val="20"/>
              </w:rPr>
              <w:t xml:space="preserve">Versión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EFF4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E3E"/>
                <w:sz w:val="20"/>
                <w:szCs w:val="20"/>
              </w:rPr>
              <w:t xml:space="preserve">Fecha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 de septiembre de 2026</w:t>
            </w:r>
          </w:p>
        </w:tc>
      </w:tr>
      <w:tr>
        <w:tc>
          <w:tcPr>
            <w:tcW w:type="dxa" w:w="2400"/>
            <w:shd w:fill="EFF4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E3E"/>
                <w:sz w:val="20"/>
                <w:szCs w:val="20"/>
              </w:rPr>
              <w:t xml:space="preserve">Autor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Angel Javier Orneta — UNAS, Tingo María</w:t>
            </w:r>
          </w:p>
        </w:tc>
      </w:tr>
      <w:tr>
        <w:tc>
          <w:tcPr>
            <w:tcW w:type="dxa" w:w="2400"/>
            <w:shd w:fill="EFF4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E3E"/>
                <w:sz w:val="20"/>
                <w:szCs w:val="20"/>
              </w:rPr>
              <w:t xml:space="preserve">Concurso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Hack-Amazon 2026 — Desafío 2: Bioeconomía Amazónica (Incuba UNAS)</w:t>
            </w:r>
          </w:p>
        </w:tc>
      </w:tr>
      <w:tr>
        <w:tc>
          <w:tcPr>
            <w:tcW w:type="dxa" w:w="2400"/>
            <w:shd w:fill="EFF4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5E3E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Arquitectura Hexagonal, Plan de Construcción del Software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080" w:right="1250" w:bottom="1080" w:left="1250" w:header="708" w:footer="708" w:gutter="0"/>
          <w:pgNumType/>
          <w:docGrid w:linePitch="360"/>
        </w:sectPr>
      </w:pP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20"/>
      </w:pPr>
      <w:r>
        <w:rPr>
          <w:b/>
          <w:bCs/>
          <w:color w:val="2E5E3E"/>
          <w:sz w:val="30"/>
          <w:szCs w:val="30"/>
        </w:rPr>
        <w:t xml:space="preserve">1. Propósito</w:t>
      </w:r>
    </w:p>
    <w:p>
      <w:pPr>
        <w:spacing w:after="160" w:before="0" w:line="276"/>
      </w:pPr>
      <w:r>
        <w:rPr>
          <w:b w:val="false"/>
          <w:bCs w:val="false"/>
          <w:sz w:val="21"/>
          <w:szCs w:val="21"/>
        </w:rPr>
        <w:t xml:space="preserve">Este documento registra cualquier cambio que afecte a lo ya definido en la Arquitectura Hexagonal (`HAMPIYURA_Arquitectura_Hexagonal.md`), el Plan de Construcción del Software (`HAMPIYURA_Plan_Construccion_Software.docx`) o el roadmap de negocio del Documento 2 (Anexo, cap. 11), una vez que la construcción ya está en marcha. Existe para que ningún cambio quede solo "en la cabeza" de quien lo decidió — el mismo problema que el propio SDS diagnosticó en su versión original: un salto de alcance de 70 a 250/300 RF sin ningún registro de cambios que lo explicara (hallazgo D1, Documento 1).</w:t>
      </w:r>
    </w:p>
    <w:p>
      <w:pPr>
        <w:pStyle w:val="Heading1"/>
        <w:spacing w:after="200" w:before="420"/>
      </w:pPr>
      <w:r>
        <w:rPr>
          <w:b/>
          <w:bCs/>
          <w:color w:val="2E5E3E"/>
          <w:sz w:val="30"/>
          <w:szCs w:val="30"/>
        </w:rPr>
        <w:t xml:space="preserve">2. Cuándo se requiere una entrada aquí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Se pospone, adelanta o elimina un módulo de una fase del roadmap.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Cambia la prioridad MoSCoW (Must/Should/Could) de un RF o un módulo.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Cambia una decisión de arquitectura ya tomada: framework, librería, estructura de carpetas, patrón (ej. pasar de Express a NestJS).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Se agrega o se quita un puerto/adapter que no estaba contemplado en el diagrama de dominio.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Se recorta o se amplía el alcance de una fase completa (ej. decidir que FASE 6 no se llega a implementar para el Demo Day).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Cualquier decisión técnica que, si alguien lee solo el Plan de Construcción original, ya no coincide con lo que realmente se está construyendo.</w:t>
      </w:r>
    </w:p>
    <w:p>
      <w:pPr>
        <w:pStyle w:val="Heading1"/>
        <w:spacing w:after="200" w:before="420"/>
      </w:pPr>
      <w:r>
        <w:rPr>
          <w:b/>
          <w:bCs/>
          <w:color w:val="2E5E3E"/>
          <w:sz w:val="30"/>
          <w:szCs w:val="30"/>
        </w:rPr>
        <w:t xml:space="preserve">3. Qué NO pasa por este documento</w:t>
      </w:r>
    </w:p>
    <w:p>
      <w:pPr>
        <w:spacing w:after="160" w:before="0" w:line="276"/>
      </w:pPr>
      <w:r>
        <w:rPr>
          <w:b w:val="false"/>
          <w:bCs w:val="false"/>
          <w:sz w:val="21"/>
          <w:szCs w:val="21"/>
        </w:rPr>
        <w:t xml:space="preserve">Para no duplicar procesos que ya existen en otros documentos del proyecto: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Cambios a los RF/RNF del SDS — siguen su propio proceso ya definido en el Documento 1 (control de versiones, cap. 0) y su validación con especialistas en el Documento 2.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Correcciones de errores tipográficos, de formato o de redacción en cualquier documento — solo requieren el control de versiones normal de ese documento, no una entrada aquí.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Cambios de código que no alteran ninguna decisión documentada (ej. renombrar una variable interna) — el código mismo es la fuente de verdad para ese nivel de detalle.</w:t>
      </w:r>
    </w:p>
    <w:p>
      <w:pPr>
        <w:pStyle w:val="Heading1"/>
        <w:spacing w:after="200" w:before="420"/>
      </w:pPr>
      <w:r>
        <w:rPr>
          <w:b/>
          <w:bCs/>
          <w:color w:val="2E5E3E"/>
          <w:sz w:val="30"/>
          <w:szCs w:val="30"/>
        </w:rPr>
        <w:t xml:space="preserve">4. Proceso</w:t>
      </w:r>
    </w:p>
    <w:p>
      <w:pPr>
        <w:spacing w:after="160" w:before="0" w:line="276"/>
      </w:pPr>
      <w:r>
        <w:rPr>
          <w:b w:val="false"/>
          <w:bCs w:val="false"/>
          <w:sz w:val="21"/>
          <w:szCs w:val="21"/>
        </w:rPr>
        <w:t xml:space="preserve">Pensado para un equipo pequeño (TITAN SQUAD) — un proceso simple, no una burocracia: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Se detecta la necesidad de un cambio (algo no sale como se planeó, o se descubre una mejor forma de hacerlo).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Se registra como fila nueva en la tabla del capítulo 6, con estado "Propuesto".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Se evalúa el impacto: ¿afecta el alcance de las 8 semanas (riesgo R-04 del SDS)? ¿afecta a otros módulos ya construidos? ¿afecta al roadmap de fases ya comunicado en el pitch?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Se decide: Aprobado, Rechazado o Diferido (se pospone la decisión misma, no el cambio).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Si se aprueba: se actualiza el o los documentos afectados, subiendo su número de versión en su propio control de versiones interno.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Se cierra la entrada de este documento con la fecha de cierre y el estado final "Aplicado".</w:t>
      </w:r>
    </w:p>
    <w:p>
      <w:pPr>
        <w:pStyle w:val="Heading1"/>
        <w:spacing w:after="200" w:before="420"/>
      </w:pPr>
      <w:r>
        <w:rPr>
          <w:b/>
          <w:bCs/>
          <w:color w:val="2E5E3E"/>
          <w:sz w:val="30"/>
          <w:szCs w:val="30"/>
        </w:rPr>
        <w:t xml:space="preserve">5. Plantilla de registro</w:t>
      </w:r>
    </w:p>
    <w:p>
      <w:pPr>
        <w:spacing w:after="160" w:before="0" w:line="276"/>
      </w:pPr>
      <w:r>
        <w:rPr>
          <w:b w:val="false"/>
          <w:bCs w:val="false"/>
          <w:sz w:val="21"/>
          <w:szCs w:val="21"/>
        </w:rPr>
        <w:t xml:space="preserve">Cada cambio nuevo se agrega como una fila a la tabla del capítulo 6, con estas columnas: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1122"/>
        <w:gridCol w:w="1870"/>
        <w:gridCol w:w="2244"/>
        <w:gridCol w:w="1683"/>
        <w:gridCol w:w="1496"/>
      </w:tblGrid>
      <w:tr>
        <w:trPr>
          <w:tblHeader/>
        </w:trPr>
        <w:tc>
          <w:tcPr>
            <w:tcW w:type="dxa" w:w="935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22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870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Documento/módulo afectado</w:t>
            </w:r>
          </w:p>
        </w:tc>
        <w:tc>
          <w:tcPr>
            <w:tcW w:type="dxa" w:w="2244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  <w:tc>
          <w:tcPr>
            <w:tcW w:type="dxa" w:w="1683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  <w:tc>
          <w:tcPr>
            <w:tcW w:type="dxa" w:w="1496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CG-0XX</w:t>
            </w:r>
          </w:p>
        </w:tc>
        <w:tc>
          <w:tcPr>
            <w:tcW w:type="dxa" w:w="11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dd/mm/aaaa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Qué documento o módulo cambia</w:t>
            </w:r>
          </w:p>
        </w:tc>
        <w:tc>
          <w:tcPr>
            <w:tcW w:type="dxa" w:w="22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Qué cambió exactamente</w:t>
            </w:r>
          </w:p>
        </w:tc>
        <w:tc>
          <w:tcPr>
            <w:tcW w:type="dxa" w:w="16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qué se decidió</w:t>
            </w:r>
          </w:p>
        </w:tc>
        <w:tc>
          <w:tcPr>
            <w:tcW w:type="dxa" w:w="1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Alcance / tiempo / arquitectura — y estado: Propuesto / Aprobado / Rechazado / Diferido / Aplicado</w:t>
            </w:r>
          </w:p>
        </w:tc>
      </w:tr>
    </w:tbl>
    <w:p>
      <w:pPr>
        <w:spacing w:after="200"/>
      </w:pPr>
    </w:p>
    <w:p>
      <w:pPr>
        <w:pStyle w:val="Heading1"/>
        <w:spacing w:after="200" w:before="420"/>
      </w:pPr>
      <w:r>
        <w:rPr>
          <w:b/>
          <w:bCs/>
          <w:color w:val="2E5E3E"/>
          <w:sz w:val="30"/>
          <w:szCs w:val="30"/>
        </w:rPr>
        <w:t xml:space="preserve">6. Historial de cambios</w:t>
      </w:r>
    </w:p>
    <w:p>
      <w:pPr>
        <w:spacing w:after="160" w:before="0" w:line="276"/>
      </w:pPr>
      <w:r>
        <w:rPr>
          <w:b w:val="false"/>
          <w:bCs w:val="false"/>
          <w:sz w:val="21"/>
          <w:szCs w:val="21"/>
        </w:rPr>
        <w:t xml:space="preserve">Primera entrada real, ya ocurrida durante la construcción de la arquitectura (no un ejemplo inventado):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935"/>
        <w:gridCol w:w="1683"/>
        <w:gridCol w:w="2244"/>
        <w:gridCol w:w="1683"/>
        <w:gridCol w:w="1870"/>
      </w:tblGrid>
      <w:tr>
        <w:trPr>
          <w:tblHeader/>
        </w:trPr>
        <w:tc>
          <w:tcPr>
            <w:tcW w:type="dxa" w:w="935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35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683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Documento/módulo afectado</w:t>
            </w:r>
          </w:p>
        </w:tc>
        <w:tc>
          <w:tcPr>
            <w:tcW w:type="dxa" w:w="2244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  <w:tc>
          <w:tcPr>
            <w:tcW w:type="dxa" w:w="1683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  <w:tc>
          <w:tcPr>
            <w:tcW w:type="dxa" w:w="1870"/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/ Estado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CG-001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18/09/2026</w:t>
            </w:r>
          </w:p>
        </w:tc>
        <w:tc>
          <w:tcPr>
            <w:tcW w:type="dxa" w:w="16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Diagrama de dominio (M-03 · Cultivo) — Arquitectura Hexagonal</w:t>
            </w:r>
          </w:p>
        </w:tc>
        <w:tc>
          <w:tcPr>
            <w:tcW w:type="dxa" w:w="22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agregó la clase `UbicacionCultivo` (mapeo geográfico del cultivo) al diagrama, conectada a `Cultivo` con una relación marcada explícitamente como "futuro, pendiente". Se agregó también el puerto `domain/ports/out/mapa-cultivo.port.ts` en el código, sin ninguna implementación.</w:t>
            </w:r>
          </w:p>
        </w:tc>
        <w:tc>
          <w:tcPr>
            <w:tcW w:type="dxa" w:w="16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usuario notó que el diagrama no contemplaba cómo mostrar dónde se cultiva una planta (relacionado con RF-271, mapa de distribución, prioridad Could) y pidió dejarlo previsto para más adelante sin implementarlo todavía.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Bajo — no cambia el alcance de las FASE 1 a 7; se ubicó explícitamente en FASE 8 (Escalamiento) del roadmap técnico. Estado: Aplicado.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CG-002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19/09/2026 (decisión original) -- registrada retroactivamente el 20/09/2026, ver descripción</w:t>
            </w:r>
          </w:p>
        </w:tc>
        <w:tc>
          <w:tcPr>
            <w:tcW w:type="dxa" w:w="16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M-09 (Validación/Moderación) -- RN-05 (restricción de área del validador)</w:t>
            </w:r>
          </w:p>
        </w:tc>
        <w:tc>
          <w:tcPr>
            <w:tcW w:type="dxa" w:w="22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detectó que RN-05 nunca se implementó como restricción real: `requireValidator` + `ValidacionContenido.validarRol` aceptaban cualquier rol "Especialista_*" para validar cualquier tipoEntidad, sin distinguir área (Agronomía/Conservación/Salud). Se decidió diferir la implementación real en vez de inventar un mapeo tipoEntidad-&gt;área sin confirmarlo -- esa decisión quedó documentada solo como nota aislada dentro de `area-especialidad.vo.ts` (M-08), nunca como fila propia aquí. Cierre: se implementó la restricción real en `ValidacionContenido.validarRol`, mapeando tipoEntidad-&gt;rol de área (Cultivo-&gt;EspecialistaAgronomo, EstadoConservacion-&gt;EspecialistaConservacion, Preparacion/ParteUso-&gt;EspecialistaSalud); Publicacion y Producto, sin categorización de área todavía, quedan restringidos a solo Administrador (antes cualquier especialista podía validarlos).</w:t>
            </w:r>
          </w:p>
        </w:tc>
        <w:tc>
          <w:tcPr>
            <w:tcW w:type="dxa" w:w="16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Diferir: evitar inventar un mapeo tipoEntidad-&gt;área sin confirmarlo con el usuario, dado que no todo el contenido validable mapea limpiamente a las 3 áreas existentes. Cerrar: el usuario pidió cerrar esta deuda técnica y confirmó el mapeo (incluyendo dejar Publicacion/Producto sin área, solo Administrador).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 -- no cambia el modelo de datos (ValidacionContenido, tipoEntidad); cambia el comportamiento de autorización de aprobar/observar/rechazar contenido, y por primera vez restringe Publicacion/Producto a solo Administrador. Estado: Aplicado (cerrado 20/09/2026).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CG-004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20/09/2026</w:t>
            </w:r>
          </w:p>
        </w:tc>
        <w:tc>
          <w:tcPr>
            <w:tcW w:type="dxa" w:w="16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M-03 (Cultivo) — función de mapa (RF-271)</w:t>
            </w:r>
          </w:p>
        </w:tc>
        <w:tc>
          <w:tcPr>
            <w:tcW w:type="dxa" w:w="22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mapa se había construido como una vista mínima de pines por ficha de cultivo individual, sin búsqueda, filtros ni vista de lista — no correspondía a la visión de "un Google Maps de hortalizas y plantas" que motivó la propuesta HAMPIYURA Mapa. Se amplía a una experiencia de mapa interactivo completo: pantalla propia (no "mini"), con búsqueda, filtro por tipo de cultivo, agrupación de marcadores (clustering) y panel de lista sincronizado con el mapa.</w:t>
            </w:r>
          </w:p>
        </w:tc>
        <w:tc>
          <w:tcPr>
            <w:tcW w:type="dxa" w:w="16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usuario notó que la implementación inicial no reflejaba la visión del producto.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 — no cambia el modelo de datos (`UbicacionCultivo` y sus reglas, incluida RN-07 para especies en riesgo, se mantienen intactas); sí cambia el alcance de esa pantalla. Estado: Aplicado.</w:t>
            </w:r>
          </w:p>
        </w:tc>
      </w:tr>
      <w:tr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CG-005</w:t>
            </w:r>
          </w:p>
        </w:tc>
        <w:tc>
          <w:tcPr>
            <w:tcW w:type="dxa" w:w="93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21/09/2026</w:t>
            </w:r>
          </w:p>
        </w:tc>
        <w:tc>
          <w:tcPr>
            <w:tcW w:type="dxa" w:w="16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M-01 (Cuentas) -- RF-01, RF-63, RF-64</w:t>
            </w:r>
          </w:p>
        </w:tc>
        <w:tc>
          <w:tcPr>
            <w:tcW w:type="dxa" w:w="22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registro de usuario normal deja de requerir verificación de correo antes de dar acceso: la cuenta queda "Activo" de inmediato (antes: "PendienteActivacion" + token + correo de activación enviado). El mecanismo de correo/token de activación NO se elimina -- sigue completo en el código (tipo de token "Activacion", `ActivarCuentaUseCase`, `ConsoleEmailAdapter.enviarActivacion`, `ActivarCuentaPage`, y el enlace "Activar mi cuenta" en Login) -- solo se desconecta de `RegistrarUsuarioUseCase`, que ya no depende de `TokenAccionRepositoryPort` ni de `EmailPort`. Queda disponible para un futuro tipo de cuenta con beneficios adicionales ("cuenta ejecutiva"), todavía sin definir.</w:t>
            </w:r>
          </w:p>
        </w:tc>
        <w:tc>
          <w:tcPr>
            <w:tcW w:type="dxa" w:w="16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Decisión del equipo de que el registro no debería tener fricción para nadie. Las "cuentas ejecutivas" son un concepto de negocio aún no especificado -- no se construyen beneficios especulativos ahora, solo se preserva el mecanismo ya construido para cuando se definan.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 -- revierte un criterio de aceptación Must original del SDS v1 (RF-01: verificación de correo obligatoria antes de dar acceso). No cambia el modelo de datos (Usuario, TokenAccion) ni elimina código, solo el flujo que lo invoca durante el registro. Estado: Aplicado.</w:t>
            </w:r>
          </w:p>
        </w:tc>
      </w:tr>
    </w:tbl>
    <w:p>
      <w:pPr>
        <w:spacing w:after="200"/>
      </w:pPr>
    </w:p>
    <w:p>
      <w:pPr>
        <w:spacing w:after="160" w:before="0" w:line="276"/>
      </w:pPr>
      <w:r>
        <w:rPr>
          <w:b w:val="false"/>
          <w:bCs w:val="false"/>
          <w:sz w:val="21"/>
          <w:szCs w:val="21"/>
        </w:rPr>
        <w:t xml:space="preserve">Las siguientes filas se agregan aquí a medida que ocurran nuevos cambios durante la construcción.</w:t>
      </w:r>
    </w:p>
    <w:p>
      <w:pPr>
        <w:pStyle w:val="Heading1"/>
        <w:spacing w:after="200" w:before="420"/>
      </w:pPr>
      <w:r>
        <w:rPr>
          <w:b/>
          <w:bCs/>
          <w:color w:val="2E5E3E"/>
          <w:sz w:val="30"/>
          <w:szCs w:val="30"/>
        </w:rPr>
        <w:t xml:space="preserve">7. Reglas de versionado de documentos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Cada documento del proyecto mantiene su propio control de versiones interno (igual que ya tienen el Documento 1 y el Documento 2).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Un cambio </w:t>
      </w:r>
      <w:r>
        <w:rPr>
          <w:b/>
          <w:bCs/>
          <w:sz w:val="21"/>
          <w:szCs w:val="21"/>
        </w:rPr>
        <w:t xml:space="preserve">menor</w:t>
      </w:r>
      <w:r>
        <w:rPr>
          <w:sz w:val="21"/>
          <w:szCs w:val="21"/>
        </w:rPr>
        <w:t xml:space="preserve"> (aclaración, corrección, ajuste sin cambiar una decisión ya tomada) sube la versión menor (ej. 1.0 → 1.1).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Un cambio </w:t>
      </w:r>
      <w:r>
        <w:rPr>
          <w:b/>
          <w:bCs/>
          <w:sz w:val="21"/>
          <w:szCs w:val="21"/>
        </w:rPr>
        <w:t xml:space="preserve">mayor</w:t>
      </w:r>
      <w:r>
        <w:rPr>
          <w:sz w:val="21"/>
          <w:szCs w:val="21"/>
        </w:rPr>
        <w:t xml:space="preserve"> (cambia una decisión de arquitectura, de alcance o de prioridad ya comunicada) sube la versión mayor (ej. 1.x → 2.0) y </w:t>
      </w:r>
      <w:r>
        <w:rPr>
          <w:b/>
          <w:bCs/>
          <w:sz w:val="21"/>
          <w:szCs w:val="21"/>
        </w:rPr>
        <w:t xml:space="preserve">siempre</w:t>
      </w:r>
      <w:r>
        <w:rPr>
          <w:sz w:val="21"/>
          <w:szCs w:val="21"/>
        </w:rPr>
        <w:t xml:space="preserve"> requiere una entrada en este Plan de Gestión de Cambios antes de subir la versión.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sz w:val="21"/>
          <w:szCs w:val="21"/>
        </w:rPr>
        <w:t xml:space="preserve">El nombre del archivo no cambia entre versiones (se sigue llamando igual) — la versión se identifica dentro del documento, en su tabla de control de versiones o en la portada.</w:t>
      </w:r>
    </w:p>
    <w:sectPr>
      <w:headerReference w:type="default" r:id="rId7"/>
      <w:footerReference w:type="default" r:id="rId8"/>
      <w:pgSz w:w="11906" w:h="16838" w:orient="portrait"/>
      <w:pgMar w:top="1080" w:right="1250" w:bottom="108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Plan de Gestión de Cambios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HAMPIYURA · Hack-Amazon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Cambios</dc:title>
  <dc:creator>Equipo HAMPIYURA</dc:creator>
  <cp:lastModifiedBy>Un-named</cp:lastModifiedBy>
  <cp:revision>1</cp:revision>
  <dcterms:created xsi:type="dcterms:W3CDTF">2026-09-18T05:58:02.952Z</dcterms:created>
  <dcterms:modified xsi:type="dcterms:W3CDTF">2026-09-18T05:58:02.952Z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