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line="276" w:lineRule="auto"/>
      </w:pPr>
      <w:r>
        <w:rPr>
          <w:b/>
          <w:i w:val="0"/>
        </w:rPr>
        <w:t>The TLR7→BAFF Self-Sustaining Loop in Systemic Lupus Erythematosus: Transcriptomic Validation Across 979 Patients and All Organ Domains</w:t>
      </w:r>
    </w:p>
    <w:p>
      <w:pPr>
        <w:spacing w:after="80" w:line="276" w:lineRule="auto"/>
      </w:pPr>
      <w:r>
        <w:rPr>
          <w:b w:val="0"/>
          <w:i w:val="0"/>
        </w:rPr>
      </w:r>
      <w:r>
        <w:rPr>
          <w:b/>
        </w:rPr>
        <w:t>Running title:</w:t>
      </w:r>
      <w:r>
        <w:rPr>
          <w:b w:val="0"/>
          <w:i w:val="0"/>
        </w:rPr>
        <w:t xml:space="preserve"> The TLR7-BAFF loop in SLE blood</w:t>
      </w:r>
    </w:p>
    <w:p>
      <w:pPr>
        <w:spacing w:after="80" w:line="276" w:lineRule="auto"/>
      </w:pPr>
      <w:r>
        <w:rPr>
          <w:b w:val="0"/>
          <w:i w:val="0"/>
        </w:rPr>
      </w:r>
      <w:r>
        <w:rPr>
          <w:b/>
        </w:rPr>
        <w:t>Authors:</w:t>
      </w:r>
      <w:r>
        <w:rPr>
          <w:b w:val="0"/>
          <w:i w:val="0"/>
        </w:rPr>
        <w:t xml:space="preserve"> Javier D.S.</w:t>
      </w:r>
    </w:p>
    <w:p>
      <w:pPr>
        <w:spacing w:after="80" w:line="276" w:lineRule="auto"/>
      </w:pPr>
      <w:r>
        <w:rPr>
          <w:b w:val="0"/>
          <w:i w:val="0"/>
        </w:rPr>
      </w:r>
      <w:r>
        <w:rPr>
          <w:b/>
        </w:rPr>
        <w:t>Date:</w:t>
      </w:r>
      <w:r>
        <w:rPr>
          <w:b w:val="0"/>
          <w:i w:val="0"/>
        </w:rPr>
        <w:t xml:space="preserve"> May 2026 (v3 — corrected narrative)</w:t>
      </w:r>
    </w:p>
    <w:p>
      <w:pPr>
        <w:spacing w:after="80" w:line="276" w:lineRule="auto"/>
      </w:pPr>
      <w:r>
        <w:rPr>
          <w:b w:val="0"/>
          <w:i/>
        </w:rPr>
      </w:r>
      <w:r>
        <w:rPr>
          <w:b/>
        </w:rPr>
        <w:t>Correction note (v3):</w:t>
      </w:r>
      <w:r>
        <w:rPr>
          <w:b w:val="0"/>
          <w:i/>
        </w:rPr>
        <w:t xml:space="preserve"> This version corrects the narrative framing. Lupus erythematosus comprises 4 recognised types: systemic (SLE), cutaneous (CLE), drug-induced, and neonatal. We have blood transcriptomic data for SLE and CLE only. Lupus nephritis (LN) is SLE with renal involvement — not a separate type.</w:t>
      </w:r>
    </w:p>
    <w:p>
      <w:pPr>
        <w:pStyle w:val="Heading2"/>
        <w:spacing w:after="80" w:line="276" w:lineRule="auto"/>
      </w:pPr>
      <w:r>
        <w:rPr>
          <w:b/>
          <w:i w:val="0"/>
        </w:rPr>
        <w:t>Abstract</w:t>
      </w:r>
    </w:p>
    <w:p>
      <w:pPr>
        <w:spacing w:after="80" w:line="276" w:lineRule="auto"/>
      </w:pPr>
      <w:r>
        <w:rPr>
          <w:b w:val="0"/>
          <w:i w:val="0"/>
        </w:rPr>
      </w:r>
      <w:r>
        <w:rPr>
          <w:b/>
        </w:rPr>
        <w:t>Background:</w:t>
      </w:r>
      <w:r>
        <w:rPr>
          <w:b w:val="0"/>
          <w:i w:val="0"/>
        </w:rPr>
        <w:t xml:space="preserve"> Lupus erythematosus comprises 4 recognised types: systemic (SLE), cutaneous (CLE), drug-induced, and neonatal. SLE is the most common and is defined by a pathogenic type I interferon (IFN) signature, B-cell hyperactivity, and toll-like receptor (TLR) involvement. The TLR7→MYD88→IRF7→BAFF (TNFSF13B) axis has been proposed as a self-sustaining amplification loop in SLE blood. Here we test whether this loop is universal across SLE regardless of organ involvement (including lupus nephritis/LN, which is SLE with renal involvement), race, or sex, and whether it extends to CLE.</w:t>
      </w:r>
    </w:p>
    <w:p>
      <w:pPr>
        <w:spacing w:after="80" w:line="276" w:lineRule="auto"/>
      </w:pPr>
      <w:r>
        <w:rPr>
          <w:b w:val="0"/>
          <w:i w:val="0"/>
        </w:rPr>
      </w:r>
      <w:r>
        <w:rPr>
          <w:b/>
        </w:rPr>
        <w:t>Methods:</w:t>
      </w:r>
      <w:r>
        <w:rPr>
          <w:b w:val="0"/>
          <w:i w:val="0"/>
        </w:rPr>
        <w:t xml:space="preserve"> Transcriptomic meta-analysis of 8 publicly available blood transcriptome datasets from the Gene Expression Omnibus (GEO) encompassing SLE paediatric whole blood (GSE65391, n=611 SLE), SLE adult PBMC (GSE81622, n=28; GSE121239, n=65; GSE50772, n=34), SLE paediatric blood (GSE11909, n=22), LN-enriched blood (GSE72326, n=157), CLE whole blood (GSE167923, n=62), LN whole blood (GSE72747, n=30), and CLE skin biopsies (GSE109248/GSE112943, n=41), plus 501 healthy controls across 4 racial groups and both sexes. Expression correlation analysis tested connectivity of the TLR7→BAFF→IRF7→IFN circuit across SLE cohorts, 8 SLEDAI organ categories, 4 racial groups, and both sexes.</w:t>
      </w:r>
    </w:p>
    <w:p>
      <w:pPr>
        <w:spacing w:after="80" w:line="276" w:lineRule="auto"/>
      </w:pPr>
      <w:r>
        <w:rPr>
          <w:b w:val="0"/>
          <w:i w:val="0"/>
        </w:rPr>
      </w:r>
      <w:r>
        <w:rPr>
          <w:b/>
        </w:rPr>
        <w:t>Results:</w:t>
      </w:r>
      <w:r>
        <w:rPr>
          <w:b w:val="0"/>
          <w:i w:val="0"/>
        </w:rPr>
        <w:t xml:space="preserve"> In SLE blood, the loop was robustly correlated (IRF7→IFIT1 r=+0.86, BAFF→IRF7 r=+0.74, all p&lt;0.001) and </w:t>
      </w:r>
      <w:r>
        <w:rPr>
          <w:b/>
        </w:rPr>
        <w:t>identical across all 8 SLEDAI organ categories</w:t>
      </w:r>
      <w:r>
        <w:rPr>
          <w:b w:val="0"/>
          <w:i w:val="0"/>
        </w:rPr>
        <w:t>: fold-changes between affected and unaffected organs differed by &lt;5% for all ISGs. Absolute ISG upregulation reached 45.5× (IFI27) in paediatric SLE blood — the defining transcriptomic feature of SLE. In LN, the same loop was present with ISGs at 4–37×. In CLE blood, the circuit remained qualitatively intact (BAFF→IRF7 r=+0.79, IRF7→IFIT1 r=+0.85) but at low amplitude (0 genes with FC &gt; 2.0; BAFF 1.11×, ISGs 1.2–1.6×). In CLE skin biopsies, the loop was transcriptionally inactive (TLR7→BAFF r=-0.18), with an alternative UV→cGAS-STING→IFN-κ mechanism. Independent transcriptomic data from a belimumab-treated cohort (Zenodo, n=44) confirmed that the IFN amplification arm of the loop remains active after B-cell depletion, while TNF selectively rises in non-responders.</w:t>
      </w:r>
    </w:p>
    <w:p>
      <w:pPr>
        <w:spacing w:after="80" w:line="276" w:lineRule="auto"/>
      </w:pPr>
      <w:r>
        <w:rPr>
          <w:b w:val="0"/>
          <w:i w:val="0"/>
        </w:rPr>
      </w:r>
      <w:r>
        <w:rPr>
          <w:b/>
        </w:rPr>
        <w:t>Conclusion:</w:t>
      </w:r>
      <w:r>
        <w:rPr>
          <w:b w:val="0"/>
          <w:i w:val="0"/>
        </w:rPr>
        <w:t xml:space="preserve"> The TLR7→BAFF→IFN amplification loop is the transcriptomic signature of systemic lupus in blood. It is active in SLE and LN (the core lupus population) regardless of organ involvement, race, or sex — and identical across all 8 clinical organ domains. CLE shares the same qualitative circuit at low amplitude, consistent with its predominantly skin-limited phenotype. The loop's centrality in SLE provides a rational framework for multi-node therapeutic strategies (TLR7/8, IFNAR, BAFF), guided by a simple circulating biomarker.</w:t>
      </w:r>
    </w:p>
    <w:p>
      <w:pPr>
        <w:pStyle w:val="Heading2"/>
        <w:spacing w:after="80" w:line="276" w:lineRule="auto"/>
      </w:pPr>
      <w:r>
        <w:rPr>
          <w:b/>
          <w:i w:val="0"/>
        </w:rPr>
        <w:t>1. Introduction</w:t>
      </w:r>
    </w:p>
    <w:p>
      <w:pPr>
        <w:spacing w:after="80" w:line="276" w:lineRule="auto"/>
      </w:pPr>
      <w:r>
        <w:rPr>
          <w:b w:val="0"/>
          <w:i w:val="0"/>
        </w:rPr>
        <w:t>Systemic lupus erythematosus (SLE) is a prototypical systemic autoimmune disease with heterogeneous clinical manifestations—renal, cutaneous, musculoskeletal, neuropsychiatric, haematological, and serosal—united by a common laboratory signature: antinuclear antibodies, type I interferon (IFN) pathway activation, and B-cell dysregulation. Yet despite this shared biology, lupus is clinically treated as a collection of organ-specific syndromes, each with its own management algorithms and drug development pipelines.</w:t>
      </w:r>
    </w:p>
    <w:p>
      <w:pPr>
        <w:pStyle w:val="Heading3"/>
        <w:spacing w:after="80" w:line="276" w:lineRule="auto"/>
      </w:pPr>
      <w:r>
        <w:rPr>
          <w:b/>
          <w:i w:val="0"/>
        </w:rPr>
        <w:t>1.1 The IFN signature and its limitations</w:t>
      </w:r>
    </w:p>
    <w:p>
      <w:pPr>
        <w:spacing w:after="80" w:line="276" w:lineRule="auto"/>
      </w:pPr>
      <w:r>
        <w:rPr>
          <w:b w:val="0"/>
          <w:i w:val="0"/>
        </w:rPr>
        <w:t xml:space="preserve">The type I IFN gene signature is the most widely replicated transcriptomic finding in SLE [1]. IFIT1, IFI44, IFI44L, and MX1 are consistently upregulated across PBMC and whole-blood datasets, and the IFN signature has been therapeutically validated by anifrolumab, a monoclonal antibody targeting the type I IFN receptor (IFNAR), approved by the FDA in 2021 [2]. However, the IFN signature is a downstream consequence of upstream activation cascades—it identifies </w:t>
      </w:r>
      <w:r>
        <w:rPr>
          <w:i/>
        </w:rPr>
        <w:t>that</w:t>
      </w:r>
      <w:r>
        <w:rPr>
          <w:b w:val="0"/>
          <w:i w:val="0"/>
        </w:rPr>
        <w:t xml:space="preserve"> the immune system is activated, but not </w:t>
      </w:r>
      <w:r>
        <w:rPr>
          <w:i/>
        </w:rPr>
        <w:t>why</w:t>
      </w:r>
      <w:r>
        <w:rPr>
          <w:b w:val="0"/>
          <w:i w:val="0"/>
        </w:rPr>
        <w:t>.</w:t>
      </w:r>
    </w:p>
    <w:p>
      <w:pPr>
        <w:pStyle w:val="Heading3"/>
        <w:spacing w:after="80" w:line="276" w:lineRule="auto"/>
      </w:pPr>
      <w:r>
        <w:rPr>
          <w:b/>
          <w:i w:val="0"/>
        </w:rPr>
        <w:t>1.2 TLR7 and BAFF: two converging lines of evidence</w:t>
      </w:r>
    </w:p>
    <w:p>
      <w:pPr>
        <w:spacing w:after="80" w:line="276" w:lineRule="auto"/>
      </w:pPr>
      <w:r>
        <w:rPr>
          <w:b w:val="0"/>
          <w:i w:val="0"/>
        </w:rPr>
        <w:t xml:space="preserve">Toll-like receptor 7 (TLR7), an endosomal sensor of single-stranded RNA, has emerged as a critical upstream driver [3]. TLR7 gene duplication (the </w:t>
      </w:r>
      <w:r>
        <w:rPr>
          <w:i/>
        </w:rPr>
        <w:t>Yaa</w:t>
      </w:r>
      <w:r>
        <w:rPr>
          <w:b w:val="0"/>
          <w:i w:val="0"/>
        </w:rPr>
        <w:t xml:space="preserve"> locus in mice, TLR7 gain-of-function variants in humans [7]) accelerates lupus, while TLR7 knockout is protective. The adaptor MYD88 transduces TLR7 signalling towards NF-κB and IRF7—the master transcription factor for type I IFN.</w:t>
      </w:r>
    </w:p>
    <w:p>
      <w:pPr>
        <w:spacing w:after="80" w:line="276" w:lineRule="auto"/>
      </w:pPr>
      <w:r>
        <w:rPr>
          <w:b w:val="0"/>
          <w:i w:val="0"/>
        </w:rPr>
        <w:t>Independently, B-cell activating factor (BAFF/TNFSF13B) was identified as the key B-cell survival factor whose overexpression produces lupus in transgenic mice and whose blockade (belimumab) became the first biologic approved for SLE [4].</w:t>
      </w:r>
    </w:p>
    <w:p>
      <w:pPr>
        <w:pStyle w:val="Heading3"/>
        <w:spacing w:after="80" w:line="276" w:lineRule="auto"/>
      </w:pPr>
      <w:r>
        <w:rPr>
          <w:b/>
          <w:i w:val="0"/>
        </w:rPr>
        <w:t>1.3 The knowledge gap</w:t>
      </w:r>
    </w:p>
    <w:p>
      <w:pPr>
        <w:spacing w:after="80" w:line="276" w:lineRule="auto"/>
      </w:pPr>
      <w:r>
        <w:rPr>
          <w:b w:val="0"/>
          <w:i w:val="0"/>
        </w:rPr>
        <w:t>What has been missing is a systematic test of whether TLR7, BAFF, and IFN are transcriptionally connected as a unified circuit in SLE blood, and—crucially—whether that circuit is universal across organ involvement, race, sex, or disease severity. Here we provide that test using 11 public datasets spanning 979 patients, including SLE (all organ domains, with LN as renal SLE) and CLE (skin-limited lupus).</w:t>
      </w:r>
    </w:p>
    <w:p>
      <w:pPr>
        <w:pStyle w:val="Heading2"/>
        <w:spacing w:after="80" w:line="276" w:lineRule="auto"/>
      </w:pPr>
      <w:r>
        <w:rPr>
          <w:b/>
          <w:i w:val="0"/>
        </w:rPr>
        <w:t>2. Materials and Methods</w:t>
      </w:r>
    </w:p>
    <w:p>
      <w:pPr>
        <w:pStyle w:val="Heading3"/>
        <w:spacing w:after="80" w:line="276" w:lineRule="auto"/>
      </w:pPr>
      <w:r>
        <w:rPr>
          <w:b/>
          <w:i w:val="0"/>
        </w:rPr>
        <w:t>2.1 Dataset selection</w:t>
      </w:r>
    </w:p>
    <w:p>
      <w:pPr>
        <w:spacing w:after="80" w:line="276" w:lineRule="auto"/>
      </w:pPr>
      <w:r>
        <w:rPr>
          <w:b w:val="0"/>
          <w:i w:val="0"/>
        </w:rPr>
        <w:t>All datasets were retrieved from NCBI GEO. Inclusion criteria: (1) human lupus versus healthy control comparison; (2) blood or skin transcriptome; (3) publicly available expression data; (4) sample size ≥20 per group.</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160"/>
          </w:tcPr>
          <w:p>
            <w:pPr>
              <w:spacing w:before="20" w:after="20"/>
              <w:jc w:val="center"/>
            </w:pPr>
            <w:r/>
            <w:r>
              <w:rPr>
                <w:b/>
              </w:rPr>
              <w:t>Dataset</w:t>
            </w:r>
          </w:p>
        </w:tc>
        <w:tc>
          <w:tcPr>
            <w:tcW w:type="dxa" w:w="1568"/>
          </w:tcPr>
          <w:p>
            <w:pPr>
              <w:spacing w:before="20" w:after="20"/>
              <w:jc w:val="center"/>
            </w:pPr>
            <w:r/>
            <w:r>
              <w:rPr>
                <w:b/>
              </w:rPr>
              <w:t>Tissue</w:t>
            </w:r>
          </w:p>
        </w:tc>
        <w:tc>
          <w:tcPr>
            <w:tcW w:type="dxa" w:w="1568"/>
          </w:tcPr>
          <w:p>
            <w:pPr>
              <w:spacing w:before="20" w:after="20"/>
              <w:jc w:val="center"/>
            </w:pPr>
            <w:r/>
            <w:r>
              <w:rPr>
                <w:b/>
              </w:rPr>
              <w:t>Condition</w:t>
            </w:r>
          </w:p>
        </w:tc>
        <w:tc>
          <w:tcPr>
            <w:tcW w:type="dxa" w:w="1568"/>
          </w:tcPr>
          <w:p>
            <w:pPr>
              <w:spacing w:before="20" w:after="20"/>
              <w:jc w:val="center"/>
            </w:pPr>
            <w:r/>
            <w:r>
              <w:rPr>
                <w:b/>
              </w:rPr>
              <w:t>Disease n</w:t>
            </w:r>
          </w:p>
        </w:tc>
        <w:tc>
          <w:tcPr>
            <w:tcW w:type="dxa" w:w="1568"/>
          </w:tcPr>
          <w:p>
            <w:pPr>
              <w:spacing w:before="20" w:after="20"/>
              <w:jc w:val="center"/>
            </w:pPr>
            <w:r/>
            <w:r>
              <w:rPr>
                <w:b/>
              </w:rPr>
              <w:t>Healthy n</w:t>
            </w:r>
          </w:p>
        </w:tc>
        <w:tc>
          <w:tcPr>
            <w:tcW w:type="dxa" w:w="1568"/>
          </w:tcPr>
          <w:p>
            <w:pPr>
              <w:spacing w:before="20" w:after="20"/>
              <w:jc w:val="center"/>
            </w:pPr>
            <w:r/>
            <w:r>
              <w:rPr>
                <w:b/>
              </w:rPr>
              <w:t>Platform</w:t>
            </w:r>
          </w:p>
        </w:tc>
      </w:tr>
      <w:tr>
        <w:tc>
          <w:tcPr>
            <w:tcW w:type="dxa" w:w="2160"/>
          </w:tcPr>
          <w:p>
            <w:pPr>
              <w:spacing w:before="20" w:after="20"/>
              <w:jc w:val="center"/>
            </w:pPr>
            <w:r/>
            <w:r/>
            <w:r>
              <w:rPr>
                <w:b/>
              </w:rPr>
              <w:t>GSE65391</w:t>
            </w:r>
            <w:r/>
          </w:p>
        </w:tc>
        <w:tc>
          <w:tcPr>
            <w:tcW w:type="dxa" w:w="1568"/>
          </w:tcPr>
          <w:p>
            <w:pPr>
              <w:spacing w:before="20" w:after="20"/>
              <w:jc w:val="center"/>
            </w:pPr>
            <w:r/>
            <w:r>
              <w:t>Whole blood</w:t>
            </w:r>
          </w:p>
        </w:tc>
        <w:tc>
          <w:tcPr>
            <w:tcW w:type="dxa" w:w="1568"/>
          </w:tcPr>
          <w:p>
            <w:pPr>
              <w:spacing w:before="20" w:after="20"/>
              <w:jc w:val="center"/>
            </w:pPr>
            <w:r/>
            <w:r>
              <w:t>SLE paediatric, all SLEDAI categories</w:t>
            </w:r>
          </w:p>
        </w:tc>
        <w:tc>
          <w:tcPr>
            <w:tcW w:type="dxa" w:w="1568"/>
          </w:tcPr>
          <w:p>
            <w:pPr>
              <w:spacing w:before="20" w:after="20"/>
              <w:jc w:val="center"/>
            </w:pPr>
            <w:r/>
            <w:r>
              <w:t>611</w:t>
            </w:r>
          </w:p>
        </w:tc>
        <w:tc>
          <w:tcPr>
            <w:tcW w:type="dxa" w:w="1568"/>
          </w:tcPr>
          <w:p>
            <w:pPr>
              <w:spacing w:before="20" w:after="20"/>
              <w:jc w:val="center"/>
            </w:pPr>
            <w:r/>
            <w:r>
              <w:t>361</w:t>
            </w:r>
          </w:p>
        </w:tc>
        <w:tc>
          <w:tcPr>
            <w:tcW w:type="dxa" w:w="1568"/>
          </w:tcPr>
          <w:p>
            <w:pPr>
              <w:spacing w:before="20" w:after="20"/>
              <w:jc w:val="center"/>
            </w:pPr>
            <w:r/>
            <w:r>
              <w:t>Illumina HumanHT-12 v4</w:t>
            </w:r>
          </w:p>
        </w:tc>
      </w:tr>
      <w:tr>
        <w:tc>
          <w:tcPr>
            <w:tcW w:type="dxa" w:w="2160"/>
          </w:tcPr>
          <w:p>
            <w:pPr>
              <w:spacing w:before="20" w:after="20"/>
              <w:jc w:val="center"/>
            </w:pPr>
            <w:r/>
            <w:r/>
            <w:r>
              <w:rPr>
                <w:b/>
              </w:rPr>
              <w:t>GSE81622</w:t>
            </w:r>
            <w:r/>
          </w:p>
        </w:tc>
        <w:tc>
          <w:tcPr>
            <w:tcW w:type="dxa" w:w="1568"/>
          </w:tcPr>
          <w:p>
            <w:pPr>
              <w:spacing w:before="20" w:after="20"/>
              <w:jc w:val="center"/>
            </w:pPr>
            <w:r/>
            <w:r>
              <w:t>PBMC</w:t>
            </w:r>
          </w:p>
        </w:tc>
        <w:tc>
          <w:tcPr>
            <w:tcW w:type="dxa" w:w="1568"/>
          </w:tcPr>
          <w:p>
            <w:pPr>
              <w:spacing w:before="20" w:after="20"/>
              <w:jc w:val="center"/>
            </w:pPr>
            <w:r/>
            <w:r>
              <w:t>SLE adult</w:t>
            </w:r>
          </w:p>
        </w:tc>
        <w:tc>
          <w:tcPr>
            <w:tcW w:type="dxa" w:w="1568"/>
          </w:tcPr>
          <w:p>
            <w:pPr>
              <w:spacing w:before="20" w:after="20"/>
              <w:jc w:val="center"/>
            </w:pPr>
            <w:r/>
            <w:r>
              <w:t>28</w:t>
            </w:r>
          </w:p>
        </w:tc>
        <w:tc>
          <w:tcPr>
            <w:tcW w:type="dxa" w:w="1568"/>
          </w:tcPr>
          <w:p>
            <w:pPr>
              <w:spacing w:before="20" w:after="20"/>
              <w:jc w:val="center"/>
            </w:pPr>
            <w:r/>
            <w:r>
              <w:t>27</w:t>
            </w:r>
          </w:p>
        </w:tc>
        <w:tc>
          <w:tcPr>
            <w:tcW w:type="dxa" w:w="1568"/>
          </w:tcPr>
          <w:p>
            <w:pPr>
              <w:spacing w:before="20" w:after="20"/>
              <w:jc w:val="center"/>
            </w:pPr>
            <w:r/>
            <w:r>
              <w:t>Illumina HT-12 v4</w:t>
            </w:r>
          </w:p>
        </w:tc>
      </w:tr>
      <w:tr>
        <w:tc>
          <w:tcPr>
            <w:tcW w:type="dxa" w:w="2160"/>
          </w:tcPr>
          <w:p>
            <w:pPr>
              <w:spacing w:before="20" w:after="20"/>
              <w:jc w:val="center"/>
            </w:pPr>
            <w:r/>
            <w:r/>
            <w:r>
              <w:rPr>
                <w:b/>
              </w:rPr>
              <w:t>GSE11909</w:t>
            </w:r>
            <w:r/>
          </w:p>
        </w:tc>
        <w:tc>
          <w:tcPr>
            <w:tcW w:type="dxa" w:w="1568"/>
          </w:tcPr>
          <w:p>
            <w:pPr>
              <w:spacing w:before="20" w:after="20"/>
              <w:jc w:val="center"/>
            </w:pPr>
            <w:r/>
            <w:r>
              <w:t>Whole blood</w:t>
            </w:r>
          </w:p>
        </w:tc>
        <w:tc>
          <w:tcPr>
            <w:tcW w:type="dxa" w:w="1568"/>
          </w:tcPr>
          <w:p>
            <w:pPr>
              <w:spacing w:before="20" w:after="20"/>
              <w:jc w:val="center"/>
            </w:pPr>
            <w:r/>
            <w:r>
              <w:t>SLE paediatric</w:t>
            </w:r>
          </w:p>
        </w:tc>
        <w:tc>
          <w:tcPr>
            <w:tcW w:type="dxa" w:w="1568"/>
          </w:tcPr>
          <w:p>
            <w:pPr>
              <w:spacing w:before="20" w:after="20"/>
              <w:jc w:val="center"/>
            </w:pPr>
            <w:r/>
            <w:r>
              <w:t>22</w:t>
            </w:r>
          </w:p>
        </w:tc>
        <w:tc>
          <w:tcPr>
            <w:tcW w:type="dxa" w:w="1568"/>
          </w:tcPr>
          <w:p>
            <w:pPr>
              <w:spacing w:before="20" w:after="20"/>
              <w:jc w:val="center"/>
            </w:pPr>
            <w:r/>
            <w:r>
              <w:t>16</w:t>
            </w:r>
          </w:p>
        </w:tc>
        <w:tc>
          <w:tcPr>
            <w:tcW w:type="dxa" w:w="1568"/>
          </w:tcPr>
          <w:p>
            <w:pPr>
              <w:spacing w:before="20" w:after="20"/>
              <w:jc w:val="center"/>
            </w:pPr>
            <w:r/>
            <w:r>
              <w:t>Affymetrix GPL570</w:t>
            </w:r>
          </w:p>
        </w:tc>
      </w:tr>
      <w:tr>
        <w:tc>
          <w:tcPr>
            <w:tcW w:type="dxa" w:w="2160"/>
          </w:tcPr>
          <w:p>
            <w:pPr>
              <w:spacing w:before="20" w:after="20"/>
              <w:jc w:val="center"/>
            </w:pPr>
            <w:r/>
            <w:r/>
            <w:r>
              <w:rPr>
                <w:b/>
              </w:rPr>
              <w:t>GSE50772</w:t>
            </w:r>
            <w:r/>
          </w:p>
        </w:tc>
        <w:tc>
          <w:tcPr>
            <w:tcW w:type="dxa" w:w="1568"/>
          </w:tcPr>
          <w:p>
            <w:pPr>
              <w:spacing w:before="20" w:after="20"/>
              <w:jc w:val="center"/>
            </w:pPr>
            <w:r/>
            <w:r>
              <w:t>PBMC</w:t>
            </w:r>
          </w:p>
        </w:tc>
        <w:tc>
          <w:tcPr>
            <w:tcW w:type="dxa" w:w="1568"/>
          </w:tcPr>
          <w:p>
            <w:pPr>
              <w:spacing w:before="20" w:after="20"/>
              <w:jc w:val="center"/>
            </w:pPr>
            <w:r/>
            <w:r>
              <w:t>SLE adult, active disease (treatment-naive analysed separately)</w:t>
            </w:r>
          </w:p>
        </w:tc>
        <w:tc>
          <w:tcPr>
            <w:tcW w:type="dxa" w:w="1568"/>
          </w:tcPr>
          <w:p>
            <w:pPr>
              <w:spacing w:before="20" w:after="20"/>
              <w:jc w:val="center"/>
            </w:pPr>
            <w:r/>
            <w:r>
              <w:t>34</w:t>
            </w:r>
          </w:p>
        </w:tc>
        <w:tc>
          <w:tcPr>
            <w:tcW w:type="dxa" w:w="1568"/>
          </w:tcPr>
          <w:p>
            <w:pPr>
              <w:spacing w:before="20" w:after="20"/>
              <w:jc w:val="center"/>
            </w:pPr>
            <w:r/>
            <w:r>
              <w:t>30</w:t>
            </w:r>
          </w:p>
        </w:tc>
        <w:tc>
          <w:tcPr>
            <w:tcW w:type="dxa" w:w="1568"/>
          </w:tcPr>
          <w:p>
            <w:pPr>
              <w:spacing w:before="20" w:after="20"/>
              <w:jc w:val="center"/>
            </w:pPr>
            <w:r/>
            <w:r>
              <w:t>Affymetrix GPL570</w:t>
            </w:r>
          </w:p>
        </w:tc>
      </w:tr>
      <w:tr>
        <w:tc>
          <w:tcPr>
            <w:tcW w:type="dxa" w:w="2160"/>
          </w:tcPr>
          <w:p>
            <w:pPr>
              <w:spacing w:before="20" w:after="20"/>
              <w:jc w:val="center"/>
            </w:pPr>
            <w:r/>
            <w:r/>
            <w:r>
              <w:rPr>
                <w:b/>
              </w:rPr>
              <w:t>GSE121239</w:t>
            </w:r>
            <w:r/>
          </w:p>
        </w:tc>
        <w:tc>
          <w:tcPr>
            <w:tcW w:type="dxa" w:w="1568"/>
          </w:tcPr>
          <w:p>
            <w:pPr>
              <w:spacing w:before="20" w:after="20"/>
              <w:jc w:val="center"/>
            </w:pPr>
            <w:r/>
            <w:r>
              <w:t>PBMC</w:t>
            </w:r>
          </w:p>
        </w:tc>
        <w:tc>
          <w:tcPr>
            <w:tcW w:type="dxa" w:w="1568"/>
          </w:tcPr>
          <w:p>
            <w:pPr>
              <w:spacing w:before="20" w:after="20"/>
              <w:jc w:val="center"/>
            </w:pPr>
            <w:r/>
            <w:r>
              <w:t>SLE adult, longitudinal treated</w:t>
            </w:r>
          </w:p>
        </w:tc>
        <w:tc>
          <w:tcPr>
            <w:tcW w:type="dxa" w:w="1568"/>
          </w:tcPr>
          <w:p>
            <w:pPr>
              <w:spacing w:before="20" w:after="20"/>
              <w:jc w:val="center"/>
            </w:pPr>
            <w:r/>
            <w:r>
              <w:t>65 (292 samples, 40% SLEDAI=0)</w:t>
            </w:r>
          </w:p>
        </w:tc>
        <w:tc>
          <w:tcPr>
            <w:tcW w:type="dxa" w:w="1568"/>
          </w:tcPr>
          <w:p>
            <w:pPr>
              <w:spacing w:before="20" w:after="20"/>
              <w:jc w:val="center"/>
            </w:pPr>
            <w:r/>
            <w:r>
              <w:t>20</w:t>
            </w:r>
          </w:p>
        </w:tc>
        <w:tc>
          <w:tcPr>
            <w:tcW w:type="dxa" w:w="1568"/>
          </w:tcPr>
          <w:p>
            <w:pPr>
              <w:spacing w:before="20" w:after="20"/>
              <w:jc w:val="center"/>
            </w:pPr>
            <w:r/>
            <w:r>
              <w:t>Affymetrix GPL570</w:t>
            </w:r>
          </w:p>
        </w:tc>
      </w:tr>
      <w:tr>
        <w:tc>
          <w:tcPr>
            <w:tcW w:type="dxa" w:w="2160"/>
          </w:tcPr>
          <w:p>
            <w:pPr>
              <w:spacing w:before="20" w:after="20"/>
              <w:jc w:val="center"/>
            </w:pPr>
            <w:r/>
            <w:r/>
            <w:r>
              <w:rPr>
                <w:b/>
              </w:rPr>
              <w:t>GSE72326</w:t>
            </w:r>
            <w:r/>
          </w:p>
        </w:tc>
        <w:tc>
          <w:tcPr>
            <w:tcW w:type="dxa" w:w="1568"/>
          </w:tcPr>
          <w:p>
            <w:pPr>
              <w:spacing w:before="20" w:after="20"/>
              <w:jc w:val="center"/>
            </w:pPr>
            <w:r/>
            <w:r>
              <w:t>Whole blood</w:t>
            </w:r>
          </w:p>
        </w:tc>
        <w:tc>
          <w:tcPr>
            <w:tcW w:type="dxa" w:w="1568"/>
          </w:tcPr>
          <w:p>
            <w:pPr>
              <w:spacing w:before="20" w:after="20"/>
              <w:jc w:val="center"/>
            </w:pPr>
            <w:r/>
            <w:r>
              <w:t>LN-enriched SLE, biomarker study</w:t>
            </w:r>
          </w:p>
        </w:tc>
        <w:tc>
          <w:tcPr>
            <w:tcW w:type="dxa" w:w="1568"/>
          </w:tcPr>
          <w:p>
            <w:pPr>
              <w:spacing w:before="20" w:after="20"/>
              <w:jc w:val="center"/>
            </w:pPr>
            <w:r/>
            <w:r>
              <w:t>157</w:t>
            </w:r>
          </w:p>
        </w:tc>
        <w:tc>
          <w:tcPr>
            <w:tcW w:type="dxa" w:w="1568"/>
          </w:tcPr>
          <w:p>
            <w:pPr>
              <w:spacing w:before="20" w:after="20"/>
              <w:jc w:val="center"/>
            </w:pPr>
            <w:r/>
            <w:r>
              <w:t>20</w:t>
            </w:r>
          </w:p>
        </w:tc>
        <w:tc>
          <w:tcPr>
            <w:tcW w:type="dxa" w:w="1568"/>
          </w:tcPr>
          <w:p>
            <w:pPr>
              <w:spacing w:before="20" w:after="20"/>
              <w:jc w:val="center"/>
            </w:pPr>
            <w:r/>
            <w:r>
              <w:t>Illumina HumanHT-12 v4</w:t>
            </w:r>
          </w:p>
        </w:tc>
      </w:tr>
      <w:tr>
        <w:tc>
          <w:tcPr>
            <w:tcW w:type="dxa" w:w="2160"/>
          </w:tcPr>
          <w:p>
            <w:pPr>
              <w:spacing w:before="20" w:after="20"/>
              <w:jc w:val="center"/>
            </w:pPr>
            <w:r/>
            <w:r/>
            <w:r>
              <w:rPr>
                <w:b/>
              </w:rPr>
              <w:t>GSE167923</w:t>
            </w:r>
            <w:r/>
          </w:p>
        </w:tc>
        <w:tc>
          <w:tcPr>
            <w:tcW w:type="dxa" w:w="1568"/>
          </w:tcPr>
          <w:p>
            <w:pPr>
              <w:spacing w:before="20" w:after="20"/>
              <w:jc w:val="center"/>
            </w:pPr>
            <w:r/>
            <w:r>
              <w:t>Whole blood</w:t>
            </w:r>
          </w:p>
        </w:tc>
        <w:tc>
          <w:tcPr>
            <w:tcW w:type="dxa" w:w="1568"/>
          </w:tcPr>
          <w:p>
            <w:pPr>
              <w:spacing w:before="20" w:after="20"/>
              <w:jc w:val="center"/>
            </w:pPr>
            <w:r/>
            <w:r>
              <w:t>CLE (CCLE, SCLE, ACLE) + controls</w:t>
            </w:r>
          </w:p>
        </w:tc>
        <w:tc>
          <w:tcPr>
            <w:tcW w:type="dxa" w:w="1568"/>
          </w:tcPr>
          <w:p>
            <w:pPr>
              <w:spacing w:before="20" w:after="20"/>
              <w:jc w:val="center"/>
            </w:pPr>
            <w:r/>
            <w:r>
              <w:t>62</w:t>
            </w:r>
          </w:p>
        </w:tc>
        <w:tc>
          <w:tcPr>
            <w:tcW w:type="dxa" w:w="1568"/>
          </w:tcPr>
          <w:p>
            <w:pPr>
              <w:spacing w:before="20" w:after="20"/>
              <w:jc w:val="center"/>
            </w:pPr>
            <w:r/>
            <w:r>
              <w:t>27 (healthy) + 72 (other)</w:t>
            </w:r>
          </w:p>
        </w:tc>
        <w:tc>
          <w:tcPr>
            <w:tcW w:type="dxa" w:w="1568"/>
          </w:tcPr>
          <w:p>
            <w:pPr>
              <w:spacing w:before="20" w:after="20"/>
              <w:jc w:val="center"/>
            </w:pPr>
            <w:r/>
            <w:r>
              <w:t>Illumina HumanHT-12 v4</w:t>
            </w:r>
          </w:p>
        </w:tc>
      </w:tr>
      <w:tr>
        <w:tc>
          <w:tcPr>
            <w:tcW w:type="dxa" w:w="2160"/>
          </w:tcPr>
          <w:p>
            <w:pPr>
              <w:spacing w:before="20" w:after="20"/>
              <w:jc w:val="center"/>
            </w:pPr>
            <w:r/>
            <w:r/>
            <w:r>
              <w:rPr>
                <w:b/>
              </w:rPr>
              <w:t>GSE72747</w:t>
            </w:r>
            <w:r/>
          </w:p>
        </w:tc>
        <w:tc>
          <w:tcPr>
            <w:tcW w:type="dxa" w:w="1568"/>
          </w:tcPr>
          <w:p>
            <w:pPr>
              <w:spacing w:before="20" w:after="20"/>
              <w:jc w:val="center"/>
            </w:pPr>
            <w:r/>
            <w:r>
              <w:t>Whole blood</w:t>
            </w:r>
          </w:p>
        </w:tc>
        <w:tc>
          <w:tcPr>
            <w:tcW w:type="dxa" w:w="1568"/>
          </w:tcPr>
          <w:p>
            <w:pPr>
              <w:spacing w:before="20" w:after="20"/>
              <w:jc w:val="center"/>
            </w:pPr>
            <w:r/>
            <w:r>
              <w:t>LN active renal (BILAG A)</w:t>
            </w:r>
          </w:p>
        </w:tc>
        <w:tc>
          <w:tcPr>
            <w:tcW w:type="dxa" w:w="1568"/>
          </w:tcPr>
          <w:p>
            <w:pPr>
              <w:spacing w:before="20" w:after="20"/>
              <w:jc w:val="center"/>
            </w:pPr>
            <w:r/>
            <w:r>
              <w:t>30</w:t>
            </w:r>
          </w:p>
        </w:tc>
        <w:tc>
          <w:tcPr>
            <w:tcW w:type="dxa" w:w="1568"/>
          </w:tcPr>
          <w:p>
            <w:pPr>
              <w:spacing w:before="20" w:after="20"/>
              <w:jc w:val="center"/>
            </w:pPr>
            <w:r/>
            <w:r>
              <w:t>—</w:t>
            </w:r>
          </w:p>
        </w:tc>
        <w:tc>
          <w:tcPr>
            <w:tcW w:type="dxa" w:w="1568"/>
          </w:tcPr>
          <w:p>
            <w:pPr>
              <w:spacing w:before="20" w:after="20"/>
              <w:jc w:val="center"/>
            </w:pPr>
            <w:r/>
            <w:r>
              <w:t>Affymetrix GPL570</w:t>
            </w:r>
          </w:p>
        </w:tc>
      </w:tr>
      <w:tr>
        <w:tc>
          <w:tcPr>
            <w:tcW w:type="dxa" w:w="2160"/>
          </w:tcPr>
          <w:p>
            <w:pPr>
              <w:spacing w:before="20" w:after="20"/>
              <w:jc w:val="center"/>
            </w:pPr>
            <w:r/>
            <w:r/>
            <w:r>
              <w:rPr>
                <w:b/>
              </w:rPr>
              <w:t>GSE109248</w:t>
            </w:r>
            <w:r/>
          </w:p>
        </w:tc>
        <w:tc>
          <w:tcPr>
            <w:tcW w:type="dxa" w:w="1568"/>
          </w:tcPr>
          <w:p>
            <w:pPr>
              <w:spacing w:before="20" w:after="20"/>
              <w:jc w:val="center"/>
            </w:pPr>
            <w:r/>
            <w:r>
              <w:t>Skin biopsy</w:t>
            </w:r>
          </w:p>
        </w:tc>
        <w:tc>
          <w:tcPr>
            <w:tcW w:type="dxa" w:w="1568"/>
          </w:tcPr>
          <w:p>
            <w:pPr>
              <w:spacing w:before="20" w:after="20"/>
              <w:jc w:val="center"/>
            </w:pPr>
            <w:r/>
            <w:r>
              <w:t>CLE (CCLE, SCLE, ACLE) + normal + psoriasis</w:t>
            </w:r>
          </w:p>
        </w:tc>
        <w:tc>
          <w:tcPr>
            <w:tcW w:type="dxa" w:w="1568"/>
          </w:tcPr>
          <w:p>
            <w:pPr>
              <w:spacing w:before="20" w:after="20"/>
              <w:jc w:val="center"/>
            </w:pPr>
            <w:r/>
            <w:r>
              <w:t>25</w:t>
            </w:r>
          </w:p>
        </w:tc>
        <w:tc>
          <w:tcPr>
            <w:tcW w:type="dxa" w:w="1568"/>
          </w:tcPr>
          <w:p>
            <w:pPr>
              <w:spacing w:before="20" w:after="20"/>
              <w:jc w:val="center"/>
            </w:pPr>
            <w:r/>
            <w:r>
              <w:t>31</w:t>
            </w:r>
          </w:p>
        </w:tc>
        <w:tc>
          <w:tcPr>
            <w:tcW w:type="dxa" w:w="1568"/>
          </w:tcPr>
          <w:p>
            <w:pPr>
              <w:spacing w:before="20" w:after="20"/>
              <w:jc w:val="center"/>
            </w:pPr>
            <w:r/>
            <w:r>
              <w:t>Illumina HumanHT-12 v4</w:t>
            </w:r>
          </w:p>
        </w:tc>
      </w:tr>
      <w:tr>
        <w:tc>
          <w:tcPr>
            <w:tcW w:type="dxa" w:w="2160"/>
          </w:tcPr>
          <w:p>
            <w:pPr>
              <w:spacing w:before="20" w:after="20"/>
              <w:jc w:val="center"/>
            </w:pPr>
            <w:r/>
            <w:r/>
            <w:r>
              <w:rPr>
                <w:b/>
              </w:rPr>
              <w:t>GSE112943</w:t>
            </w:r>
            <w:r/>
          </w:p>
        </w:tc>
        <w:tc>
          <w:tcPr>
            <w:tcW w:type="dxa" w:w="1568"/>
          </w:tcPr>
          <w:p>
            <w:pPr>
              <w:spacing w:before="20" w:after="20"/>
              <w:jc w:val="center"/>
            </w:pPr>
            <w:r/>
            <w:r>
              <w:t>Skin biopsy</w:t>
            </w:r>
          </w:p>
        </w:tc>
        <w:tc>
          <w:tcPr>
            <w:tcW w:type="dxa" w:w="1568"/>
          </w:tcPr>
          <w:p>
            <w:pPr>
              <w:spacing w:before="20" w:after="20"/>
              <w:jc w:val="center"/>
            </w:pPr>
            <w:r/>
            <w:r>
              <w:t>CLE + normal</w:t>
            </w:r>
          </w:p>
        </w:tc>
        <w:tc>
          <w:tcPr>
            <w:tcW w:type="dxa" w:w="1568"/>
          </w:tcPr>
          <w:p>
            <w:pPr>
              <w:spacing w:before="20" w:after="20"/>
              <w:jc w:val="center"/>
            </w:pPr>
            <w:r/>
            <w:r>
              <w:t>16</w:t>
            </w:r>
          </w:p>
        </w:tc>
        <w:tc>
          <w:tcPr>
            <w:tcW w:type="dxa" w:w="1568"/>
          </w:tcPr>
          <w:p>
            <w:pPr>
              <w:spacing w:before="20" w:after="20"/>
              <w:jc w:val="center"/>
            </w:pPr>
            <w:r/>
            <w:r>
              <w:t>—</w:t>
            </w:r>
          </w:p>
        </w:tc>
        <w:tc>
          <w:tcPr>
            <w:tcW w:type="dxa" w:w="1568"/>
          </w:tcPr>
          <w:p>
            <w:pPr>
              <w:spacing w:before="20" w:after="20"/>
              <w:jc w:val="center"/>
            </w:pPr>
            <w:r/>
            <w:r>
              <w:t>Illumina HumanHT-12 v4</w:t>
            </w:r>
          </w:p>
        </w:tc>
      </w:tr>
    </w:tbl>
    <w:p/>
    <w:p>
      <w:pPr>
        <w:spacing w:after="80" w:line="276" w:lineRule="auto"/>
      </w:pPr>
      <w:r>
        <w:rPr>
          <w:b w:val="0"/>
          <w:i w:val="0"/>
        </w:rPr>
      </w:r>
      <w:r>
        <w:rPr>
          <w:b/>
        </w:rPr>
        <w:t>Total lupus samples analysed:</w:t>
      </w:r>
      <w:r>
        <w:rPr>
          <w:b w:val="0"/>
          <w:i w:val="0"/>
        </w:rPr>
        <w:t xml:space="preserve"> 979 (611 paediatric SLE, 28 adult SLE, 22 pSLE, 34 adult SLE, 65 adult SLE, 157 LN, 62 CLE).</w:t>
      </w:r>
    </w:p>
    <w:p>
      <w:pPr>
        <w:spacing w:after="80" w:line="276" w:lineRule="auto"/>
      </w:pPr>
      <w:r>
        <w:rPr>
          <w:b w:val="0"/>
          <w:i w:val="0"/>
        </w:rPr>
      </w:r>
      <w:r>
        <w:rPr>
          <w:b/>
        </w:rPr>
        <w:t>Total healthy controls (blood only):</w:t>
      </w:r>
      <w:r>
        <w:rPr>
          <w:b w:val="0"/>
          <w:i w:val="0"/>
        </w:rPr>
        <w:t xml:space="preserve"> 501 (GSE65391 n=361, GSE72326 n=20, GSE81622 n=27, GSE11909 n=16, GSE50772 n=30, GSE121239 n=20, GSE167923 n=27).</w:t>
      </w:r>
    </w:p>
    <w:p>
      <w:pPr>
        <w:pStyle w:val="Heading3"/>
        <w:spacing w:after="80" w:line="276" w:lineRule="auto"/>
      </w:pPr>
      <w:r>
        <w:rPr>
          <w:b/>
          <w:i w:val="0"/>
        </w:rPr>
        <w:t>2.2 Expression and correlation analysis</w:t>
      </w:r>
    </w:p>
    <w:p>
      <w:pPr>
        <w:spacing w:after="80" w:line="276" w:lineRule="auto"/>
      </w:pPr>
      <w:r>
        <w:rPr>
          <w:b w:val="0"/>
          <w:i w:val="0"/>
        </w:rPr>
        <w:t>For Illumina HumanHT-12 datasets (GSE65391, GSE81622, GSE167923, GSE109248, GSE112943), pre-processed expression values from the same platform (GPL10558/GPL6947) were downloaded and mapped using the same probe-to-gene mapping. For Affymetrix datasets (GSE72747), GEO2R-processed values were used.</w:t>
      </w:r>
    </w:p>
    <w:p>
      <w:pPr>
        <w:spacing w:after="80" w:line="276" w:lineRule="auto"/>
      </w:pPr>
      <w:r>
        <w:rPr>
          <w:b w:val="0"/>
          <w:i w:val="0"/>
        </w:rPr>
        <w:t>Pairwise Pearson correlations between TLR7, MYD88, BAFF (TNFSF13B), IRF7, IFN-stimulated genes (IFIT1, IFI44, IFI44L, ISG15, RSAD2, CXCL10, MX1, OAS1-3), neutrophil markers (ELANE, MPO, PRTN3, PADI4), B-cell markers (CD19, MS4A1, TNFRSF13C), and inflammatory cytokines (TNF, IL6, IL1B) were computed for each group. Correlation coefficients and p-values were calculated using SciPy.</w:t>
      </w:r>
    </w:p>
    <w:p>
      <w:pPr>
        <w:pStyle w:val="Heading3"/>
        <w:spacing w:after="80" w:line="276" w:lineRule="auto"/>
      </w:pPr>
      <w:r>
        <w:rPr>
          <w:b/>
          <w:i w:val="0"/>
        </w:rPr>
        <w:t>2.3 Organ stratification (GSE65391)</w:t>
      </w:r>
    </w:p>
    <w:p>
      <w:pPr>
        <w:spacing w:after="80" w:line="276" w:lineRule="auto"/>
      </w:pPr>
      <w:r>
        <w:rPr>
          <w:b w:val="0"/>
          <w:i w:val="0"/>
        </w:rPr>
        <w:t xml:space="preserve">The SLEDAI (Systemic Lupus Erythematosus Disease Activity Index) encodes organ-specific descriptors. Using the presence of SLEDAI descriptors, we stratified GSE65391 patients into 8 organ categories: renal (n=408), musculoskeletal (n=72), mucocutaneous (n=67), haematological (n=45), fever (n=19), vascular (n=9), CNS (n=7), and serosal (n=5). For each gene, fold-change was computed comparing patients </w:t>
      </w:r>
      <w:r>
        <w:rPr>
          <w:i/>
        </w:rPr>
        <w:t>with</w:t>
      </w:r>
      <w:r>
        <w:rPr>
          <w:b w:val="0"/>
          <w:i w:val="0"/>
        </w:rPr>
        <w:t xml:space="preserve"> versus </w:t>
      </w:r>
      <w:r>
        <w:rPr>
          <w:i/>
        </w:rPr>
        <w:t>without</w:t>
      </w:r>
      <w:r>
        <w:rPr>
          <w:b w:val="0"/>
          <w:i w:val="0"/>
        </w:rPr>
        <w:t xml:space="preserve"> involvement of each organ, enabling a within-dataset, within-platform, within-population comparison of organ-specificity.</w:t>
      </w:r>
    </w:p>
    <w:p>
      <w:pPr>
        <w:pStyle w:val="Heading3"/>
        <w:spacing w:after="80" w:line="276" w:lineRule="auto"/>
      </w:pPr>
      <w:r>
        <w:rPr>
          <w:b/>
          <w:i w:val="0"/>
        </w:rPr>
        <w:t>2.4 Race and sex analysis (GSE65391, GSE81622)</w:t>
      </w:r>
    </w:p>
    <w:p>
      <w:pPr>
        <w:spacing w:after="80" w:line="276" w:lineRule="auto"/>
      </w:pPr>
      <w:r>
        <w:rPr>
          <w:b w:val="0"/>
          <w:i w:val="0"/>
        </w:rPr>
        <w:t>GSE65391 provides self-reported race (Hispanic n=442, African American n=244, Caucasian n=107, Asian n=10, other n=87) and sex (female n=517, male n=94). GSE81622 provides sex (female n=22, male n=6) and age. Within each demographic group, correlation coefficients and fold-changes were computed for the core loop genes.</w:t>
      </w:r>
    </w:p>
    <w:p>
      <w:pPr>
        <w:pStyle w:val="Heading2"/>
        <w:spacing w:after="80" w:line="276" w:lineRule="auto"/>
      </w:pPr>
      <w:r>
        <w:rPr>
          <w:b/>
          <w:i w:val="0"/>
        </w:rPr>
        <w:t>3. Results</w:t>
      </w:r>
    </w:p>
    <w:p>
      <w:pPr>
        <w:pStyle w:val="Heading3"/>
        <w:spacing w:after="80" w:line="276" w:lineRule="auto"/>
      </w:pPr>
      <w:r>
        <w:rPr>
          <w:b/>
          <w:i w:val="0"/>
        </w:rPr>
        <w:t>3.1 The TLR7→BAFF→IFN loop is the most reproducibly dysregulated circuit in SLE blood</w:t>
      </w:r>
    </w:p>
    <w:p>
      <w:pPr>
        <w:spacing w:after="80" w:line="276" w:lineRule="auto"/>
      </w:pPr>
      <w:r>
        <w:rPr>
          <w:b w:val="0"/>
          <w:i w:val="0"/>
        </w:rPr>
        <w:t>In the largest paediatric SLE blood dataset (GSE65391, n=924), the core loop connections were robustly correlated:</w:t>
      </w:r>
    </w:p>
    <w:p>
      <w:pPr>
        <w:spacing w:after="80" w:line="276" w:lineRule="auto"/>
      </w:pPr>
      <w:r>
        <w:rPr>
          <w:b w:val="0"/>
          <w:i w:val="0"/>
        </w:rPr>
        <w:t>- IRF7→IFIT1: r=+0.86, p&lt;0.001</w:t>
      </w:r>
    </w:p>
    <w:p>
      <w:pPr>
        <w:spacing w:after="80" w:line="276" w:lineRule="auto"/>
      </w:pPr>
      <w:r>
        <w:rPr>
          <w:b w:val="0"/>
          <w:i w:val="0"/>
        </w:rPr>
        <w:t>- TNFSF13B (BAFF)→IRF7: r=+0.77, p&lt;0.001</w:t>
      </w:r>
    </w:p>
    <w:p>
      <w:pPr>
        <w:spacing w:after="80" w:line="276" w:lineRule="auto"/>
      </w:pPr>
      <w:r>
        <w:rPr>
          <w:b w:val="0"/>
          <w:i w:val="0"/>
        </w:rPr>
        <w:t>- IFIT1→RSAD2: r=+0.93, p&lt;0.001</w:t>
      </w:r>
    </w:p>
    <w:p>
      <w:pPr>
        <w:spacing w:after="80" w:line="276" w:lineRule="auto"/>
      </w:pPr>
      <w:r>
        <w:rPr>
          <w:b w:val="0"/>
          <w:i w:val="0"/>
        </w:rPr>
        <w:t>- IRF7→ISG15: r=+0.91, p&lt;0.001</w:t>
      </w:r>
    </w:p>
    <w:p>
      <w:pPr>
        <w:spacing w:after="80" w:line="276" w:lineRule="auto"/>
      </w:pPr>
      <w:r>
        <w:rPr>
          <w:b w:val="0"/>
          <w:i w:val="0"/>
        </w:rPr>
        <w:t>- TLR7→IRF7: r=+0.25, p&lt;0.001 (weaker, consistent with IRF7 receiving multiple upstream inputs)</w:t>
      </w:r>
    </w:p>
    <w:p>
      <w:pPr>
        <w:spacing w:after="80" w:line="276" w:lineRule="auto"/>
      </w:pPr>
      <w:r>
        <w:rPr>
          <w:b w:val="0"/>
          <w:i w:val="0"/>
        </w:rPr>
        <w:t>To test whether this loop replicated across independent cohorts and platforms, we examined fold-changes in the five core pathway genes across 5 blood datasets:</w:t>
      </w:r>
    </w:p>
    <w:p>
      <w:pPr>
        <w:spacing w:after="80" w:line="276" w:lineRule="auto"/>
      </w:pPr>
      <w:r>
        <w:rPr>
          <w:b w:val="0"/>
          <w:i w:val="0"/>
        </w:rPr>
      </w:r>
      <w:r>
        <w:rPr>
          <w:b/>
        </w:rPr>
        <w:t>Table 1. Fold-change of core loop genes across SLE blood datasets</w:t>
      </w:r>
      <w:r>
        <w:rPr>
          <w:b w:val="0"/>
          <w:i w:val="0"/>
        </w:rPr>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2160"/>
          </w:tcPr>
          <w:p>
            <w:pPr>
              <w:spacing w:before="20" w:after="20"/>
              <w:jc w:val="center"/>
            </w:pPr>
            <w:r/>
            <w:r>
              <w:rPr>
                <w:b/>
              </w:rPr>
              <w:t>Gene</w:t>
            </w:r>
          </w:p>
        </w:tc>
        <w:tc>
          <w:tcPr>
            <w:tcW w:type="dxa" w:w="1344"/>
          </w:tcPr>
          <w:p>
            <w:pPr>
              <w:spacing w:before="20" w:after="20"/>
              <w:jc w:val="center"/>
            </w:pPr>
            <w:r/>
            <w:r>
              <w:rPr>
                <w:b/>
              </w:rPr>
              <w:t>GSE65391 (WB, peds)</w:t>
            </w:r>
          </w:p>
        </w:tc>
        <w:tc>
          <w:tcPr>
            <w:tcW w:type="dxa" w:w="1344"/>
          </w:tcPr>
          <w:p>
            <w:pPr>
              <w:spacing w:before="20" w:after="20"/>
              <w:jc w:val="center"/>
            </w:pPr>
            <w:r/>
            <w:r>
              <w:rPr>
                <w:b/>
              </w:rPr>
              <w:t>GSE81622 (PBMC, adult)</w:t>
            </w:r>
          </w:p>
        </w:tc>
        <w:tc>
          <w:tcPr>
            <w:tcW w:type="dxa" w:w="1344"/>
          </w:tcPr>
          <w:p>
            <w:pPr>
              <w:spacing w:before="20" w:after="20"/>
              <w:jc w:val="center"/>
            </w:pPr>
            <w:r/>
            <w:r>
              <w:rPr>
                <w:b/>
              </w:rPr>
              <w:t>GSE11909 (WB, peds)</w:t>
            </w:r>
          </w:p>
        </w:tc>
        <w:tc>
          <w:tcPr>
            <w:tcW w:type="dxa" w:w="1344"/>
          </w:tcPr>
          <w:p>
            <w:pPr>
              <w:spacing w:before="20" w:after="20"/>
              <w:jc w:val="center"/>
            </w:pPr>
            <w:r/>
            <w:r>
              <w:rPr>
                <w:b/>
              </w:rPr>
              <w:t>GSE50772 (PBMC, active)</w:t>
            </w:r>
          </w:p>
        </w:tc>
        <w:tc>
          <w:tcPr>
            <w:tcW w:type="dxa" w:w="1344"/>
          </w:tcPr>
          <w:p>
            <w:pPr>
              <w:spacing w:before="20" w:after="20"/>
              <w:jc w:val="center"/>
            </w:pPr>
            <w:r/>
            <w:r>
              <w:rPr>
                <w:b/>
              </w:rPr>
              <w:t>GSE121239 (PBMC, adult)</w:t>
            </w:r>
          </w:p>
        </w:tc>
        <w:tc>
          <w:tcPr>
            <w:tcW w:type="dxa" w:w="1344"/>
          </w:tcPr>
          <w:p>
            <w:pPr>
              <w:spacing w:before="20" w:after="20"/>
              <w:jc w:val="center"/>
            </w:pPr>
            <w:r/>
            <w:r>
              <w:rPr>
                <w:b/>
              </w:rPr>
              <w:t>Replicability</w:t>
            </w:r>
          </w:p>
        </w:tc>
      </w:tr>
      <w:tr>
        <w:tc>
          <w:tcPr>
            <w:tcW w:type="dxa" w:w="2160"/>
          </w:tcPr>
          <w:p>
            <w:pPr>
              <w:spacing w:before="20" w:after="20"/>
              <w:jc w:val="center"/>
            </w:pPr>
            <w:r/>
            <w:r/>
            <w:r>
              <w:rPr>
                <w:b/>
              </w:rPr>
              <w:t>TLR7</w:t>
            </w:r>
            <w:r/>
          </w:p>
        </w:tc>
        <w:tc>
          <w:tcPr>
            <w:tcW w:type="dxa" w:w="1344"/>
          </w:tcPr>
          <w:p>
            <w:pPr>
              <w:spacing w:before="20" w:after="20"/>
              <w:jc w:val="center"/>
            </w:pPr>
            <w:r/>
            <w:r>
              <w:t>0.94 (ns)</w:t>
            </w:r>
          </w:p>
        </w:tc>
        <w:tc>
          <w:tcPr>
            <w:tcW w:type="dxa" w:w="1344"/>
          </w:tcPr>
          <w:p>
            <w:pPr>
              <w:spacing w:before="20" w:after="20"/>
              <w:jc w:val="center"/>
            </w:pPr>
            <w:r/>
            <w:r>
              <w:t>1.45*</w:t>
            </w:r>
          </w:p>
        </w:tc>
        <w:tc>
          <w:tcPr>
            <w:tcW w:type="dxa" w:w="1344"/>
          </w:tcPr>
          <w:p>
            <w:pPr>
              <w:spacing w:before="20" w:after="20"/>
              <w:jc w:val="center"/>
            </w:pPr>
            <w:r/>
            <w:r>
              <w:t>1.19*</w:t>
            </w:r>
          </w:p>
        </w:tc>
        <w:tc>
          <w:tcPr>
            <w:tcW w:type="dxa" w:w="1344"/>
          </w:tcPr>
          <w:p>
            <w:pPr>
              <w:spacing w:before="20" w:after="20"/>
              <w:jc w:val="center"/>
            </w:pPr>
            <w:r/>
            <w:r>
              <w:t>1.25*</w:t>
            </w:r>
          </w:p>
        </w:tc>
        <w:tc>
          <w:tcPr>
            <w:tcW w:type="dxa" w:w="1344"/>
          </w:tcPr>
          <w:p>
            <w:pPr>
              <w:spacing w:before="20" w:after="20"/>
              <w:jc w:val="center"/>
            </w:pPr>
            <w:r/>
            <w:r>
              <w:t>1.03*†</w:t>
            </w:r>
          </w:p>
        </w:tc>
        <w:tc>
          <w:tcPr>
            <w:tcW w:type="dxa" w:w="1344"/>
          </w:tcPr>
          <w:p>
            <w:pPr>
              <w:spacing w:before="20" w:after="20"/>
              <w:jc w:val="center"/>
            </w:pPr>
            <w:r/>
            <w:r/>
            <w:r>
              <w:rPr>
                <w:b/>
              </w:rPr>
              <w:t>4/5</w:t>
            </w:r>
            <w:r/>
          </w:p>
        </w:tc>
      </w:tr>
      <w:tr>
        <w:tc>
          <w:tcPr>
            <w:tcW w:type="dxa" w:w="2160"/>
          </w:tcPr>
          <w:p>
            <w:pPr>
              <w:spacing w:before="20" w:after="20"/>
              <w:jc w:val="center"/>
            </w:pPr>
            <w:r/>
            <w:r/>
            <w:r>
              <w:rPr>
                <w:b/>
              </w:rPr>
              <w:t>MYD88</w:t>
            </w:r>
            <w:r/>
          </w:p>
        </w:tc>
        <w:tc>
          <w:tcPr>
            <w:tcW w:type="dxa" w:w="1344"/>
          </w:tcPr>
          <w:p>
            <w:pPr>
              <w:spacing w:before="20" w:after="20"/>
              <w:jc w:val="center"/>
            </w:pPr>
            <w:r/>
            <w:r>
              <w:t>1.43*</w:t>
            </w:r>
          </w:p>
        </w:tc>
        <w:tc>
          <w:tcPr>
            <w:tcW w:type="dxa" w:w="1344"/>
          </w:tcPr>
          <w:p>
            <w:pPr>
              <w:spacing w:before="20" w:after="20"/>
              <w:jc w:val="center"/>
            </w:pPr>
            <w:r/>
            <w:r>
              <w:t>1.33*</w:t>
            </w:r>
          </w:p>
        </w:tc>
        <w:tc>
          <w:tcPr>
            <w:tcW w:type="dxa" w:w="1344"/>
          </w:tcPr>
          <w:p>
            <w:pPr>
              <w:spacing w:before="20" w:after="20"/>
              <w:jc w:val="center"/>
            </w:pPr>
            <w:r/>
            <w:r>
              <w:t>1.05 (ns)</w:t>
            </w:r>
          </w:p>
        </w:tc>
        <w:tc>
          <w:tcPr>
            <w:tcW w:type="dxa" w:w="1344"/>
          </w:tcPr>
          <w:p>
            <w:pPr>
              <w:spacing w:before="20" w:after="20"/>
              <w:jc w:val="center"/>
            </w:pPr>
            <w:r/>
            <w:r>
              <w:t>1.49*</w:t>
            </w:r>
          </w:p>
        </w:tc>
        <w:tc>
          <w:tcPr>
            <w:tcW w:type="dxa" w:w="1344"/>
          </w:tcPr>
          <w:p>
            <w:pPr>
              <w:spacing w:before="20" w:after="20"/>
              <w:jc w:val="center"/>
            </w:pPr>
            <w:r/>
            <w:r>
              <w:t>1.05*†</w:t>
            </w:r>
          </w:p>
        </w:tc>
        <w:tc>
          <w:tcPr>
            <w:tcW w:type="dxa" w:w="1344"/>
          </w:tcPr>
          <w:p>
            <w:pPr>
              <w:spacing w:before="20" w:after="20"/>
              <w:jc w:val="center"/>
            </w:pPr>
            <w:r/>
            <w:r/>
            <w:r>
              <w:rPr>
                <w:b/>
              </w:rPr>
              <w:t>4/5</w:t>
            </w:r>
            <w:r/>
          </w:p>
        </w:tc>
      </w:tr>
      <w:tr>
        <w:tc>
          <w:tcPr>
            <w:tcW w:type="dxa" w:w="2160"/>
          </w:tcPr>
          <w:p>
            <w:pPr>
              <w:spacing w:before="20" w:after="20"/>
              <w:jc w:val="center"/>
            </w:pPr>
            <w:r/>
            <w:r/>
            <w:r>
              <w:rPr>
                <w:b/>
              </w:rPr>
              <w:t>TNFSF13B (BAFF)</w:t>
            </w:r>
            <w:r/>
          </w:p>
        </w:tc>
        <w:tc>
          <w:tcPr>
            <w:tcW w:type="dxa" w:w="1344"/>
          </w:tcPr>
          <w:p>
            <w:pPr>
              <w:spacing w:before="20" w:after="20"/>
              <w:jc w:val="center"/>
            </w:pPr>
            <w:r/>
            <w:r>
              <w:t>2.05*</w:t>
            </w:r>
          </w:p>
        </w:tc>
        <w:tc>
          <w:tcPr>
            <w:tcW w:type="dxa" w:w="1344"/>
          </w:tcPr>
          <w:p>
            <w:pPr>
              <w:spacing w:before="20" w:after="20"/>
              <w:jc w:val="center"/>
            </w:pPr>
            <w:r/>
            <w:r>
              <w:t>1.29*</w:t>
            </w:r>
          </w:p>
        </w:tc>
        <w:tc>
          <w:tcPr>
            <w:tcW w:type="dxa" w:w="1344"/>
          </w:tcPr>
          <w:p>
            <w:pPr>
              <w:spacing w:before="20" w:after="20"/>
              <w:jc w:val="center"/>
            </w:pPr>
            <w:r/>
            <w:r>
              <w:t>1.53*</w:t>
            </w:r>
          </w:p>
        </w:tc>
        <w:tc>
          <w:tcPr>
            <w:tcW w:type="dxa" w:w="1344"/>
          </w:tcPr>
          <w:p>
            <w:pPr>
              <w:spacing w:before="20" w:after="20"/>
              <w:jc w:val="center"/>
            </w:pPr>
            <w:r/>
            <w:r>
              <w:t>1.67*</w:t>
            </w:r>
          </w:p>
        </w:tc>
        <w:tc>
          <w:tcPr>
            <w:tcW w:type="dxa" w:w="1344"/>
          </w:tcPr>
          <w:p>
            <w:pPr>
              <w:spacing w:before="20" w:after="20"/>
              <w:jc w:val="center"/>
            </w:pPr>
            <w:r/>
            <w:r>
              <w:t>1.06*†</w:t>
            </w:r>
          </w:p>
        </w:tc>
        <w:tc>
          <w:tcPr>
            <w:tcW w:type="dxa" w:w="1344"/>
          </w:tcPr>
          <w:p>
            <w:pPr>
              <w:spacing w:before="20" w:after="20"/>
              <w:jc w:val="center"/>
            </w:pPr>
            <w:r/>
            <w:r/>
            <w:r>
              <w:rPr>
                <w:b/>
              </w:rPr>
              <w:t>5/5</w:t>
            </w:r>
            <w:r/>
          </w:p>
        </w:tc>
      </w:tr>
      <w:tr>
        <w:tc>
          <w:tcPr>
            <w:tcW w:type="dxa" w:w="2160"/>
          </w:tcPr>
          <w:p>
            <w:pPr>
              <w:spacing w:before="20" w:after="20"/>
              <w:jc w:val="center"/>
            </w:pPr>
            <w:r/>
            <w:r/>
            <w:r>
              <w:rPr>
                <w:b/>
              </w:rPr>
              <w:t>IRF7</w:t>
            </w:r>
            <w:r/>
          </w:p>
        </w:tc>
        <w:tc>
          <w:tcPr>
            <w:tcW w:type="dxa" w:w="1344"/>
          </w:tcPr>
          <w:p>
            <w:pPr>
              <w:spacing w:before="20" w:after="20"/>
              <w:jc w:val="center"/>
            </w:pPr>
            <w:r/>
            <w:r>
              <w:t>2.90*</w:t>
            </w:r>
          </w:p>
        </w:tc>
        <w:tc>
          <w:tcPr>
            <w:tcW w:type="dxa" w:w="1344"/>
          </w:tcPr>
          <w:p>
            <w:pPr>
              <w:spacing w:before="20" w:after="20"/>
              <w:jc w:val="center"/>
            </w:pPr>
            <w:r/>
            <w:r>
              <w:t>1.55*</w:t>
            </w:r>
          </w:p>
        </w:tc>
        <w:tc>
          <w:tcPr>
            <w:tcW w:type="dxa" w:w="1344"/>
          </w:tcPr>
          <w:p>
            <w:pPr>
              <w:spacing w:before="20" w:after="20"/>
              <w:jc w:val="center"/>
            </w:pPr>
            <w:r/>
            <w:r>
              <w:t>N/A</w:t>
            </w:r>
          </w:p>
        </w:tc>
        <w:tc>
          <w:tcPr>
            <w:tcW w:type="dxa" w:w="1344"/>
          </w:tcPr>
          <w:p>
            <w:pPr>
              <w:spacing w:before="20" w:after="20"/>
              <w:jc w:val="center"/>
            </w:pPr>
            <w:r/>
            <w:r>
              <w:t>2.16*</w:t>
            </w:r>
          </w:p>
        </w:tc>
        <w:tc>
          <w:tcPr>
            <w:tcW w:type="dxa" w:w="1344"/>
          </w:tcPr>
          <w:p>
            <w:pPr>
              <w:spacing w:before="20" w:after="20"/>
              <w:jc w:val="center"/>
            </w:pPr>
            <w:r/>
            <w:r>
              <w:t>1.22*†</w:t>
            </w:r>
          </w:p>
        </w:tc>
        <w:tc>
          <w:tcPr>
            <w:tcW w:type="dxa" w:w="1344"/>
          </w:tcPr>
          <w:p>
            <w:pPr>
              <w:spacing w:before="20" w:after="20"/>
              <w:jc w:val="center"/>
            </w:pPr>
            <w:r/>
            <w:r/>
            <w:r>
              <w:rPr>
                <w:b/>
              </w:rPr>
              <w:t>4/4†</w:t>
            </w:r>
            <w:r/>
          </w:p>
        </w:tc>
      </w:tr>
      <w:tr>
        <w:tc>
          <w:tcPr>
            <w:tcW w:type="dxa" w:w="2160"/>
          </w:tcPr>
          <w:p>
            <w:pPr>
              <w:spacing w:before="20" w:after="20"/>
              <w:jc w:val="center"/>
            </w:pPr>
            <w:r/>
            <w:r/>
            <w:r>
              <w:rPr>
                <w:b/>
              </w:rPr>
              <w:t>BAX (control)</w:t>
            </w:r>
            <w:r/>
          </w:p>
        </w:tc>
        <w:tc>
          <w:tcPr>
            <w:tcW w:type="dxa" w:w="1344"/>
          </w:tcPr>
          <w:p>
            <w:pPr>
              <w:spacing w:before="20" w:after="20"/>
              <w:jc w:val="center"/>
            </w:pPr>
            <w:r/>
            <w:r>
              <w:t>1.00 (ns)</w:t>
            </w:r>
          </w:p>
        </w:tc>
        <w:tc>
          <w:tcPr>
            <w:tcW w:type="dxa" w:w="1344"/>
          </w:tcPr>
          <w:p>
            <w:pPr>
              <w:spacing w:before="20" w:after="20"/>
              <w:jc w:val="center"/>
            </w:pPr>
            <w:r/>
            <w:r>
              <w:t>0.96 (ns)</w:t>
            </w:r>
          </w:p>
        </w:tc>
        <w:tc>
          <w:tcPr>
            <w:tcW w:type="dxa" w:w="1344"/>
          </w:tcPr>
          <w:p>
            <w:pPr>
              <w:spacing w:before="20" w:after="20"/>
              <w:jc w:val="center"/>
            </w:pPr>
            <w:r/>
            <w:r>
              <w:t>1.03 (ns)</w:t>
            </w:r>
          </w:p>
        </w:tc>
        <w:tc>
          <w:tcPr>
            <w:tcW w:type="dxa" w:w="1344"/>
          </w:tcPr>
          <w:p>
            <w:pPr>
              <w:spacing w:before="20" w:after="20"/>
              <w:jc w:val="center"/>
            </w:pPr>
            <w:r/>
            <w:r>
              <w:t>1.12 (ns)</w:t>
            </w:r>
          </w:p>
        </w:tc>
        <w:tc>
          <w:tcPr>
            <w:tcW w:type="dxa" w:w="1344"/>
          </w:tcPr>
          <w:p>
            <w:pPr>
              <w:spacing w:before="20" w:after="20"/>
              <w:jc w:val="center"/>
            </w:pPr>
            <w:r/>
            <w:r>
              <w:t>1.01 (ns)</w:t>
            </w:r>
          </w:p>
        </w:tc>
        <w:tc>
          <w:tcPr>
            <w:tcW w:type="dxa" w:w="1344"/>
          </w:tcPr>
          <w:p>
            <w:pPr>
              <w:spacing w:before="20" w:after="20"/>
              <w:jc w:val="center"/>
            </w:pPr>
            <w:r/>
            <w:r/>
            <w:r>
              <w:rPr>
                <w:b/>
              </w:rPr>
              <w:t>0/5</w:t>
            </w:r>
            <w:r/>
          </w:p>
        </w:tc>
      </w:tr>
    </w:tbl>
    <w:p/>
    <w:p>
      <w:pPr>
        <w:spacing w:after="80" w:line="276" w:lineRule="auto"/>
      </w:pPr>
      <w:r>
        <w:rPr>
          <w:b w:val="0"/>
          <w:i w:val="0"/>
        </w:rPr>
      </w:r>
      <w:r>
        <w:rPr>
          <w:i/>
        </w:rPr>
        <w:t>Adjusted p&lt;0.05. †p&lt;0.05 but FC &lt;1.1x, reflecting statistical significance without biological amplitude. ‡Evaluable in 4 of 5 datasets. WB = whole blood. ns = not significant.</w:t>
      </w:r>
      <w:r>
        <w:rPr>
          <w:b w:val="0"/>
          <w:i w:val="0"/>
        </w:rPr>
      </w:r>
    </w:p>
    <w:p>
      <w:pPr>
        <w:spacing w:after="80" w:line="276" w:lineRule="auto"/>
      </w:pPr>
      <w:r>
        <w:rPr>
          <w:b w:val="0"/>
          <w:i w:val="0"/>
        </w:rPr>
      </w:r>
      <w:r>
        <w:rPr>
          <w:i/>
        </w:rPr>
        <w:t>Note on GSE65391: All fold-changes were originally computed in log₂ scale from Illumina probes and have been 2^(log₂FC)-transformed to linear scale. ISG fold-changes in this dataset range from 2.5× (CXCL10) to 45.5× (IFI27) — see Supplementary Table.</w:t>
      </w:r>
      <w:r>
        <w:rPr>
          <w:b w:val="0"/>
          <w:i w:val="0"/>
        </w:rPr>
      </w:r>
    </w:p>
    <w:p>
      <w:pPr>
        <w:spacing w:after="80" w:line="276" w:lineRule="auto"/>
      </w:pPr>
      <w:r>
        <w:rPr>
          <w:b w:val="0"/>
          <w:i w:val="0"/>
        </w:rPr>
      </w:r>
      <w:r>
        <w:rPr>
          <w:i/>
        </w:rPr>
        <w:t>Note on GSE121239: This is a longitudinal treated cohort (65 patients, 3–8 visits each, 40% with SLEDAI=0 at sampling). The attenuated FCs reflect immunosuppression rather than absence of the loop — consistent with the same patients showing stronger loop activation when untreated (see GSE50772 treatment-naive cohort, Section 3.6).</w:t>
      </w:r>
      <w:r>
        <w:rPr>
          <w:b w:val="0"/>
          <w:i w:val="0"/>
        </w:rPr>
      </w:r>
    </w:p>
    <w:p>
      <w:pPr>
        <w:spacing w:after="80" w:line="276" w:lineRule="auto"/>
      </w:pPr>
      <w:r>
        <w:rPr>
          <w:b w:val="0"/>
          <w:i w:val="0"/>
        </w:rPr>
        <w:t xml:space="preserve">TNFSF13B (BAFF) was significantly upregulated in </w:t>
      </w:r>
      <w:r>
        <w:rPr>
          <w:b/>
        </w:rPr>
        <w:t>all 5 datasets</w:t>
      </w:r>
      <w:r>
        <w:rPr>
          <w:b w:val="0"/>
          <w:i w:val="0"/>
        </w:rPr>
        <w:t>—the single most consistently dysregulated gene across the meta-analysis. TLR7 was upregulated in 4 of 5 (flat in GSE65391 peds, 0.94×), and IRF7 showed the largest fold-changes (FC 1.22–2.90) across all evaluable datasets. The GSE65391 paediatric cohort (n=924) revealed the strongest loop activation (IRF7 2.90×, BAFF 2.05×, MYD88 1.43×), though TLR7 itself was paradoxically flat (0.94×, ns) in whole blood — consistent with post-transcriptional regulation and the bone-marrow origin of TLR7 overexpression (see Section 4.4).</w:t>
      </w:r>
    </w:p>
    <w:p>
      <w:pPr>
        <w:pStyle w:val="Heading3"/>
        <w:spacing w:after="80" w:line="276" w:lineRule="auto"/>
      </w:pPr>
      <w:r>
        <w:rPr>
          <w:b/>
          <w:i w:val="0"/>
        </w:rPr>
        <w:t>3.2 The loop is systemic, not organ-specific</w:t>
      </w:r>
    </w:p>
    <w:p>
      <w:pPr>
        <w:spacing w:after="80" w:line="276" w:lineRule="auto"/>
      </w:pPr>
      <w:r>
        <w:rPr>
          <w:b w:val="0"/>
          <w:i w:val="0"/>
        </w:rPr>
        <w:t xml:space="preserve">If the TLR7→BAFF→IFN loop were a tissue-specific signature reflecting local organ damage, its transcriptional strength should vary by which organ is affected. To test this, we leveraged the SLEDAI metadata in GSE65391 (n=924) and compared patients </w:t>
      </w:r>
      <w:r>
        <w:rPr>
          <w:i/>
        </w:rPr>
        <w:t>with</w:t>
      </w:r>
      <w:r>
        <w:rPr>
          <w:b w:val="0"/>
          <w:i w:val="0"/>
        </w:rPr>
        <w:t xml:space="preserve"> versus </w:t>
      </w:r>
      <w:r>
        <w:rPr>
          <w:i/>
        </w:rPr>
        <w:t>without</w:t>
      </w:r>
      <w:r>
        <w:rPr>
          <w:b w:val="0"/>
          <w:i w:val="0"/>
        </w:rPr>
        <w:t xml:space="preserve"> involvement of each organ system.</w:t>
      </w:r>
    </w:p>
    <w:p>
      <w:pPr>
        <w:spacing w:after="80" w:line="276" w:lineRule="auto"/>
      </w:pPr>
      <w:r>
        <w:rPr>
          <w:b w:val="0"/>
          <w:i w:val="0"/>
        </w:rPr>
      </w:r>
      <w:r>
        <w:rPr>
          <w:b/>
        </w:rPr>
        <w:t>Table 2. Correlation coefficients by organ category</w:t>
      </w:r>
      <w:r>
        <w:rPr>
          <w:b w:val="0"/>
          <w:i w:val="0"/>
        </w:rPr>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2160"/>
          </w:tcPr>
          <w:p>
            <w:pPr>
              <w:spacing w:before="20" w:after="20"/>
              <w:jc w:val="center"/>
            </w:pPr>
            <w:r/>
            <w:r>
              <w:rPr>
                <w:b/>
              </w:rPr>
              <w:t>Gene pair</w:t>
            </w:r>
          </w:p>
        </w:tc>
        <w:tc>
          <w:tcPr>
            <w:tcW w:type="dxa" w:w="1344"/>
          </w:tcPr>
          <w:p>
            <w:pPr>
              <w:spacing w:before="20" w:after="20"/>
              <w:jc w:val="center"/>
            </w:pPr>
            <w:r/>
            <w:r>
              <w:rPr>
                <w:b/>
              </w:rPr>
              <w:t>All SLE</w:t>
            </w:r>
          </w:p>
        </w:tc>
        <w:tc>
          <w:tcPr>
            <w:tcW w:type="dxa" w:w="1344"/>
          </w:tcPr>
          <w:p>
            <w:pPr>
              <w:spacing w:before="20" w:after="20"/>
              <w:jc w:val="center"/>
            </w:pPr>
            <w:r/>
            <w:r>
              <w:rPr>
                <w:b/>
              </w:rPr>
              <w:t>Renal (n=408)</w:t>
            </w:r>
          </w:p>
        </w:tc>
        <w:tc>
          <w:tcPr>
            <w:tcW w:type="dxa" w:w="1344"/>
          </w:tcPr>
          <w:p>
            <w:pPr>
              <w:spacing w:before="20" w:after="20"/>
              <w:jc w:val="center"/>
            </w:pPr>
            <w:r/>
            <w:r>
              <w:rPr>
                <w:b/>
              </w:rPr>
              <w:t>CNS (n=7)</w:t>
            </w:r>
          </w:p>
        </w:tc>
        <w:tc>
          <w:tcPr>
            <w:tcW w:type="dxa" w:w="1344"/>
          </w:tcPr>
          <w:p>
            <w:pPr>
              <w:spacing w:before="20" w:after="20"/>
              <w:jc w:val="center"/>
            </w:pPr>
            <w:r/>
            <w:r>
              <w:rPr>
                <w:b/>
              </w:rPr>
              <w:t>Skin (nucocut., n=67)</w:t>
            </w:r>
          </w:p>
        </w:tc>
        <w:tc>
          <w:tcPr>
            <w:tcW w:type="dxa" w:w="1344"/>
          </w:tcPr>
          <w:p>
            <w:pPr>
              <w:spacing w:before="20" w:after="20"/>
              <w:jc w:val="center"/>
            </w:pPr>
            <w:r/>
            <w:r>
              <w:rPr>
                <w:b/>
              </w:rPr>
              <w:t>Haematol. (n=45)</w:t>
            </w:r>
          </w:p>
        </w:tc>
        <w:tc>
          <w:tcPr>
            <w:tcW w:type="dxa" w:w="1344"/>
          </w:tcPr>
          <w:p>
            <w:pPr>
              <w:spacing w:before="20" w:after="20"/>
              <w:jc w:val="center"/>
            </w:pPr>
            <w:r/>
            <w:r>
              <w:rPr>
                <w:b/>
              </w:rPr>
              <w:t>Musculoskel. (n=72)</w:t>
            </w:r>
          </w:p>
        </w:tc>
      </w:tr>
      <w:tr>
        <w:tc>
          <w:tcPr>
            <w:tcW w:type="dxa" w:w="2160"/>
          </w:tcPr>
          <w:p>
            <w:pPr>
              <w:spacing w:before="20" w:after="20"/>
              <w:jc w:val="center"/>
            </w:pPr>
            <w:r/>
            <w:r>
              <w:t>IRF7→IFIT1</w:t>
            </w:r>
          </w:p>
        </w:tc>
        <w:tc>
          <w:tcPr>
            <w:tcW w:type="dxa" w:w="1344"/>
          </w:tcPr>
          <w:p>
            <w:pPr>
              <w:spacing w:before="20" w:after="20"/>
              <w:jc w:val="center"/>
            </w:pPr>
            <w:r/>
            <w:r>
              <w:t>0.86</w:t>
            </w:r>
          </w:p>
        </w:tc>
        <w:tc>
          <w:tcPr>
            <w:tcW w:type="dxa" w:w="1344"/>
          </w:tcPr>
          <w:p>
            <w:pPr>
              <w:spacing w:before="20" w:after="20"/>
              <w:jc w:val="center"/>
            </w:pPr>
            <w:r/>
            <w:r>
              <w:t>0.86</w:t>
            </w:r>
          </w:p>
        </w:tc>
        <w:tc>
          <w:tcPr>
            <w:tcW w:type="dxa" w:w="1344"/>
          </w:tcPr>
          <w:p>
            <w:pPr>
              <w:spacing w:before="20" w:after="20"/>
              <w:jc w:val="center"/>
            </w:pPr>
            <w:r/>
            <w:r>
              <w:t>0.85</w:t>
            </w:r>
          </w:p>
        </w:tc>
        <w:tc>
          <w:tcPr>
            <w:tcW w:type="dxa" w:w="1344"/>
          </w:tcPr>
          <w:p>
            <w:pPr>
              <w:spacing w:before="20" w:after="20"/>
              <w:jc w:val="center"/>
            </w:pPr>
            <w:r/>
            <w:r>
              <w:t>0.90</w:t>
            </w:r>
          </w:p>
        </w:tc>
        <w:tc>
          <w:tcPr>
            <w:tcW w:type="dxa" w:w="1344"/>
          </w:tcPr>
          <w:p>
            <w:pPr>
              <w:spacing w:before="20" w:after="20"/>
              <w:jc w:val="center"/>
            </w:pPr>
            <w:r/>
            <w:r>
              <w:t>0.88</w:t>
            </w:r>
          </w:p>
        </w:tc>
        <w:tc>
          <w:tcPr>
            <w:tcW w:type="dxa" w:w="1344"/>
          </w:tcPr>
          <w:p>
            <w:pPr>
              <w:spacing w:before="20" w:after="20"/>
              <w:jc w:val="center"/>
            </w:pPr>
            <w:r/>
            <w:r>
              <w:t>0.86</w:t>
            </w:r>
          </w:p>
        </w:tc>
      </w:tr>
      <w:tr>
        <w:tc>
          <w:tcPr>
            <w:tcW w:type="dxa" w:w="2160"/>
          </w:tcPr>
          <w:p>
            <w:pPr>
              <w:spacing w:before="20" w:after="20"/>
              <w:jc w:val="center"/>
            </w:pPr>
            <w:r/>
            <w:r>
              <w:t>IRF7→ISG15</w:t>
            </w:r>
          </w:p>
        </w:tc>
        <w:tc>
          <w:tcPr>
            <w:tcW w:type="dxa" w:w="1344"/>
          </w:tcPr>
          <w:p>
            <w:pPr>
              <w:spacing w:before="20" w:after="20"/>
              <w:jc w:val="center"/>
            </w:pPr>
            <w:r/>
            <w:r>
              <w:t>0.91</w:t>
            </w:r>
          </w:p>
        </w:tc>
        <w:tc>
          <w:tcPr>
            <w:tcW w:type="dxa" w:w="1344"/>
          </w:tcPr>
          <w:p>
            <w:pPr>
              <w:spacing w:before="20" w:after="20"/>
              <w:jc w:val="center"/>
            </w:pPr>
            <w:r/>
            <w:r>
              <w:t>0.91</w:t>
            </w:r>
          </w:p>
        </w:tc>
        <w:tc>
          <w:tcPr>
            <w:tcW w:type="dxa" w:w="1344"/>
          </w:tcPr>
          <w:p>
            <w:pPr>
              <w:spacing w:before="20" w:after="20"/>
              <w:jc w:val="center"/>
            </w:pPr>
            <w:r/>
            <w:r>
              <w:t>0.98</w:t>
            </w:r>
          </w:p>
        </w:tc>
        <w:tc>
          <w:tcPr>
            <w:tcW w:type="dxa" w:w="1344"/>
          </w:tcPr>
          <w:p>
            <w:pPr>
              <w:spacing w:before="20" w:after="20"/>
              <w:jc w:val="center"/>
            </w:pPr>
            <w:r/>
            <w:r>
              <w:t>0.93</w:t>
            </w:r>
          </w:p>
        </w:tc>
        <w:tc>
          <w:tcPr>
            <w:tcW w:type="dxa" w:w="1344"/>
          </w:tcPr>
          <w:p>
            <w:pPr>
              <w:spacing w:before="20" w:after="20"/>
              <w:jc w:val="center"/>
            </w:pPr>
            <w:r/>
            <w:r>
              <w:t>0.87</w:t>
            </w:r>
          </w:p>
        </w:tc>
        <w:tc>
          <w:tcPr>
            <w:tcW w:type="dxa" w:w="1344"/>
          </w:tcPr>
          <w:p>
            <w:pPr>
              <w:spacing w:before="20" w:after="20"/>
              <w:jc w:val="center"/>
            </w:pPr>
            <w:r/>
            <w:r>
              <w:t>0.91</w:t>
            </w:r>
          </w:p>
        </w:tc>
      </w:tr>
      <w:tr>
        <w:tc>
          <w:tcPr>
            <w:tcW w:type="dxa" w:w="2160"/>
          </w:tcPr>
          <w:p>
            <w:pPr>
              <w:spacing w:before="20" w:after="20"/>
              <w:jc w:val="center"/>
            </w:pPr>
            <w:r/>
            <w:r>
              <w:t>IFIT1→RSAD2</w:t>
            </w:r>
          </w:p>
        </w:tc>
        <w:tc>
          <w:tcPr>
            <w:tcW w:type="dxa" w:w="1344"/>
          </w:tcPr>
          <w:p>
            <w:pPr>
              <w:spacing w:before="20" w:after="20"/>
              <w:jc w:val="center"/>
            </w:pPr>
            <w:r/>
            <w:r>
              <w:t>0.93</w:t>
            </w:r>
          </w:p>
        </w:tc>
        <w:tc>
          <w:tcPr>
            <w:tcW w:type="dxa" w:w="1344"/>
          </w:tcPr>
          <w:p>
            <w:pPr>
              <w:spacing w:before="20" w:after="20"/>
              <w:jc w:val="center"/>
            </w:pPr>
            <w:r/>
            <w:r>
              <w:t>0.93</w:t>
            </w:r>
          </w:p>
        </w:tc>
        <w:tc>
          <w:tcPr>
            <w:tcW w:type="dxa" w:w="1344"/>
          </w:tcPr>
          <w:p>
            <w:pPr>
              <w:spacing w:before="20" w:after="20"/>
              <w:jc w:val="center"/>
            </w:pPr>
            <w:r/>
            <w:r>
              <w:t>0.95</w:t>
            </w:r>
          </w:p>
        </w:tc>
        <w:tc>
          <w:tcPr>
            <w:tcW w:type="dxa" w:w="1344"/>
          </w:tcPr>
          <w:p>
            <w:pPr>
              <w:spacing w:before="20" w:after="20"/>
              <w:jc w:val="center"/>
            </w:pPr>
            <w:r/>
            <w:r>
              <w:t>0.95</w:t>
            </w:r>
          </w:p>
        </w:tc>
        <w:tc>
          <w:tcPr>
            <w:tcW w:type="dxa" w:w="1344"/>
          </w:tcPr>
          <w:p>
            <w:pPr>
              <w:spacing w:before="20" w:after="20"/>
              <w:jc w:val="center"/>
            </w:pPr>
            <w:r/>
            <w:r>
              <w:t>0.86</w:t>
            </w:r>
          </w:p>
        </w:tc>
        <w:tc>
          <w:tcPr>
            <w:tcW w:type="dxa" w:w="1344"/>
          </w:tcPr>
          <w:p>
            <w:pPr>
              <w:spacing w:before="20" w:after="20"/>
              <w:jc w:val="center"/>
            </w:pPr>
            <w:r/>
            <w:r>
              <w:t>0.93</w:t>
            </w:r>
          </w:p>
        </w:tc>
      </w:tr>
      <w:tr>
        <w:tc>
          <w:tcPr>
            <w:tcW w:type="dxa" w:w="2160"/>
          </w:tcPr>
          <w:p>
            <w:pPr>
              <w:spacing w:before="20" w:after="20"/>
              <w:jc w:val="center"/>
            </w:pPr>
            <w:r/>
            <w:r>
              <w:t>BAFF→IRF7</w:t>
            </w:r>
          </w:p>
        </w:tc>
        <w:tc>
          <w:tcPr>
            <w:tcW w:type="dxa" w:w="1344"/>
          </w:tcPr>
          <w:p>
            <w:pPr>
              <w:spacing w:before="20" w:after="20"/>
              <w:jc w:val="center"/>
            </w:pPr>
            <w:r/>
            <w:r>
              <w:t>0.77</w:t>
            </w:r>
          </w:p>
        </w:tc>
        <w:tc>
          <w:tcPr>
            <w:tcW w:type="dxa" w:w="1344"/>
          </w:tcPr>
          <w:p>
            <w:pPr>
              <w:spacing w:before="20" w:after="20"/>
              <w:jc w:val="center"/>
            </w:pPr>
            <w:r/>
            <w:r>
              <w:t>0.79</w:t>
            </w:r>
          </w:p>
        </w:tc>
        <w:tc>
          <w:tcPr>
            <w:tcW w:type="dxa" w:w="1344"/>
          </w:tcPr>
          <w:p>
            <w:pPr>
              <w:spacing w:before="20" w:after="20"/>
              <w:jc w:val="center"/>
            </w:pPr>
            <w:r/>
            <w:r>
              <w:t>0.93</w:t>
            </w:r>
          </w:p>
        </w:tc>
        <w:tc>
          <w:tcPr>
            <w:tcW w:type="dxa" w:w="1344"/>
          </w:tcPr>
          <w:p>
            <w:pPr>
              <w:spacing w:before="20" w:after="20"/>
              <w:jc w:val="center"/>
            </w:pPr>
            <w:r/>
            <w:r>
              <w:t>0.68</w:t>
            </w:r>
          </w:p>
        </w:tc>
        <w:tc>
          <w:tcPr>
            <w:tcW w:type="dxa" w:w="1344"/>
          </w:tcPr>
          <w:p>
            <w:pPr>
              <w:spacing w:before="20" w:after="20"/>
              <w:jc w:val="center"/>
            </w:pPr>
            <w:r/>
            <w:r>
              <w:t>0.71</w:t>
            </w:r>
          </w:p>
        </w:tc>
        <w:tc>
          <w:tcPr>
            <w:tcW w:type="dxa" w:w="1344"/>
          </w:tcPr>
          <w:p>
            <w:pPr>
              <w:spacing w:before="20" w:after="20"/>
              <w:jc w:val="center"/>
            </w:pPr>
            <w:r/>
            <w:r>
              <w:t>0.76</w:t>
            </w:r>
          </w:p>
        </w:tc>
      </w:tr>
      <w:tr>
        <w:tc>
          <w:tcPr>
            <w:tcW w:type="dxa" w:w="2160"/>
          </w:tcPr>
          <w:p>
            <w:pPr>
              <w:spacing w:before="20" w:after="20"/>
              <w:jc w:val="center"/>
            </w:pPr>
            <w:r/>
            <w:r>
              <w:t>TLR7→IRF7</w:t>
            </w:r>
          </w:p>
        </w:tc>
        <w:tc>
          <w:tcPr>
            <w:tcW w:type="dxa" w:w="1344"/>
          </w:tcPr>
          <w:p>
            <w:pPr>
              <w:spacing w:before="20" w:after="20"/>
              <w:jc w:val="center"/>
            </w:pPr>
            <w:r/>
            <w:r>
              <w:t>0.25</w:t>
            </w:r>
          </w:p>
        </w:tc>
        <w:tc>
          <w:tcPr>
            <w:tcW w:type="dxa" w:w="1344"/>
          </w:tcPr>
          <w:p>
            <w:pPr>
              <w:spacing w:before="20" w:after="20"/>
              <w:jc w:val="center"/>
            </w:pPr>
            <w:r/>
            <w:r>
              <w:t>0.28</w:t>
            </w:r>
          </w:p>
        </w:tc>
        <w:tc>
          <w:tcPr>
            <w:tcW w:type="dxa" w:w="1344"/>
          </w:tcPr>
          <w:p>
            <w:pPr>
              <w:spacing w:before="20" w:after="20"/>
              <w:jc w:val="center"/>
            </w:pPr>
            <w:r/>
            <w:r>
              <w:t>0.31</w:t>
            </w:r>
          </w:p>
        </w:tc>
        <w:tc>
          <w:tcPr>
            <w:tcW w:type="dxa" w:w="1344"/>
          </w:tcPr>
          <w:p>
            <w:pPr>
              <w:spacing w:before="20" w:after="20"/>
              <w:jc w:val="center"/>
            </w:pPr>
            <w:r/>
            <w:r>
              <w:t>0.32</w:t>
            </w:r>
          </w:p>
        </w:tc>
        <w:tc>
          <w:tcPr>
            <w:tcW w:type="dxa" w:w="1344"/>
          </w:tcPr>
          <w:p>
            <w:pPr>
              <w:spacing w:before="20" w:after="20"/>
              <w:jc w:val="center"/>
            </w:pPr>
            <w:r/>
            <w:r>
              <w:t>0.36</w:t>
            </w:r>
          </w:p>
        </w:tc>
        <w:tc>
          <w:tcPr>
            <w:tcW w:type="dxa" w:w="1344"/>
          </w:tcPr>
          <w:p>
            <w:pPr>
              <w:spacing w:before="20" w:after="20"/>
              <w:jc w:val="center"/>
            </w:pPr>
            <w:r/>
            <w:r>
              <w:t>0.28</w:t>
            </w:r>
          </w:p>
        </w:tc>
      </w:tr>
    </w:tbl>
    <w:p/>
    <w:p>
      <w:pPr>
        <w:spacing w:after="80" w:line="276" w:lineRule="auto"/>
      </w:pPr>
      <w:r>
        <w:rPr>
          <w:b w:val="0"/>
          <w:i w:val="0"/>
        </w:rPr>
        <w:t>Every correlation was nearly identical across all categories. The TLR7→IRF7 correlation was consistently weak (~0.25–0.36) across all organs, confirming that IRF7 integrates multiple inputs beyond TLR7 alone.</w:t>
      </w:r>
    </w:p>
    <w:p>
      <w:pPr>
        <w:spacing w:after="80" w:line="276" w:lineRule="auto"/>
      </w:pPr>
      <w:r>
        <w:rPr>
          <w:b w:val="0"/>
          <w:i w:val="0"/>
        </w:rPr>
      </w:r>
      <w:r>
        <w:rPr>
          <w:b/>
        </w:rPr>
        <w:t>Table 3. Fold-changes: affected vs. unaffected organs</w:t>
      </w:r>
      <w:r>
        <w:rPr>
          <w:b w:val="0"/>
          <w:i w:val="0"/>
        </w:rPr>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tcPr>
          <w:p>
            <w:pPr>
              <w:spacing w:before="20" w:after="20"/>
              <w:jc w:val="center"/>
            </w:pPr>
            <w:r/>
            <w:r>
              <w:rPr>
                <w:b/>
              </w:rPr>
              <w:t>Gene</w:t>
            </w:r>
          </w:p>
        </w:tc>
        <w:tc>
          <w:tcPr>
            <w:tcW w:type="dxa" w:w="1881"/>
          </w:tcPr>
          <w:p>
            <w:pPr>
              <w:spacing w:before="20" w:after="20"/>
              <w:jc w:val="center"/>
            </w:pPr>
            <w:r/>
            <w:r>
              <w:rPr>
                <w:b/>
              </w:rPr>
              <w:t>Renal (Aff./Un.)</w:t>
            </w:r>
          </w:p>
        </w:tc>
        <w:tc>
          <w:tcPr>
            <w:tcW w:type="dxa" w:w="1881"/>
          </w:tcPr>
          <w:p>
            <w:pPr>
              <w:spacing w:before="20" w:after="20"/>
              <w:jc w:val="center"/>
            </w:pPr>
            <w:r/>
            <w:r>
              <w:rPr>
                <w:b/>
              </w:rPr>
              <w:t>CNS (Aff./Un.)</w:t>
            </w:r>
          </w:p>
        </w:tc>
        <w:tc>
          <w:tcPr>
            <w:tcW w:type="dxa" w:w="1881"/>
          </w:tcPr>
          <w:p>
            <w:pPr>
              <w:spacing w:before="20" w:after="20"/>
              <w:jc w:val="center"/>
            </w:pPr>
            <w:r/>
            <w:r>
              <w:rPr>
                <w:b/>
              </w:rPr>
              <w:t>Skin (Aff./Un.)</w:t>
            </w:r>
          </w:p>
        </w:tc>
        <w:tc>
          <w:tcPr>
            <w:tcW w:type="dxa" w:w="1881"/>
          </w:tcPr>
          <w:p>
            <w:pPr>
              <w:spacing w:before="20" w:after="20"/>
              <w:jc w:val="center"/>
            </w:pPr>
            <w:r/>
            <w:r>
              <w:rPr>
                <w:b/>
              </w:rPr>
              <w:t>SLE vs HC (global)</w:t>
            </w:r>
          </w:p>
        </w:tc>
      </w:tr>
      <w:tr>
        <w:tc>
          <w:tcPr>
            <w:tcW w:type="dxa" w:w="2160"/>
          </w:tcPr>
          <w:p>
            <w:pPr>
              <w:spacing w:before="20" w:after="20"/>
              <w:jc w:val="center"/>
            </w:pPr>
            <w:r/>
            <w:r>
              <w:t>IFI27</w:t>
            </w:r>
          </w:p>
        </w:tc>
        <w:tc>
          <w:tcPr>
            <w:tcW w:type="dxa" w:w="1881"/>
          </w:tcPr>
          <w:p>
            <w:pPr>
              <w:spacing w:before="20" w:after="20"/>
              <w:jc w:val="center"/>
            </w:pPr>
            <w:r/>
            <w:r>
              <w:t>1.03×</w:t>
            </w:r>
          </w:p>
        </w:tc>
        <w:tc>
          <w:tcPr>
            <w:tcW w:type="dxa" w:w="1881"/>
          </w:tcPr>
          <w:p>
            <w:pPr>
              <w:spacing w:before="20" w:after="20"/>
              <w:jc w:val="center"/>
            </w:pPr>
            <w:r/>
            <w:r>
              <w:t>1.05×</w:t>
            </w:r>
          </w:p>
        </w:tc>
        <w:tc>
          <w:tcPr>
            <w:tcW w:type="dxa" w:w="1881"/>
          </w:tcPr>
          <w:p>
            <w:pPr>
              <w:spacing w:before="20" w:after="20"/>
              <w:jc w:val="center"/>
            </w:pPr>
            <w:r/>
            <w:r>
              <w:t>0.99×</w:t>
            </w:r>
          </w:p>
        </w:tc>
        <w:tc>
          <w:tcPr>
            <w:tcW w:type="dxa" w:w="1881"/>
          </w:tcPr>
          <w:p>
            <w:pPr>
              <w:spacing w:before="20" w:after="20"/>
              <w:jc w:val="center"/>
            </w:pPr>
            <w:r/>
            <w:r/>
            <w:r>
              <w:rPr>
                <w:b/>
              </w:rPr>
              <w:t>45.5×</w:t>
            </w:r>
            <w:r/>
          </w:p>
        </w:tc>
      </w:tr>
      <w:tr>
        <w:tc>
          <w:tcPr>
            <w:tcW w:type="dxa" w:w="2160"/>
          </w:tcPr>
          <w:p>
            <w:pPr>
              <w:spacing w:before="20" w:after="20"/>
              <w:jc w:val="center"/>
            </w:pPr>
            <w:r/>
            <w:r>
              <w:t>RSAD2</w:t>
            </w:r>
          </w:p>
        </w:tc>
        <w:tc>
          <w:tcPr>
            <w:tcW w:type="dxa" w:w="1881"/>
          </w:tcPr>
          <w:p>
            <w:pPr>
              <w:spacing w:before="20" w:after="20"/>
              <w:jc w:val="center"/>
            </w:pPr>
            <w:r/>
            <w:r>
              <w:t>1.03×</w:t>
            </w:r>
          </w:p>
        </w:tc>
        <w:tc>
          <w:tcPr>
            <w:tcW w:type="dxa" w:w="1881"/>
          </w:tcPr>
          <w:p>
            <w:pPr>
              <w:spacing w:before="20" w:after="20"/>
              <w:jc w:val="center"/>
            </w:pPr>
            <w:r/>
            <w:r>
              <w:t>1.04×</w:t>
            </w:r>
          </w:p>
        </w:tc>
        <w:tc>
          <w:tcPr>
            <w:tcW w:type="dxa" w:w="1881"/>
          </w:tcPr>
          <w:p>
            <w:pPr>
              <w:spacing w:before="20" w:after="20"/>
              <w:jc w:val="center"/>
            </w:pPr>
            <w:r/>
            <w:r>
              <w:t>1.04×</w:t>
            </w:r>
          </w:p>
        </w:tc>
        <w:tc>
          <w:tcPr>
            <w:tcW w:type="dxa" w:w="1881"/>
          </w:tcPr>
          <w:p>
            <w:pPr>
              <w:spacing w:before="20" w:after="20"/>
              <w:jc w:val="center"/>
            </w:pPr>
            <w:r/>
            <w:r/>
            <w:r>
              <w:rPr>
                <w:b/>
              </w:rPr>
              <w:t>13.5×</w:t>
            </w:r>
            <w:r/>
          </w:p>
        </w:tc>
      </w:tr>
      <w:tr>
        <w:tc>
          <w:tcPr>
            <w:tcW w:type="dxa" w:w="2160"/>
          </w:tcPr>
          <w:p>
            <w:pPr>
              <w:spacing w:before="20" w:after="20"/>
              <w:jc w:val="center"/>
            </w:pPr>
            <w:r/>
            <w:r>
              <w:t>IFIT1</w:t>
            </w:r>
          </w:p>
        </w:tc>
        <w:tc>
          <w:tcPr>
            <w:tcW w:type="dxa" w:w="1881"/>
          </w:tcPr>
          <w:p>
            <w:pPr>
              <w:spacing w:before="20" w:after="20"/>
              <w:jc w:val="center"/>
            </w:pPr>
            <w:r/>
            <w:r>
              <w:t>1.01×</w:t>
            </w:r>
          </w:p>
        </w:tc>
        <w:tc>
          <w:tcPr>
            <w:tcW w:type="dxa" w:w="1881"/>
          </w:tcPr>
          <w:p>
            <w:pPr>
              <w:spacing w:before="20" w:after="20"/>
              <w:jc w:val="center"/>
            </w:pPr>
            <w:r/>
            <w:r>
              <w:t>1.01×</w:t>
            </w:r>
          </w:p>
        </w:tc>
        <w:tc>
          <w:tcPr>
            <w:tcW w:type="dxa" w:w="1881"/>
          </w:tcPr>
          <w:p>
            <w:pPr>
              <w:spacing w:before="20" w:after="20"/>
              <w:jc w:val="center"/>
            </w:pPr>
            <w:r/>
            <w:r>
              <w:t>1.01×</w:t>
            </w:r>
          </w:p>
        </w:tc>
        <w:tc>
          <w:tcPr>
            <w:tcW w:type="dxa" w:w="1881"/>
          </w:tcPr>
          <w:p>
            <w:pPr>
              <w:spacing w:before="20" w:after="20"/>
              <w:jc w:val="center"/>
            </w:pPr>
            <w:r/>
            <w:r/>
            <w:r>
              <w:rPr>
                <w:b/>
              </w:rPr>
              <w:t>5.7×</w:t>
            </w:r>
            <w:r/>
          </w:p>
        </w:tc>
      </w:tr>
      <w:tr>
        <w:tc>
          <w:tcPr>
            <w:tcW w:type="dxa" w:w="2160"/>
          </w:tcPr>
          <w:p>
            <w:pPr>
              <w:spacing w:before="20" w:after="20"/>
              <w:jc w:val="center"/>
            </w:pPr>
            <w:r/>
            <w:r>
              <w:t>IRF7</w:t>
            </w:r>
          </w:p>
        </w:tc>
        <w:tc>
          <w:tcPr>
            <w:tcW w:type="dxa" w:w="1881"/>
          </w:tcPr>
          <w:p>
            <w:pPr>
              <w:spacing w:before="20" w:after="20"/>
              <w:jc w:val="center"/>
            </w:pPr>
            <w:r/>
            <w:r>
              <w:t>1.03×</w:t>
            </w:r>
          </w:p>
        </w:tc>
        <w:tc>
          <w:tcPr>
            <w:tcW w:type="dxa" w:w="1881"/>
          </w:tcPr>
          <w:p>
            <w:pPr>
              <w:spacing w:before="20" w:after="20"/>
              <w:jc w:val="center"/>
            </w:pPr>
            <w:r/>
            <w:r>
              <w:t>1.04×</w:t>
            </w:r>
          </w:p>
        </w:tc>
        <w:tc>
          <w:tcPr>
            <w:tcW w:type="dxa" w:w="1881"/>
          </w:tcPr>
          <w:p>
            <w:pPr>
              <w:spacing w:before="20" w:after="20"/>
              <w:jc w:val="center"/>
            </w:pPr>
            <w:r/>
            <w:r>
              <w:t>1.02×</w:t>
            </w:r>
          </w:p>
        </w:tc>
        <w:tc>
          <w:tcPr>
            <w:tcW w:type="dxa" w:w="1881"/>
          </w:tcPr>
          <w:p>
            <w:pPr>
              <w:spacing w:before="20" w:after="20"/>
              <w:jc w:val="center"/>
            </w:pPr>
            <w:r/>
            <w:r/>
            <w:r>
              <w:rPr>
                <w:b/>
              </w:rPr>
              <w:t>2.9×</w:t>
            </w:r>
            <w:r/>
          </w:p>
        </w:tc>
      </w:tr>
    </w:tbl>
    <w:p/>
    <w:p>
      <w:pPr>
        <w:spacing w:after="80" w:line="276" w:lineRule="auto"/>
      </w:pPr>
      <w:r>
        <w:rPr>
          <w:b w:val="0"/>
          <w:i w:val="0"/>
        </w:rPr>
        <w:t xml:space="preserve">Across all 8 organ categories, the difference between affected and unaffected never exceeded 5% (previously reported as 15% in log₂ scale). The loop is therefore not a signature of any specific organ being attacked — it is a systemic blood signature of lupus. </w:t>
      </w:r>
      <w:r>
        <w:rPr>
          <w:b/>
        </w:rPr>
        <w:t>Critically, this means that in SLE patients, the absolute expression of loop genes is 2.9–45.5× higher than healthy subjects, regardless of which organs are clinically involved.</w:t>
      </w:r>
      <w:r>
        <w:rPr>
          <w:b w:val="0"/>
          <w:i w:val="0"/>
        </w:rPr>
      </w:r>
    </w:p>
    <w:p>
      <w:pPr>
        <w:spacing w:after="80" w:line="276" w:lineRule="auto"/>
      </w:pPr>
      <w:r>
        <w:rPr>
          <w:b w:val="0"/>
          <w:i w:val="0"/>
        </w:rPr>
      </w:r>
      <w:r>
        <w:rPr>
          <w:i/>
        </w:rPr>
        <w:t>Note: The organ-affected vs -unaffected ratios (Aff./Un.) are computed within the SLE group only and are close to 1.0 by design — consistent with the loop being systemic, not organ-specific. The SLE vs HC fold-changes (last column) show the true disease versus healthy amplitude.</w:t>
      </w:r>
      <w:r>
        <w:rPr>
          <w:b w:val="0"/>
          <w:i w:val="0"/>
        </w:rPr>
      </w:r>
    </w:p>
    <w:p>
      <w:pPr>
        <w:pStyle w:val="Heading3"/>
        <w:spacing w:after="80" w:line="276" w:lineRule="auto"/>
      </w:pPr>
      <w:r>
        <w:rPr>
          <w:b/>
          <w:i w:val="0"/>
        </w:rPr>
        <w:t>3.3 The loop is invariant across race and sex</w:t>
      </w:r>
    </w:p>
    <w:p>
      <w:pPr>
        <w:spacing w:after="80" w:line="276" w:lineRule="auto"/>
      </w:pPr>
      <w:r>
        <w:rPr>
          <w:b w:val="0"/>
          <w:i w:val="0"/>
        </w:rPr>
        <w:t xml:space="preserve">Stratifying GSE65391 healthy controls by race revealed minor expression differences in loop genes (IFI44L slightly higher in African Americans, ELANE higher in Caucasians), but within each racial group, the correlation pattern among lupus patients was indistinguishable. Similarly, sex stratification (GSE81622) showed that IFIT1 was 1.92× higher in women with SLE vs. 1.47× in men, and ELANE 4.74× higher in men vs. 1.38× in women—but the </w:t>
      </w:r>
      <w:r>
        <w:rPr>
          <w:b/>
        </w:rPr>
        <w:t>loop connectivity itself</w:t>
      </w:r>
      <w:r>
        <w:rPr>
          <w:b w:val="0"/>
          <w:i w:val="0"/>
        </w:rPr>
        <w:t xml:space="preserve"> (pairwise correlations) was equally robust in both sexes. The loop is a female-predominant disease on a shared circuit.</w:t>
      </w:r>
    </w:p>
    <w:p>
      <w:pPr>
        <w:pStyle w:val="Heading3"/>
        <w:spacing w:after="80" w:line="276" w:lineRule="auto"/>
      </w:pPr>
      <w:r>
        <w:rPr>
          <w:b/>
          <w:i w:val="0"/>
        </w:rPr>
        <w:t>3.4 Beyond SLE: CLE and LN blood</w:t>
      </w:r>
    </w:p>
    <w:p>
      <w:pPr>
        <w:pStyle w:val="Heading4"/>
        <w:spacing w:after="80" w:line="276" w:lineRule="auto"/>
      </w:pPr>
      <w:r>
        <w:rPr>
          <w:b/>
          <w:i w:val="0"/>
        </w:rPr>
        <w:t>3.4.1 Cutaneous lupus (CLE) blood</w:t>
      </w:r>
    </w:p>
    <w:p>
      <w:pPr>
        <w:spacing w:after="80" w:line="276" w:lineRule="auto"/>
      </w:pPr>
      <w:r>
        <w:rPr>
          <w:b w:val="0"/>
          <w:i w:val="0"/>
        </w:rPr>
        <w:t>CLE whole blood (GSE167923, n=62) showed correlation patterns nearly identical to SLE blood:</w:t>
      </w:r>
    </w:p>
    <w:p>
      <w:pPr>
        <w:spacing w:after="80" w:line="276" w:lineRule="auto"/>
      </w:pPr>
      <w:r>
        <w:rPr>
          <w:b w:val="0"/>
          <w:i w:val="0"/>
        </w:rPr>
      </w:r>
      <w:r>
        <w:rPr>
          <w:b/>
        </w:rPr>
        <w:t>Table 4. Blood correlations: SLE vs. CLE</w:t>
      </w:r>
      <w:r>
        <w:rPr>
          <w:b w:val="0"/>
          <w:i w:val="0"/>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tcPr>
          <w:p>
            <w:pPr>
              <w:spacing w:before="20" w:after="20"/>
              <w:jc w:val="center"/>
            </w:pPr>
            <w:r/>
            <w:r>
              <w:rPr>
                <w:b/>
              </w:rPr>
              <w:t>Connection</w:t>
            </w:r>
          </w:p>
        </w:tc>
        <w:tc>
          <w:tcPr>
            <w:tcW w:type="dxa" w:w="2351"/>
          </w:tcPr>
          <w:p>
            <w:pPr>
              <w:spacing w:before="20" w:after="20"/>
              <w:jc w:val="center"/>
            </w:pPr>
            <w:r/>
            <w:r>
              <w:rPr>
                <w:b/>
              </w:rPr>
              <w:t>SLE blood (n=924)</w:t>
            </w:r>
          </w:p>
        </w:tc>
        <w:tc>
          <w:tcPr>
            <w:tcW w:type="dxa" w:w="2351"/>
          </w:tcPr>
          <w:p>
            <w:pPr>
              <w:spacing w:before="20" w:after="20"/>
              <w:jc w:val="center"/>
            </w:pPr>
            <w:r/>
            <w:r>
              <w:rPr>
                <w:b/>
              </w:rPr>
              <w:t>CLE blood (n=62)</w:t>
            </w:r>
          </w:p>
        </w:tc>
        <w:tc>
          <w:tcPr>
            <w:tcW w:type="dxa" w:w="2351"/>
          </w:tcPr>
          <w:p>
            <w:pPr>
              <w:spacing w:before="20" w:after="20"/>
              <w:jc w:val="center"/>
            </w:pPr>
            <w:r/>
            <w:r>
              <w:rPr>
                <w:b/>
              </w:rPr>
              <w:t>Healthy controls (n=99)</w:t>
            </w:r>
          </w:p>
        </w:tc>
      </w:tr>
      <w:tr>
        <w:tc>
          <w:tcPr>
            <w:tcW w:type="dxa" w:w="2160"/>
          </w:tcPr>
          <w:p>
            <w:pPr>
              <w:spacing w:before="20" w:after="20"/>
              <w:jc w:val="center"/>
            </w:pPr>
            <w:r/>
            <w:r>
              <w:t>TLR7→CXCL10</w:t>
            </w:r>
          </w:p>
        </w:tc>
        <w:tc>
          <w:tcPr>
            <w:tcW w:type="dxa" w:w="2351"/>
          </w:tcPr>
          <w:p>
            <w:pPr>
              <w:spacing w:before="20" w:after="20"/>
              <w:jc w:val="center"/>
            </w:pPr>
            <w:r/>
            <w:r>
              <w:t>+0.63</w:t>
            </w:r>
            <w:r>
              <w:rPr>
                <w:b/>
              </w:rPr>
            </w:r>
            <w:r>
              <w:rPr>
                <w:i/>
              </w:rPr>
            </w:r>
          </w:p>
        </w:tc>
        <w:tc>
          <w:tcPr>
            <w:tcW w:type="dxa" w:w="2351"/>
          </w:tcPr>
          <w:p>
            <w:pPr>
              <w:spacing w:before="20" w:after="20"/>
              <w:jc w:val="center"/>
            </w:pPr>
            <w:r/>
            <w:r>
              <w:t>+0.50</w:t>
            </w:r>
            <w:r>
              <w:rPr>
                <w:b/>
              </w:rPr>
            </w:r>
            <w:r>
              <w:rPr>
                <w:i/>
              </w:rPr>
            </w:r>
          </w:p>
        </w:tc>
        <w:tc>
          <w:tcPr>
            <w:tcW w:type="dxa" w:w="2351"/>
          </w:tcPr>
          <w:p>
            <w:pPr>
              <w:spacing w:before="20" w:after="20"/>
              <w:jc w:val="center"/>
            </w:pPr>
            <w:r/>
            <w:r>
              <w:t>+0.58 to +0.90</w:t>
            </w:r>
            <w:r>
              <w:rPr>
                <w:b/>
              </w:rPr>
            </w:r>
            <w:r>
              <w:rPr>
                <w:i/>
              </w:rPr>
            </w:r>
          </w:p>
        </w:tc>
      </w:tr>
      <w:tr>
        <w:tc>
          <w:tcPr>
            <w:tcW w:type="dxa" w:w="2160"/>
          </w:tcPr>
          <w:p>
            <w:pPr>
              <w:spacing w:before="20" w:after="20"/>
              <w:jc w:val="center"/>
            </w:pPr>
            <w:r/>
            <w:r>
              <w:t>TNFSF13B→IRF7</w:t>
            </w:r>
          </w:p>
        </w:tc>
        <w:tc>
          <w:tcPr>
            <w:tcW w:type="dxa" w:w="2351"/>
          </w:tcPr>
          <w:p>
            <w:pPr>
              <w:spacing w:before="20" w:after="20"/>
              <w:jc w:val="center"/>
            </w:pPr>
            <w:r/>
            <w:r>
              <w:t>+0.74</w:t>
            </w:r>
            <w:r>
              <w:rPr>
                <w:b/>
              </w:rPr>
            </w:r>
            <w:r>
              <w:rPr>
                <w:i/>
              </w:rPr>
            </w:r>
          </w:p>
        </w:tc>
        <w:tc>
          <w:tcPr>
            <w:tcW w:type="dxa" w:w="2351"/>
          </w:tcPr>
          <w:p>
            <w:pPr>
              <w:spacing w:before="20" w:after="20"/>
              <w:jc w:val="center"/>
            </w:pPr>
            <w:r/>
            <w:r>
              <w:t>+0.79</w:t>
            </w:r>
            <w:r>
              <w:rPr>
                <w:b/>
              </w:rPr>
            </w:r>
            <w:r>
              <w:rPr>
                <w:i/>
              </w:rPr>
            </w:r>
          </w:p>
        </w:tc>
        <w:tc>
          <w:tcPr>
            <w:tcW w:type="dxa" w:w="2351"/>
          </w:tcPr>
          <w:p>
            <w:pPr>
              <w:spacing w:before="20" w:after="20"/>
              <w:jc w:val="center"/>
            </w:pPr>
            <w:r/>
            <w:r>
              <w:t>+0.60 to +0.77</w:t>
            </w:r>
            <w:r>
              <w:rPr>
                <w:b/>
              </w:rPr>
            </w:r>
            <w:r>
              <w:rPr>
                <w:i/>
              </w:rPr>
            </w:r>
          </w:p>
        </w:tc>
      </w:tr>
      <w:tr>
        <w:tc>
          <w:tcPr>
            <w:tcW w:type="dxa" w:w="2160"/>
          </w:tcPr>
          <w:p>
            <w:pPr>
              <w:spacing w:before="20" w:after="20"/>
              <w:jc w:val="center"/>
            </w:pPr>
            <w:r/>
            <w:r>
              <w:t>IRF7→CXCL10</w:t>
            </w:r>
          </w:p>
        </w:tc>
        <w:tc>
          <w:tcPr>
            <w:tcW w:type="dxa" w:w="2351"/>
          </w:tcPr>
          <w:p>
            <w:pPr>
              <w:spacing w:before="20" w:after="20"/>
              <w:jc w:val="center"/>
            </w:pPr>
            <w:r/>
            <w:r>
              <w:t>+0.50</w:t>
            </w:r>
            <w:r>
              <w:rPr>
                <w:b/>
              </w:rPr>
            </w:r>
            <w:r>
              <w:rPr>
                <w:i/>
              </w:rPr>
            </w:r>
          </w:p>
        </w:tc>
        <w:tc>
          <w:tcPr>
            <w:tcW w:type="dxa" w:w="2351"/>
          </w:tcPr>
          <w:p>
            <w:pPr>
              <w:spacing w:before="20" w:after="20"/>
              <w:jc w:val="center"/>
            </w:pPr>
            <w:r/>
            <w:r>
              <w:t>+0.52</w:t>
            </w:r>
            <w:r>
              <w:rPr>
                <w:b/>
              </w:rPr>
            </w:r>
            <w:r>
              <w:rPr>
                <w:i/>
              </w:rPr>
            </w:r>
          </w:p>
        </w:tc>
        <w:tc>
          <w:tcPr>
            <w:tcW w:type="dxa" w:w="2351"/>
          </w:tcPr>
          <w:p>
            <w:pPr>
              <w:spacing w:before="20" w:after="20"/>
              <w:jc w:val="center"/>
            </w:pPr>
            <w:r/>
            <w:r>
              <w:t>+0.57 to +0.81</w:t>
            </w:r>
            <w:r>
              <w:rPr>
                <w:b/>
              </w:rPr>
            </w:r>
            <w:r>
              <w:rPr>
                <w:i/>
              </w:rPr>
            </w:r>
          </w:p>
        </w:tc>
      </w:tr>
      <w:tr>
        <w:tc>
          <w:tcPr>
            <w:tcW w:type="dxa" w:w="2160"/>
          </w:tcPr>
          <w:p>
            <w:pPr>
              <w:spacing w:before="20" w:after="20"/>
              <w:jc w:val="center"/>
            </w:pPr>
            <w:r/>
            <w:r>
              <w:t>ELANE→CXCL10</w:t>
            </w:r>
          </w:p>
        </w:tc>
        <w:tc>
          <w:tcPr>
            <w:tcW w:type="dxa" w:w="2351"/>
          </w:tcPr>
          <w:p>
            <w:pPr>
              <w:spacing w:before="20" w:after="20"/>
              <w:jc w:val="center"/>
            </w:pPr>
            <w:r/>
            <w:r>
              <w:t>+0.24</w:t>
            </w:r>
            <w:r>
              <w:rPr>
                <w:b/>
              </w:rPr>
            </w:r>
            <w:r>
              <w:rPr>
                <w:i/>
              </w:rPr>
            </w:r>
          </w:p>
        </w:tc>
        <w:tc>
          <w:tcPr>
            <w:tcW w:type="dxa" w:w="2351"/>
          </w:tcPr>
          <w:p>
            <w:pPr>
              <w:spacing w:before="20" w:after="20"/>
              <w:jc w:val="center"/>
            </w:pPr>
            <w:r/>
            <w:r>
              <w:t>+0.30*</w:t>
            </w:r>
          </w:p>
        </w:tc>
        <w:tc>
          <w:tcPr>
            <w:tcW w:type="dxa" w:w="2351"/>
          </w:tcPr>
          <w:p>
            <w:pPr>
              <w:spacing w:before="20" w:after="20"/>
              <w:jc w:val="center"/>
            </w:pPr>
            <w:r/>
            <w:r>
              <w:t>-0.05 to +0.09</w:t>
            </w:r>
          </w:p>
        </w:tc>
      </w:tr>
    </w:tbl>
    <w:p/>
    <w:p>
      <w:pPr>
        <w:spacing w:after="80" w:line="276" w:lineRule="auto"/>
      </w:pPr>
      <w:r>
        <w:rPr>
          <w:b w:val="0"/>
          <w:i w:val="0"/>
        </w:rPr>
        <w:t xml:space="preserve">CLE blood and SLE blood are essentially identical. Notably, healthy controls showed </w:t>
      </w:r>
      <w:r>
        <w:rPr>
          <w:i/>
        </w:rPr>
        <w:t>stronger</w:t>
      </w:r>
      <w:r>
        <w:rPr>
          <w:b w:val="0"/>
          <w:i w:val="0"/>
        </w:rPr>
        <w:t xml:space="preserve"> loop correlations than patients (TLR7→CXCL10 r=+0.90 vs. r=+0.50 in SLE). This may seem paradoxical, but Pearson r measures </w:t>
      </w:r>
      <w:r>
        <w:rPr>
          <w:b/>
        </w:rPr>
        <w:t>coordination</w:t>
      </w:r>
      <w:r>
        <w:rPr>
          <w:b w:val="0"/>
          <w:i w:val="0"/>
        </w:rPr>
        <w:t xml:space="preserve">, not </w:t>
      </w:r>
      <w:r>
        <w:rPr>
          <w:b/>
        </w:rPr>
        <w:t>magnitude</w:t>
      </w:r>
      <w:r>
        <w:rPr>
          <w:b w:val="0"/>
          <w:i w:val="0"/>
        </w:rPr>
        <w:t>: in healthy individuals, TLR7 and CXCL10 are expressed at low basal levels yet remain tightly co-regulated—the circuit idles in sync. In lupus, both genes are expressed at substantially higher absolute levels (BAFF ↑2.05×, CXCL10 ↑2.52×), but chronic stimulation by RNA-containing immune complexes and feed-forward IFN signalling introduces stochastic noise—variable disease activity, medication effects, and cell-type shifts—that partially desynchronises the circuit. The loop is therefore not an aberrant gain-of-function, but a normal homeostatic pathway operating at higher amplitude with reduced coordination under sustained autoimmune pressure.</w:t>
      </w:r>
    </w:p>
    <w:p>
      <w:pPr>
        <w:spacing w:after="80" w:line="276" w:lineRule="auto"/>
      </w:pPr>
      <w:r>
        <w:rPr>
          <w:b w:val="0"/>
          <w:i w:val="0"/>
        </w:rPr>
      </w:r>
      <w:r>
        <w:rPr>
          <w:b/>
        </w:rPr>
        <w:t>Despite identical correlations, CLE fold-changes are dramatically lower.</w:t>
      </w:r>
      <w:r>
        <w:rPr>
          <w:b w:val="0"/>
          <w:i w:val="0"/>
        </w:rPr>
        <w:t xml:space="preserve"> A comprehensive differential expression analysis of GSE167923 (31,415 genes, CLE vs healthy controls) revealed:</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20" w:after="20"/>
              <w:jc w:val="center"/>
            </w:pPr>
            <w:r/>
            <w:r>
              <w:rPr>
                <w:b/>
              </w:rPr>
              <w:t>Metric</w:t>
            </w:r>
          </w:p>
        </w:tc>
        <w:tc>
          <w:tcPr>
            <w:tcW w:type="dxa" w:w="3135"/>
          </w:tcPr>
          <w:p>
            <w:pPr>
              <w:spacing w:before="20" w:after="20"/>
              <w:jc w:val="center"/>
            </w:pPr>
            <w:r/>
            <w:r>
              <w:rPr>
                <w:b/>
              </w:rPr>
              <w:t>CLE blood (GSE167923)</w:t>
            </w:r>
          </w:p>
        </w:tc>
        <w:tc>
          <w:tcPr>
            <w:tcW w:type="dxa" w:w="3135"/>
          </w:tcPr>
          <w:p>
            <w:pPr>
              <w:spacing w:before="20" w:after="20"/>
              <w:jc w:val="center"/>
            </w:pPr>
            <w:r/>
            <w:r>
              <w:rPr>
                <w:b/>
              </w:rPr>
              <w:t>SLE blood (GSE65391)</w:t>
            </w:r>
          </w:p>
        </w:tc>
      </w:tr>
      <w:tr>
        <w:tc>
          <w:tcPr>
            <w:tcW w:type="dxa" w:w="3135"/>
          </w:tcPr>
          <w:p>
            <w:pPr>
              <w:spacing w:before="20" w:after="20"/>
              <w:jc w:val="center"/>
            </w:pPr>
            <w:r/>
            <w:r>
              <w:t>Genes with FC &gt; 2.0</w:t>
            </w:r>
          </w:p>
        </w:tc>
        <w:tc>
          <w:tcPr>
            <w:tcW w:type="dxa" w:w="3135"/>
          </w:tcPr>
          <w:p>
            <w:pPr>
              <w:spacing w:before="20" w:after="20"/>
              <w:jc w:val="center"/>
            </w:pPr>
            <w:r/>
            <w:r/>
            <w:r>
              <w:rPr>
                <w:b/>
              </w:rPr>
              <w:t>0</w:t>
            </w:r>
            <w:r/>
          </w:p>
        </w:tc>
        <w:tc>
          <w:tcPr>
            <w:tcW w:type="dxa" w:w="3135"/>
          </w:tcPr>
          <w:p>
            <w:pPr>
              <w:spacing w:before="20" w:after="20"/>
              <w:jc w:val="center"/>
            </w:pPr>
            <w:r/>
            <w:r/>
            <w:r>
              <w:rPr>
                <w:b/>
              </w:rPr>
              <w:t>28</w:t>
            </w:r>
            <w:r/>
          </w:p>
        </w:tc>
      </w:tr>
      <w:tr>
        <w:tc>
          <w:tcPr>
            <w:tcW w:type="dxa" w:w="3135"/>
          </w:tcPr>
          <w:p>
            <w:pPr>
              <w:spacing w:before="20" w:after="20"/>
              <w:jc w:val="center"/>
            </w:pPr>
            <w:r/>
            <w:r>
              <w:t>Genes FC 1.5–2.0</w:t>
            </w:r>
          </w:p>
        </w:tc>
        <w:tc>
          <w:tcPr>
            <w:tcW w:type="dxa" w:w="3135"/>
          </w:tcPr>
          <w:p>
            <w:pPr>
              <w:spacing w:before="20" w:after="20"/>
              <w:jc w:val="center"/>
            </w:pPr>
            <w:r/>
            <w:r/>
            <w:r>
              <w:rPr>
                <w:b/>
              </w:rPr>
              <w:t>2</w:t>
            </w:r>
            <w:r>
              <w:t xml:space="preserve"> (APOBEC3A 1.61×, CXCL10 1.57×)</w:t>
            </w:r>
          </w:p>
        </w:tc>
        <w:tc>
          <w:tcPr>
            <w:tcW w:type="dxa" w:w="3135"/>
          </w:tcPr>
          <w:p>
            <w:pPr>
              <w:spacing w:before="20" w:after="20"/>
              <w:jc w:val="center"/>
            </w:pPr>
            <w:r/>
            <w:r/>
            <w:r>
              <w:rPr>
                <w:b/>
              </w:rPr>
              <w:t>112</w:t>
            </w:r>
            <w:r/>
          </w:p>
        </w:tc>
      </w:tr>
      <w:tr>
        <w:tc>
          <w:tcPr>
            <w:tcW w:type="dxa" w:w="3135"/>
          </w:tcPr>
          <w:p>
            <w:pPr>
              <w:spacing w:before="20" w:after="20"/>
              <w:jc w:val="center"/>
            </w:pPr>
            <w:r/>
            <w:r>
              <w:t>Genes FC 1.2–1.5</w:t>
            </w:r>
          </w:p>
        </w:tc>
        <w:tc>
          <w:tcPr>
            <w:tcW w:type="dxa" w:w="3135"/>
          </w:tcPr>
          <w:p>
            <w:pPr>
              <w:spacing w:before="20" w:after="20"/>
              <w:jc w:val="center"/>
            </w:pPr>
            <w:r/>
            <w:r/>
            <w:r>
              <w:rPr>
                <w:b/>
              </w:rPr>
              <w:t>105</w:t>
            </w:r>
            <w:r/>
          </w:p>
        </w:tc>
        <w:tc>
          <w:tcPr>
            <w:tcW w:type="dxa" w:w="3135"/>
          </w:tcPr>
          <w:p>
            <w:pPr>
              <w:spacing w:before="20" w:after="20"/>
              <w:jc w:val="center"/>
            </w:pPr>
            <w:r/>
            <w:r/>
            <w:r>
              <w:rPr>
                <w:b/>
              </w:rPr>
              <w:t>&gt;800</w:t>
            </w:r>
            <w:r/>
          </w:p>
        </w:tc>
      </w:tr>
      <w:tr>
        <w:tc>
          <w:tcPr>
            <w:tcW w:type="dxa" w:w="3135"/>
          </w:tcPr>
          <w:p>
            <w:pPr>
              <w:spacing w:before="20" w:after="20"/>
              <w:jc w:val="center"/>
            </w:pPr>
            <w:r/>
            <w:r>
              <w:t>Total significant (p&lt;0.05)</w:t>
            </w:r>
          </w:p>
        </w:tc>
        <w:tc>
          <w:tcPr>
            <w:tcW w:type="dxa" w:w="3135"/>
          </w:tcPr>
          <w:p>
            <w:pPr>
              <w:spacing w:before="20" w:after="20"/>
              <w:jc w:val="center"/>
            </w:pPr>
            <w:r/>
            <w:r>
              <w:t>6,489 (20.7%)</w:t>
            </w:r>
          </w:p>
        </w:tc>
        <w:tc>
          <w:tcPr>
            <w:tcW w:type="dxa" w:w="3135"/>
          </w:tcPr>
          <w:p>
            <w:pPr>
              <w:spacing w:before="20" w:after="20"/>
              <w:jc w:val="center"/>
            </w:pPr>
            <w:r/>
            <w:r>
              <w:t>~8,000 (25%)</w:t>
            </w:r>
          </w:p>
        </w:tc>
      </w:tr>
      <w:tr>
        <w:tc>
          <w:tcPr>
            <w:tcW w:type="dxa" w:w="3135"/>
          </w:tcPr>
          <w:p>
            <w:pPr>
              <w:spacing w:before="20" w:after="20"/>
              <w:jc w:val="center"/>
            </w:pPr>
            <w:r/>
            <w:r>
              <w:t>BAFF</w:t>
            </w:r>
          </w:p>
        </w:tc>
        <w:tc>
          <w:tcPr>
            <w:tcW w:type="dxa" w:w="3135"/>
          </w:tcPr>
          <w:p>
            <w:pPr>
              <w:spacing w:before="20" w:after="20"/>
              <w:jc w:val="center"/>
            </w:pPr>
            <w:r/>
            <w:r/>
            <w:r>
              <w:rPr>
                <w:b/>
              </w:rPr>
              <w:t>1.11×</w:t>
            </w:r>
            <w:r>
              <w:t xml:space="preserve"> p=2e-10</w:t>
            </w:r>
          </w:p>
        </w:tc>
        <w:tc>
          <w:tcPr>
            <w:tcW w:type="dxa" w:w="3135"/>
          </w:tcPr>
          <w:p>
            <w:pPr>
              <w:spacing w:before="20" w:after="20"/>
              <w:jc w:val="center"/>
            </w:pPr>
            <w:r/>
            <w:r/>
            <w:r>
              <w:rPr>
                <w:b/>
              </w:rPr>
              <w:t>2.05×</w:t>
            </w:r>
            <w:r/>
          </w:p>
        </w:tc>
      </w:tr>
      <w:tr>
        <w:tc>
          <w:tcPr>
            <w:tcW w:type="dxa" w:w="3135"/>
          </w:tcPr>
          <w:p>
            <w:pPr>
              <w:spacing w:before="20" w:after="20"/>
              <w:jc w:val="center"/>
            </w:pPr>
            <w:r/>
            <w:r>
              <w:t>IRF7</w:t>
            </w:r>
          </w:p>
        </w:tc>
        <w:tc>
          <w:tcPr>
            <w:tcW w:type="dxa" w:w="3135"/>
          </w:tcPr>
          <w:p>
            <w:pPr>
              <w:spacing w:before="20" w:after="20"/>
              <w:jc w:val="center"/>
            </w:pPr>
            <w:r/>
            <w:r/>
            <w:r>
              <w:rPr>
                <w:b/>
              </w:rPr>
              <w:t>1.37×</w:t>
            </w:r>
            <w:r>
              <w:t xml:space="preserve"> p=2e-12</w:t>
            </w:r>
          </w:p>
        </w:tc>
        <w:tc>
          <w:tcPr>
            <w:tcW w:type="dxa" w:w="3135"/>
          </w:tcPr>
          <w:p>
            <w:pPr>
              <w:spacing w:before="20" w:after="20"/>
              <w:jc w:val="center"/>
            </w:pPr>
            <w:r/>
            <w:r/>
            <w:r>
              <w:rPr>
                <w:b/>
              </w:rPr>
              <w:t>2.90×</w:t>
            </w:r>
            <w:r/>
          </w:p>
        </w:tc>
      </w:tr>
      <w:tr>
        <w:tc>
          <w:tcPr>
            <w:tcW w:type="dxa" w:w="3135"/>
          </w:tcPr>
          <w:p>
            <w:pPr>
              <w:spacing w:before="20" w:after="20"/>
              <w:jc w:val="center"/>
            </w:pPr>
            <w:r/>
            <w:r>
              <w:t>MYD88</w:t>
            </w:r>
          </w:p>
        </w:tc>
        <w:tc>
          <w:tcPr>
            <w:tcW w:type="dxa" w:w="3135"/>
          </w:tcPr>
          <w:p>
            <w:pPr>
              <w:spacing w:before="20" w:after="20"/>
              <w:jc w:val="center"/>
            </w:pPr>
            <w:r/>
            <w:r/>
            <w:r>
              <w:rPr>
                <w:b/>
              </w:rPr>
              <w:t>1.10×</w:t>
            </w:r>
            <w:r>
              <w:t xml:space="preserve"> p=9e-4</w:t>
            </w:r>
          </w:p>
        </w:tc>
        <w:tc>
          <w:tcPr>
            <w:tcW w:type="dxa" w:w="3135"/>
          </w:tcPr>
          <w:p>
            <w:pPr>
              <w:spacing w:before="20" w:after="20"/>
              <w:jc w:val="center"/>
            </w:pPr>
            <w:r/>
            <w:r/>
            <w:r>
              <w:rPr>
                <w:b/>
              </w:rPr>
              <w:t>1.43×</w:t>
            </w:r>
            <w:r/>
          </w:p>
        </w:tc>
      </w:tr>
      <w:tr>
        <w:tc>
          <w:tcPr>
            <w:tcW w:type="dxa" w:w="3135"/>
          </w:tcPr>
          <w:p>
            <w:pPr>
              <w:spacing w:before="20" w:after="20"/>
              <w:jc w:val="center"/>
            </w:pPr>
            <w:r/>
            <w:r>
              <w:t>TLR7</w:t>
            </w:r>
          </w:p>
        </w:tc>
        <w:tc>
          <w:tcPr>
            <w:tcW w:type="dxa" w:w="3135"/>
          </w:tcPr>
          <w:p>
            <w:pPr>
              <w:spacing w:before="20" w:after="20"/>
              <w:jc w:val="center"/>
            </w:pPr>
            <w:r/>
            <w:r>
              <w:t>1.03 ns</w:t>
            </w:r>
          </w:p>
        </w:tc>
        <w:tc>
          <w:tcPr>
            <w:tcW w:type="dxa" w:w="3135"/>
          </w:tcPr>
          <w:p>
            <w:pPr>
              <w:spacing w:before="20" w:after="20"/>
              <w:jc w:val="center"/>
            </w:pPr>
            <w:r/>
            <w:r>
              <w:t>0.94 ns</w:t>
            </w:r>
          </w:p>
        </w:tc>
      </w:tr>
      <w:tr>
        <w:tc>
          <w:tcPr>
            <w:tcW w:type="dxa" w:w="3135"/>
          </w:tcPr>
          <w:p>
            <w:pPr>
              <w:spacing w:before="20" w:after="20"/>
              <w:jc w:val="center"/>
            </w:pPr>
            <w:r/>
            <w:r>
              <w:t>ELANE</w:t>
            </w:r>
          </w:p>
        </w:tc>
        <w:tc>
          <w:tcPr>
            <w:tcW w:type="dxa" w:w="3135"/>
          </w:tcPr>
          <w:p>
            <w:pPr>
              <w:spacing w:before="20" w:after="20"/>
              <w:jc w:val="center"/>
            </w:pPr>
            <w:r/>
            <w:r>
              <w:t>0.98 ns</w:t>
            </w:r>
          </w:p>
        </w:tc>
        <w:tc>
          <w:tcPr>
            <w:tcW w:type="dxa" w:w="3135"/>
          </w:tcPr>
          <w:p>
            <w:pPr>
              <w:spacing w:before="20" w:after="20"/>
              <w:jc w:val="center"/>
            </w:pPr>
            <w:r/>
            <w:r/>
            <w:r>
              <w:rPr>
                <w:b/>
              </w:rPr>
              <w:t>3.22×</w:t>
            </w:r>
            <w:r/>
          </w:p>
        </w:tc>
      </w:tr>
    </w:tbl>
    <w:p/>
    <w:p>
      <w:pPr>
        <w:spacing w:after="80" w:line="276" w:lineRule="auto"/>
      </w:pPr>
      <w:r>
        <w:rPr>
          <w:b w:val="0"/>
          <w:i w:val="0"/>
        </w:rPr>
        <w:t xml:space="preserve">CLE has the </w:t>
      </w:r>
      <w:r>
        <w:rPr>
          <w:b/>
        </w:rPr>
        <w:t>same circuit wiring</w:t>
      </w:r>
      <w:r>
        <w:rPr>
          <w:b w:val="0"/>
          <w:i w:val="0"/>
        </w:rPr>
        <w:t xml:space="preserve"> (identical correlations) as SLE but at </w:t>
      </w:r>
      <w:r>
        <w:rPr>
          <w:b/>
        </w:rPr>
        <w:t>5–10× lower amplitude</w:t>
      </w:r>
      <w:r>
        <w:rPr>
          <w:b w:val="0"/>
          <w:i w:val="0"/>
        </w:rPr>
        <w:t>. The most striking difference is ELANE: the neutrophil/NET arm is entirely absent in CLE blood (0.98×, ns), whereas it is a hallmark of SLE (3.22×, p&lt;0.001). This is consistent with CLE being a primarily epithelial/keratinocyte-driven disease without the systemic myeloid activation that characterises SLE.</w:t>
      </w:r>
    </w:p>
    <w:p>
      <w:pPr>
        <w:spacing w:after="80" w:line="276" w:lineRule="auto"/>
      </w:pPr>
      <w:r>
        <w:rPr>
          <w:b w:val="0"/>
          <w:i w:val="0"/>
        </w:rPr>
        <w:t>Despite the low amplitude, BAFF (1.11×, p=2e-10) and IRF7 (1.37×, p=2e-12) are both significantly upregulated—and IRF7 is the most significantly upregulated transcription factor in the entire CLE transcriptome. The circuit is quantitatively more quiet than SLE, but the upstream amplification nodes are qualitatively active.</w:t>
      </w:r>
    </w:p>
    <w:p>
      <w:pPr>
        <w:pStyle w:val="Heading4"/>
        <w:spacing w:after="80" w:line="276" w:lineRule="auto"/>
      </w:pPr>
      <w:r>
        <w:rPr>
          <w:b/>
          <w:i w:val="0"/>
        </w:rPr>
        <w:t>3.4.2 Lupus nephritis (LN/SLE-renal) blood</w:t>
      </w:r>
    </w:p>
    <w:p>
      <w:pPr>
        <w:spacing w:after="80" w:line="276" w:lineRule="auto"/>
      </w:pPr>
      <w:r>
        <w:rPr>
          <w:b w:val="0"/>
          <w:i w:val="0"/>
        </w:rPr>
        <w:t xml:space="preserve">To obtain LN-specific fold-changes with adequate control samples, we analysed </w:t>
      </w:r>
      <w:r>
        <w:rPr>
          <w:b/>
        </w:rPr>
        <w:t>GSE72326</w:t>
      </w:r>
      <w:r>
        <w:rPr>
          <w:b w:val="0"/>
          <w:i w:val="0"/>
        </w:rPr>
        <w:t xml:space="preserve"> (whole blood, 157 SLE patients enriched for LN + 20 healthy controls, Illumina HT-12 v4—same platform as GSE65391). This dataset is from a lupus nephritis biomarker study [ref] and provides the largest LN-focused cohort with matched healthy controls.</w:t>
      </w:r>
    </w:p>
    <w:p>
      <w:pPr>
        <w:spacing w:after="80" w:line="276" w:lineRule="auto"/>
      </w:pPr>
      <w:r>
        <w:rPr>
          <w:b w:val="0"/>
          <w:i w:val="0"/>
        </w:rPr>
      </w:r>
      <w:r>
        <w:rPr>
          <w:b/>
        </w:rPr>
        <w:t>Table 4b. Loop gene fold-changes: GSE72326 (LN/SLE, n=157) vs healthy controls (n=20)</w:t>
      </w:r>
      <w:r>
        <w:rPr>
          <w:b w:val="0"/>
          <w:i w:val="0"/>
        </w:rPr>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tcPr>
          <w:p>
            <w:pPr>
              <w:spacing w:before="20" w:after="20"/>
              <w:jc w:val="center"/>
            </w:pPr>
            <w:r/>
            <w:r>
              <w:rPr>
                <w:b/>
              </w:rPr>
              <w:t>Gene</w:t>
            </w:r>
          </w:p>
        </w:tc>
        <w:tc>
          <w:tcPr>
            <w:tcW w:type="dxa" w:w="1881"/>
          </w:tcPr>
          <w:p>
            <w:pPr>
              <w:spacing w:before="20" w:after="20"/>
              <w:jc w:val="center"/>
            </w:pPr>
            <w:r/>
            <w:r>
              <w:rPr>
                <w:b/>
              </w:rPr>
              <w:t>GSE72326 FC</w:t>
            </w:r>
          </w:p>
        </w:tc>
        <w:tc>
          <w:tcPr>
            <w:tcW w:type="dxa" w:w="1881"/>
          </w:tcPr>
          <w:p>
            <w:pPr>
              <w:spacing w:before="20" w:after="20"/>
              <w:jc w:val="center"/>
            </w:pPr>
            <w:r/>
            <w:r>
              <w:rPr>
                <w:b/>
              </w:rPr>
              <w:t>p-value</w:t>
            </w:r>
          </w:p>
        </w:tc>
        <w:tc>
          <w:tcPr>
            <w:tcW w:type="dxa" w:w="1881"/>
          </w:tcPr>
          <w:p>
            <w:pPr>
              <w:spacing w:before="20" w:after="20"/>
              <w:jc w:val="center"/>
            </w:pPr>
            <w:r/>
            <w:r>
              <w:rPr>
                <w:b/>
              </w:rPr>
              <w:t>GSE65391 FC (paed SLE)</w:t>
            </w:r>
          </w:p>
        </w:tc>
        <w:tc>
          <w:tcPr>
            <w:tcW w:type="dxa" w:w="1881"/>
          </w:tcPr>
          <w:p>
            <w:pPr>
              <w:spacing w:before="20" w:after="20"/>
              <w:jc w:val="center"/>
            </w:pPr>
            <w:r/>
            <w:r>
              <w:rPr>
                <w:b/>
              </w:rPr>
              <w:t>Interpretation</w:t>
            </w:r>
          </w:p>
        </w:tc>
      </w:tr>
      <w:tr>
        <w:tc>
          <w:tcPr>
            <w:tcW w:type="dxa" w:w="2160"/>
          </w:tcPr>
          <w:p>
            <w:pPr>
              <w:spacing w:before="20" w:after="20"/>
              <w:jc w:val="center"/>
            </w:pPr>
            <w:r/>
            <w:r>
              <w:t>TLR7</w:t>
            </w:r>
          </w:p>
        </w:tc>
        <w:tc>
          <w:tcPr>
            <w:tcW w:type="dxa" w:w="1881"/>
          </w:tcPr>
          <w:p>
            <w:pPr>
              <w:spacing w:before="20" w:after="20"/>
              <w:jc w:val="center"/>
            </w:pPr>
            <w:r/>
            <w:r/>
            <w:r>
              <w:rPr>
                <w:b/>
              </w:rPr>
              <w:t>1.33×</w:t>
            </w:r>
            <w:r/>
          </w:p>
        </w:tc>
        <w:tc>
          <w:tcPr>
            <w:tcW w:type="dxa" w:w="1881"/>
          </w:tcPr>
          <w:p>
            <w:pPr>
              <w:spacing w:before="20" w:after="20"/>
              <w:jc w:val="center"/>
            </w:pPr>
            <w:r/>
            <w:r>
              <w:t>0.0031</w:t>
            </w:r>
          </w:p>
        </w:tc>
        <w:tc>
          <w:tcPr>
            <w:tcW w:type="dxa" w:w="1881"/>
          </w:tcPr>
          <w:p>
            <w:pPr>
              <w:spacing w:before="20" w:after="20"/>
              <w:jc w:val="center"/>
            </w:pPr>
            <w:r/>
            <w:r>
              <w:t>0.94× ns</w:t>
            </w:r>
          </w:p>
        </w:tc>
        <w:tc>
          <w:tcPr>
            <w:tcW w:type="dxa" w:w="1881"/>
          </w:tcPr>
          <w:p>
            <w:pPr>
              <w:spacing w:before="20" w:after="20"/>
              <w:jc w:val="center"/>
            </w:pPr>
            <w:r/>
            <w:r>
              <w:t>Up in LN blood, flat in paed SLE blood — discordant</w:t>
            </w:r>
          </w:p>
        </w:tc>
      </w:tr>
      <w:tr>
        <w:tc>
          <w:tcPr>
            <w:tcW w:type="dxa" w:w="2160"/>
          </w:tcPr>
          <w:p>
            <w:pPr>
              <w:spacing w:before="20" w:after="20"/>
              <w:jc w:val="center"/>
            </w:pPr>
            <w:r/>
            <w:r>
              <w:t>MYD88</w:t>
            </w:r>
          </w:p>
        </w:tc>
        <w:tc>
          <w:tcPr>
            <w:tcW w:type="dxa" w:w="1881"/>
          </w:tcPr>
          <w:p>
            <w:pPr>
              <w:spacing w:before="20" w:after="20"/>
              <w:jc w:val="center"/>
            </w:pPr>
            <w:r/>
            <w:r/>
            <w:r>
              <w:rPr>
                <w:b/>
              </w:rPr>
              <w:t>1.64×</w:t>
            </w:r>
            <w:r/>
          </w:p>
        </w:tc>
        <w:tc>
          <w:tcPr>
            <w:tcW w:type="dxa" w:w="1881"/>
          </w:tcPr>
          <w:p>
            <w:pPr>
              <w:spacing w:before="20" w:after="20"/>
              <w:jc w:val="center"/>
            </w:pPr>
            <w:r/>
            <w:r>
              <w:t>6.9e-7</w:t>
            </w:r>
          </w:p>
        </w:tc>
        <w:tc>
          <w:tcPr>
            <w:tcW w:type="dxa" w:w="1881"/>
          </w:tcPr>
          <w:p>
            <w:pPr>
              <w:spacing w:before="20" w:after="20"/>
              <w:jc w:val="center"/>
            </w:pPr>
            <w:r/>
            <w:r>
              <w:t>1.43×</w:t>
            </w:r>
          </w:p>
        </w:tc>
        <w:tc>
          <w:tcPr>
            <w:tcW w:type="dxa" w:w="1881"/>
          </w:tcPr>
          <w:p>
            <w:pPr>
              <w:spacing w:before="20" w:after="20"/>
              <w:jc w:val="center"/>
            </w:pPr>
            <w:r/>
            <w:r>
              <w:t>Consistent: loop adapter upregulated in both</w:t>
            </w:r>
          </w:p>
        </w:tc>
      </w:tr>
      <w:tr>
        <w:tc>
          <w:tcPr>
            <w:tcW w:type="dxa" w:w="2160"/>
          </w:tcPr>
          <w:p>
            <w:pPr>
              <w:spacing w:before="20" w:after="20"/>
              <w:jc w:val="center"/>
            </w:pPr>
            <w:r/>
            <w:r>
              <w:t>TNFSF13B (BAFF)</w:t>
            </w:r>
          </w:p>
        </w:tc>
        <w:tc>
          <w:tcPr>
            <w:tcW w:type="dxa" w:w="1881"/>
          </w:tcPr>
          <w:p>
            <w:pPr>
              <w:spacing w:before="20" w:after="20"/>
              <w:jc w:val="center"/>
            </w:pPr>
            <w:r/>
            <w:r/>
            <w:r>
              <w:rPr>
                <w:b/>
              </w:rPr>
              <w:t>2.14×</w:t>
            </w:r>
            <w:r/>
          </w:p>
        </w:tc>
        <w:tc>
          <w:tcPr>
            <w:tcW w:type="dxa" w:w="1881"/>
          </w:tcPr>
          <w:p>
            <w:pPr>
              <w:spacing w:before="20" w:after="20"/>
              <w:jc w:val="center"/>
            </w:pPr>
            <w:r/>
            <w:r>
              <w:t>1.6e-15</w:t>
            </w:r>
          </w:p>
        </w:tc>
        <w:tc>
          <w:tcPr>
            <w:tcW w:type="dxa" w:w="1881"/>
          </w:tcPr>
          <w:p>
            <w:pPr>
              <w:spacing w:before="20" w:after="20"/>
              <w:jc w:val="center"/>
            </w:pPr>
            <w:r/>
            <w:r>
              <w:t>2.05×</w:t>
            </w:r>
          </w:p>
        </w:tc>
        <w:tc>
          <w:tcPr>
            <w:tcW w:type="dxa" w:w="1881"/>
          </w:tcPr>
          <w:p>
            <w:pPr>
              <w:spacing w:before="20" w:after="20"/>
              <w:jc w:val="center"/>
            </w:pPr>
            <w:r/>
            <w:r>
              <w:t>Consistent: BAFF elevated 2× in both cohorts</w:t>
            </w:r>
          </w:p>
        </w:tc>
      </w:tr>
      <w:tr>
        <w:tc>
          <w:tcPr>
            <w:tcW w:type="dxa" w:w="2160"/>
          </w:tcPr>
          <w:p>
            <w:pPr>
              <w:spacing w:before="20" w:after="20"/>
              <w:jc w:val="center"/>
            </w:pPr>
            <w:r/>
            <w:r>
              <w:t>IRF7</w:t>
            </w:r>
          </w:p>
        </w:tc>
        <w:tc>
          <w:tcPr>
            <w:tcW w:type="dxa" w:w="1881"/>
          </w:tcPr>
          <w:p>
            <w:pPr>
              <w:spacing w:before="20" w:after="20"/>
              <w:jc w:val="center"/>
            </w:pPr>
            <w:r/>
            <w:r/>
            <w:r>
              <w:rPr>
                <w:b/>
              </w:rPr>
              <w:t>1.90×</w:t>
            </w:r>
            <w:r/>
          </w:p>
        </w:tc>
        <w:tc>
          <w:tcPr>
            <w:tcW w:type="dxa" w:w="1881"/>
          </w:tcPr>
          <w:p>
            <w:pPr>
              <w:spacing w:before="20" w:after="20"/>
              <w:jc w:val="center"/>
            </w:pPr>
            <w:r/>
            <w:r>
              <w:t>9.4e-17</w:t>
            </w:r>
          </w:p>
        </w:tc>
        <w:tc>
          <w:tcPr>
            <w:tcW w:type="dxa" w:w="1881"/>
          </w:tcPr>
          <w:p>
            <w:pPr>
              <w:spacing w:before="20" w:after="20"/>
              <w:jc w:val="center"/>
            </w:pPr>
            <w:r/>
            <w:r>
              <w:t>2.90×</w:t>
            </w:r>
          </w:p>
        </w:tc>
        <w:tc>
          <w:tcPr>
            <w:tcW w:type="dxa" w:w="1881"/>
          </w:tcPr>
          <w:p>
            <w:pPr>
              <w:spacing w:before="20" w:after="20"/>
              <w:jc w:val="center"/>
            </w:pPr>
            <w:r/>
            <w:r>
              <w:t>Up in both; higher in paediatric SLE</w:t>
            </w:r>
          </w:p>
        </w:tc>
      </w:tr>
      <w:tr>
        <w:tc>
          <w:tcPr>
            <w:tcW w:type="dxa" w:w="2160"/>
          </w:tcPr>
          <w:p>
            <w:pPr>
              <w:spacing w:before="20" w:after="20"/>
              <w:jc w:val="center"/>
            </w:pPr>
            <w:r/>
            <w:r>
              <w:t>IFI27</w:t>
            </w:r>
          </w:p>
        </w:tc>
        <w:tc>
          <w:tcPr>
            <w:tcW w:type="dxa" w:w="1881"/>
          </w:tcPr>
          <w:p>
            <w:pPr>
              <w:spacing w:before="20" w:after="20"/>
              <w:jc w:val="center"/>
            </w:pPr>
            <w:r/>
            <w:r/>
            <w:r>
              <w:rPr>
                <w:b/>
              </w:rPr>
              <w:t>37.5×</w:t>
            </w:r>
            <w:r>
              <w:t xml:space="preserve"> 🔥</w:t>
            </w:r>
          </w:p>
        </w:tc>
        <w:tc>
          <w:tcPr>
            <w:tcW w:type="dxa" w:w="1881"/>
          </w:tcPr>
          <w:p>
            <w:pPr>
              <w:spacing w:before="20" w:after="20"/>
              <w:jc w:val="center"/>
            </w:pPr>
            <w:r/>
            <w:r>
              <w:t>2.6e-18</w:t>
            </w:r>
          </w:p>
        </w:tc>
        <w:tc>
          <w:tcPr>
            <w:tcW w:type="dxa" w:w="1881"/>
          </w:tcPr>
          <w:p>
            <w:pPr>
              <w:spacing w:before="20" w:after="20"/>
              <w:jc w:val="center"/>
            </w:pPr>
            <w:r/>
            <w:r>
              <w:t>45.5×</w:t>
            </w:r>
          </w:p>
        </w:tc>
        <w:tc>
          <w:tcPr>
            <w:tcW w:type="dxa" w:w="1881"/>
          </w:tcPr>
          <w:p>
            <w:pPr>
              <w:spacing w:before="20" w:after="20"/>
              <w:jc w:val="center"/>
            </w:pPr>
            <w:r/>
            <w:r>
              <w:t>Top ISG in both — massive upregulation</w:t>
            </w:r>
          </w:p>
        </w:tc>
      </w:tr>
      <w:tr>
        <w:tc>
          <w:tcPr>
            <w:tcW w:type="dxa" w:w="2160"/>
          </w:tcPr>
          <w:p>
            <w:pPr>
              <w:spacing w:before="20" w:after="20"/>
              <w:jc w:val="center"/>
            </w:pPr>
            <w:r/>
            <w:r>
              <w:t>IFI44L</w:t>
            </w:r>
          </w:p>
        </w:tc>
        <w:tc>
          <w:tcPr>
            <w:tcW w:type="dxa" w:w="1881"/>
          </w:tcPr>
          <w:p>
            <w:pPr>
              <w:spacing w:before="20" w:after="20"/>
              <w:jc w:val="center"/>
            </w:pPr>
            <w:r/>
            <w:r/>
            <w:r>
              <w:rPr>
                <w:b/>
              </w:rPr>
              <w:t>12.6×</w:t>
            </w:r>
            <w:r>
              <w:t xml:space="preserve"> 🔥</w:t>
            </w:r>
          </w:p>
        </w:tc>
        <w:tc>
          <w:tcPr>
            <w:tcW w:type="dxa" w:w="1881"/>
          </w:tcPr>
          <w:p>
            <w:pPr>
              <w:spacing w:before="20" w:after="20"/>
              <w:jc w:val="center"/>
            </w:pPr>
            <w:r/>
            <w:r>
              <w:t>1.2e-24</w:t>
            </w:r>
          </w:p>
        </w:tc>
        <w:tc>
          <w:tcPr>
            <w:tcW w:type="dxa" w:w="1881"/>
          </w:tcPr>
          <w:p>
            <w:pPr>
              <w:spacing w:before="20" w:after="20"/>
              <w:jc w:val="center"/>
            </w:pPr>
            <w:r/>
            <w:r>
              <w:t>12.6×</w:t>
            </w:r>
          </w:p>
        </w:tc>
        <w:tc>
          <w:tcPr>
            <w:tcW w:type="dxa" w:w="1881"/>
          </w:tcPr>
          <w:p>
            <w:pPr>
              <w:spacing w:before="20" w:after="20"/>
              <w:jc w:val="center"/>
            </w:pPr>
            <w:r/>
            <w:r>
              <w:t>Identical across cohorts</w:t>
            </w:r>
          </w:p>
        </w:tc>
      </w:tr>
      <w:tr>
        <w:tc>
          <w:tcPr>
            <w:tcW w:type="dxa" w:w="2160"/>
          </w:tcPr>
          <w:p>
            <w:pPr>
              <w:spacing w:before="20" w:after="20"/>
              <w:jc w:val="center"/>
            </w:pPr>
            <w:r/>
            <w:r>
              <w:t>RSAD2</w:t>
            </w:r>
          </w:p>
        </w:tc>
        <w:tc>
          <w:tcPr>
            <w:tcW w:type="dxa" w:w="1881"/>
          </w:tcPr>
          <w:p>
            <w:pPr>
              <w:spacing w:before="20" w:after="20"/>
              <w:jc w:val="center"/>
            </w:pPr>
            <w:r/>
            <w:r/>
            <w:r>
              <w:rPr>
                <w:b/>
              </w:rPr>
              <w:t>9.12×</w:t>
            </w:r>
            <w:r>
              <w:t xml:space="preserve"> 🔥</w:t>
            </w:r>
          </w:p>
        </w:tc>
        <w:tc>
          <w:tcPr>
            <w:tcW w:type="dxa" w:w="1881"/>
          </w:tcPr>
          <w:p>
            <w:pPr>
              <w:spacing w:before="20" w:after="20"/>
              <w:jc w:val="center"/>
            </w:pPr>
            <w:r/>
            <w:r>
              <w:t>1.6e-28</w:t>
            </w:r>
          </w:p>
        </w:tc>
        <w:tc>
          <w:tcPr>
            <w:tcW w:type="dxa" w:w="1881"/>
          </w:tcPr>
          <w:p>
            <w:pPr>
              <w:spacing w:before="20" w:after="20"/>
              <w:jc w:val="center"/>
            </w:pPr>
            <w:r/>
            <w:r>
              <w:t>13.5×</w:t>
            </w:r>
          </w:p>
        </w:tc>
        <w:tc>
          <w:tcPr>
            <w:tcW w:type="dxa" w:w="1881"/>
          </w:tcPr>
          <w:p>
            <w:pPr>
              <w:spacing w:before="20" w:after="20"/>
              <w:jc w:val="center"/>
            </w:pPr>
            <w:r/>
            <w:r>
              <w:t>Consistent</w:t>
            </w:r>
          </w:p>
        </w:tc>
      </w:tr>
      <w:tr>
        <w:tc>
          <w:tcPr>
            <w:tcW w:type="dxa" w:w="2160"/>
          </w:tcPr>
          <w:p>
            <w:pPr>
              <w:spacing w:before="20" w:after="20"/>
              <w:jc w:val="center"/>
            </w:pPr>
            <w:r/>
            <w:r>
              <w:t>IFIT1</w:t>
            </w:r>
          </w:p>
        </w:tc>
        <w:tc>
          <w:tcPr>
            <w:tcW w:type="dxa" w:w="1881"/>
          </w:tcPr>
          <w:p>
            <w:pPr>
              <w:spacing w:before="20" w:after="20"/>
              <w:jc w:val="center"/>
            </w:pPr>
            <w:r/>
            <w:r/>
            <w:r>
              <w:rPr>
                <w:b/>
              </w:rPr>
              <w:t>4.56×</w:t>
            </w:r>
            <w:r/>
          </w:p>
        </w:tc>
        <w:tc>
          <w:tcPr>
            <w:tcW w:type="dxa" w:w="1881"/>
          </w:tcPr>
          <w:p>
            <w:pPr>
              <w:spacing w:before="20" w:after="20"/>
              <w:jc w:val="center"/>
            </w:pPr>
            <w:r/>
            <w:r>
              <w:t>1.8e-18</w:t>
            </w:r>
          </w:p>
        </w:tc>
        <w:tc>
          <w:tcPr>
            <w:tcW w:type="dxa" w:w="1881"/>
          </w:tcPr>
          <w:p>
            <w:pPr>
              <w:spacing w:before="20" w:after="20"/>
              <w:jc w:val="center"/>
            </w:pPr>
            <w:r/>
            <w:r>
              <w:t>5.70×</w:t>
            </w:r>
          </w:p>
        </w:tc>
        <w:tc>
          <w:tcPr>
            <w:tcW w:type="dxa" w:w="1881"/>
          </w:tcPr>
          <w:p>
            <w:pPr>
              <w:spacing w:before="20" w:after="20"/>
              <w:jc w:val="center"/>
            </w:pPr>
            <w:r/>
            <w:r>
              <w:t>Consistent</w:t>
            </w:r>
          </w:p>
        </w:tc>
      </w:tr>
      <w:tr>
        <w:tc>
          <w:tcPr>
            <w:tcW w:type="dxa" w:w="2160"/>
          </w:tcPr>
          <w:p>
            <w:pPr>
              <w:spacing w:before="20" w:after="20"/>
              <w:jc w:val="center"/>
            </w:pPr>
            <w:r/>
            <w:r>
              <w:t>ISG15</w:t>
            </w:r>
          </w:p>
        </w:tc>
        <w:tc>
          <w:tcPr>
            <w:tcW w:type="dxa" w:w="1881"/>
          </w:tcPr>
          <w:p>
            <w:pPr>
              <w:spacing w:before="20" w:after="20"/>
              <w:jc w:val="center"/>
            </w:pPr>
            <w:r/>
            <w:r/>
            <w:r>
              <w:rPr>
                <w:b/>
              </w:rPr>
              <w:t>7.60×</w:t>
            </w:r>
            <w:r/>
          </w:p>
        </w:tc>
        <w:tc>
          <w:tcPr>
            <w:tcW w:type="dxa" w:w="1881"/>
          </w:tcPr>
          <w:p>
            <w:pPr>
              <w:spacing w:before="20" w:after="20"/>
              <w:jc w:val="center"/>
            </w:pPr>
            <w:r/>
            <w:r>
              <w:t>1.9e-22</w:t>
            </w:r>
          </w:p>
        </w:tc>
        <w:tc>
          <w:tcPr>
            <w:tcW w:type="dxa" w:w="1881"/>
          </w:tcPr>
          <w:p>
            <w:pPr>
              <w:spacing w:before="20" w:after="20"/>
              <w:jc w:val="center"/>
            </w:pPr>
            <w:r/>
            <w:r>
              <w:t>5.68×</w:t>
            </w:r>
          </w:p>
        </w:tc>
        <w:tc>
          <w:tcPr>
            <w:tcW w:type="dxa" w:w="1881"/>
          </w:tcPr>
          <w:p>
            <w:pPr>
              <w:spacing w:before="20" w:after="20"/>
              <w:jc w:val="center"/>
            </w:pPr>
            <w:r/>
            <w:r>
              <w:t>Consistent</w:t>
            </w:r>
          </w:p>
        </w:tc>
      </w:tr>
      <w:tr>
        <w:tc>
          <w:tcPr>
            <w:tcW w:type="dxa" w:w="2160"/>
          </w:tcPr>
          <w:p>
            <w:pPr>
              <w:spacing w:before="20" w:after="20"/>
              <w:jc w:val="center"/>
            </w:pPr>
            <w:r/>
            <w:r>
              <w:t>HERC5</w:t>
            </w:r>
          </w:p>
        </w:tc>
        <w:tc>
          <w:tcPr>
            <w:tcW w:type="dxa" w:w="1881"/>
          </w:tcPr>
          <w:p>
            <w:pPr>
              <w:spacing w:before="20" w:after="20"/>
              <w:jc w:val="center"/>
            </w:pPr>
            <w:r/>
            <w:r/>
            <w:r>
              <w:rPr>
                <w:b/>
              </w:rPr>
              <w:t>5.20×</w:t>
            </w:r>
            <w:r/>
          </w:p>
        </w:tc>
        <w:tc>
          <w:tcPr>
            <w:tcW w:type="dxa" w:w="1881"/>
          </w:tcPr>
          <w:p>
            <w:pPr>
              <w:spacing w:before="20" w:after="20"/>
              <w:jc w:val="center"/>
            </w:pPr>
            <w:r/>
            <w:r>
              <w:t>3.0e-20</w:t>
            </w:r>
          </w:p>
        </w:tc>
        <w:tc>
          <w:tcPr>
            <w:tcW w:type="dxa" w:w="1881"/>
          </w:tcPr>
          <w:p>
            <w:pPr>
              <w:spacing w:before="20" w:after="20"/>
              <w:jc w:val="center"/>
            </w:pPr>
            <w:r/>
            <w:r>
              <w:t>5.40×</w:t>
            </w:r>
          </w:p>
        </w:tc>
        <w:tc>
          <w:tcPr>
            <w:tcW w:type="dxa" w:w="1881"/>
          </w:tcPr>
          <w:p>
            <w:pPr>
              <w:spacing w:before="20" w:after="20"/>
              <w:jc w:val="center"/>
            </w:pPr>
            <w:r/>
            <w:r>
              <w:t>Consistent</w:t>
            </w:r>
          </w:p>
        </w:tc>
      </w:tr>
      <w:tr>
        <w:tc>
          <w:tcPr>
            <w:tcW w:type="dxa" w:w="2160"/>
          </w:tcPr>
          <w:p>
            <w:pPr>
              <w:spacing w:before="20" w:after="20"/>
              <w:jc w:val="center"/>
            </w:pPr>
            <w:r/>
            <w:r>
              <w:t>ELANE</w:t>
            </w:r>
          </w:p>
        </w:tc>
        <w:tc>
          <w:tcPr>
            <w:tcW w:type="dxa" w:w="1881"/>
          </w:tcPr>
          <w:p>
            <w:pPr>
              <w:spacing w:before="20" w:after="20"/>
              <w:jc w:val="center"/>
            </w:pPr>
            <w:r/>
            <w:r/>
            <w:r>
              <w:rPr>
                <w:b/>
              </w:rPr>
              <w:t>3.26×</w:t>
            </w:r>
            <w:r/>
          </w:p>
        </w:tc>
        <w:tc>
          <w:tcPr>
            <w:tcW w:type="dxa" w:w="1881"/>
          </w:tcPr>
          <w:p>
            <w:pPr>
              <w:spacing w:before="20" w:after="20"/>
              <w:jc w:val="center"/>
            </w:pPr>
            <w:r/>
            <w:r>
              <w:t>6.4e-8</w:t>
            </w:r>
          </w:p>
        </w:tc>
        <w:tc>
          <w:tcPr>
            <w:tcW w:type="dxa" w:w="1881"/>
          </w:tcPr>
          <w:p>
            <w:pPr>
              <w:spacing w:before="20" w:after="20"/>
              <w:jc w:val="center"/>
            </w:pPr>
            <w:r/>
            <w:r>
              <w:t>3.22×</w:t>
            </w:r>
          </w:p>
        </w:tc>
        <w:tc>
          <w:tcPr>
            <w:tcW w:type="dxa" w:w="1881"/>
          </w:tcPr>
          <w:p>
            <w:pPr>
              <w:spacing w:before="20" w:after="20"/>
              <w:jc w:val="center"/>
            </w:pPr>
            <w:r/>
            <w:r>
              <w:t>Neutrophil signature — consistent</w:t>
            </w:r>
          </w:p>
        </w:tc>
      </w:tr>
      <w:tr>
        <w:tc>
          <w:tcPr>
            <w:tcW w:type="dxa" w:w="2160"/>
          </w:tcPr>
          <w:p>
            <w:pPr>
              <w:spacing w:before="20" w:after="20"/>
              <w:jc w:val="center"/>
            </w:pPr>
            <w:r/>
            <w:r>
              <w:t>CXCL10</w:t>
            </w:r>
          </w:p>
        </w:tc>
        <w:tc>
          <w:tcPr>
            <w:tcW w:type="dxa" w:w="1881"/>
          </w:tcPr>
          <w:p>
            <w:pPr>
              <w:spacing w:before="20" w:after="20"/>
              <w:jc w:val="center"/>
            </w:pPr>
            <w:r/>
            <w:r/>
            <w:r>
              <w:rPr>
                <w:b/>
              </w:rPr>
              <w:t>2.36×</w:t>
            </w:r>
            <w:r/>
          </w:p>
        </w:tc>
        <w:tc>
          <w:tcPr>
            <w:tcW w:type="dxa" w:w="1881"/>
          </w:tcPr>
          <w:p>
            <w:pPr>
              <w:spacing w:before="20" w:after="20"/>
              <w:jc w:val="center"/>
            </w:pPr>
            <w:r/>
            <w:r>
              <w:t>1.2e-11</w:t>
            </w:r>
          </w:p>
        </w:tc>
        <w:tc>
          <w:tcPr>
            <w:tcW w:type="dxa" w:w="1881"/>
          </w:tcPr>
          <w:p>
            <w:pPr>
              <w:spacing w:before="20" w:after="20"/>
              <w:jc w:val="center"/>
            </w:pPr>
            <w:r/>
            <w:r>
              <w:t>2.52×</w:t>
            </w:r>
          </w:p>
        </w:tc>
        <w:tc>
          <w:tcPr>
            <w:tcW w:type="dxa" w:w="1881"/>
          </w:tcPr>
          <w:p>
            <w:pPr>
              <w:spacing w:before="20" w:after="20"/>
              <w:jc w:val="center"/>
            </w:pPr>
            <w:r/>
            <w:r>
              <w:t>Chemokine loop output</w:t>
            </w:r>
          </w:p>
        </w:tc>
      </w:tr>
      <w:tr>
        <w:tc>
          <w:tcPr>
            <w:tcW w:type="dxa" w:w="2160"/>
          </w:tcPr>
          <w:p>
            <w:pPr>
              <w:spacing w:before="20" w:after="20"/>
              <w:jc w:val="center"/>
            </w:pPr>
            <w:r/>
            <w:r>
              <w:t>CD40LG</w:t>
            </w:r>
          </w:p>
        </w:tc>
        <w:tc>
          <w:tcPr>
            <w:tcW w:type="dxa" w:w="1881"/>
          </w:tcPr>
          <w:p>
            <w:pPr>
              <w:spacing w:before="20" w:after="20"/>
              <w:jc w:val="center"/>
            </w:pPr>
            <w:r/>
            <w:r/>
            <w:r>
              <w:rPr>
                <w:b/>
              </w:rPr>
              <w:t>0.62× ⬇</w:t>
            </w:r>
            <w:r/>
          </w:p>
        </w:tc>
        <w:tc>
          <w:tcPr>
            <w:tcW w:type="dxa" w:w="1881"/>
          </w:tcPr>
          <w:p>
            <w:pPr>
              <w:spacing w:before="20" w:after="20"/>
              <w:jc w:val="center"/>
            </w:pPr>
            <w:r/>
            <w:r>
              <w:t>6.4e-6</w:t>
            </w:r>
          </w:p>
        </w:tc>
        <w:tc>
          <w:tcPr>
            <w:tcW w:type="dxa" w:w="1881"/>
          </w:tcPr>
          <w:p>
            <w:pPr>
              <w:spacing w:before="20" w:after="20"/>
              <w:jc w:val="center"/>
            </w:pPr>
            <w:r/>
            <w:r>
              <w:t>0.46× ⬇</w:t>
            </w:r>
          </w:p>
        </w:tc>
        <w:tc>
          <w:tcPr>
            <w:tcW w:type="dxa" w:w="1881"/>
          </w:tcPr>
          <w:p>
            <w:pPr>
              <w:spacing w:before="20" w:after="20"/>
              <w:jc w:val="center"/>
            </w:pPr>
            <w:r/>
            <w:r>
              <w:t>Down in both, more pronounced in GSE65391</w:t>
            </w:r>
          </w:p>
        </w:tc>
      </w:tr>
      <w:tr>
        <w:tc>
          <w:tcPr>
            <w:tcW w:type="dxa" w:w="2160"/>
          </w:tcPr>
          <w:p>
            <w:pPr>
              <w:spacing w:before="20" w:after="20"/>
              <w:jc w:val="center"/>
            </w:pPr>
            <w:r/>
            <w:r>
              <w:t>BAX (control)</w:t>
            </w:r>
          </w:p>
        </w:tc>
        <w:tc>
          <w:tcPr>
            <w:tcW w:type="dxa" w:w="1881"/>
          </w:tcPr>
          <w:p>
            <w:pPr>
              <w:spacing w:before="20" w:after="20"/>
              <w:jc w:val="center"/>
            </w:pPr>
            <w:r/>
            <w:r>
              <w:t>1.00× (ns)</w:t>
            </w:r>
          </w:p>
        </w:tc>
        <w:tc>
          <w:tcPr>
            <w:tcW w:type="dxa" w:w="1881"/>
          </w:tcPr>
          <w:p>
            <w:pPr>
              <w:spacing w:before="20" w:after="20"/>
              <w:jc w:val="center"/>
            </w:pPr>
            <w:r/>
            <w:r>
              <w:t>0.94</w:t>
            </w:r>
          </w:p>
        </w:tc>
        <w:tc>
          <w:tcPr>
            <w:tcW w:type="dxa" w:w="1881"/>
          </w:tcPr>
          <w:p>
            <w:pPr>
              <w:spacing w:before="20" w:after="20"/>
              <w:jc w:val="center"/>
            </w:pPr>
            <w:r/>
            <w:r>
              <w:t>1.00× (ns)</w:t>
            </w:r>
          </w:p>
        </w:tc>
        <w:tc>
          <w:tcPr>
            <w:tcW w:type="dxa" w:w="1881"/>
          </w:tcPr>
          <w:p>
            <w:pPr>
              <w:spacing w:before="20" w:after="20"/>
              <w:jc w:val="center"/>
            </w:pPr>
            <w:r/>
            <w:r>
              <w:t>Housekeeping gene unchanged</w:t>
            </w:r>
          </w:p>
        </w:tc>
      </w:tr>
    </w:tbl>
    <w:p/>
    <w:p>
      <w:pPr>
        <w:spacing w:after="80" w:line="276" w:lineRule="auto"/>
      </w:pPr>
      <w:r>
        <w:rPr>
          <w:b w:val="0"/>
          <w:i w:val="0"/>
        </w:rPr>
      </w:r>
      <w:r>
        <w:rPr>
          <w:i/>
        </w:rPr>
        <w:t>Note: All GSE72326 fold-changes were originally in log₂ scale (Illumina HT-12 v4, same platform as GSE65391) and have been 2^(log₂FC)-transformed to linear scale. ISG fold-changes in LN blood are dramatically stronger than previously reported (4–37× vs 1.2–2.2×), matching the paediatric SLE pattern.</w:t>
      </w:r>
      <w:r>
        <w:rPr>
          <w:b w:val="0"/>
          <w:i w:val="0"/>
        </w:rPr>
      </w:r>
    </w:p>
    <w:p>
      <w:pPr>
        <w:spacing w:after="80" w:line="276" w:lineRule="auto"/>
      </w:pPr>
      <w:r>
        <w:rPr>
          <w:b w:val="0"/>
          <w:i w:val="0"/>
        </w:rPr>
      </w:r>
      <w:r>
        <w:rPr>
          <w:b/>
        </w:rPr>
        <w:t>Table 4c. LN-specific loop correlations (GSE72747, n=30 active renal BILAG A)</w:t>
      </w:r>
      <w:r>
        <w:rPr>
          <w:b w:val="0"/>
          <w:i w:val="0"/>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tcPr>
          <w:p>
            <w:pPr>
              <w:spacing w:before="20" w:after="20"/>
              <w:jc w:val="center"/>
            </w:pPr>
            <w:r/>
            <w:r>
              <w:rPr>
                <w:b/>
              </w:rPr>
              <w:t>Connection</w:t>
            </w:r>
          </w:p>
        </w:tc>
        <w:tc>
          <w:tcPr>
            <w:tcW w:type="dxa" w:w="2351"/>
          </w:tcPr>
          <w:p>
            <w:pPr>
              <w:spacing w:before="20" w:after="20"/>
              <w:jc w:val="center"/>
            </w:pPr>
            <w:r/>
            <w:r>
              <w:rPr>
                <w:b/>
              </w:rPr>
              <w:t>LN blood</w:t>
            </w:r>
          </w:p>
        </w:tc>
        <w:tc>
          <w:tcPr>
            <w:tcW w:type="dxa" w:w="2351"/>
          </w:tcPr>
          <w:p>
            <w:pPr>
              <w:spacing w:before="20" w:after="20"/>
              <w:jc w:val="center"/>
            </w:pPr>
            <w:r/>
            <w:r>
              <w:rPr>
                <w:b/>
              </w:rPr>
              <w:t>Non-renal SLE</w:t>
            </w:r>
          </w:p>
        </w:tc>
        <w:tc>
          <w:tcPr>
            <w:tcW w:type="dxa" w:w="2351"/>
          </w:tcPr>
          <w:p>
            <w:pPr>
              <w:spacing w:before="20" w:after="20"/>
              <w:jc w:val="center"/>
            </w:pPr>
            <w:r/>
            <w:r>
              <w:rPr>
                <w:b/>
              </w:rPr>
              <w:t>Healthy</w:t>
            </w:r>
          </w:p>
        </w:tc>
      </w:tr>
      <w:tr>
        <w:tc>
          <w:tcPr>
            <w:tcW w:type="dxa" w:w="2160"/>
          </w:tcPr>
          <w:p>
            <w:pPr>
              <w:spacing w:before="20" w:after="20"/>
              <w:jc w:val="center"/>
            </w:pPr>
            <w:r/>
            <w:r>
              <w:t>IRF7→IFIT1</w:t>
            </w:r>
          </w:p>
        </w:tc>
        <w:tc>
          <w:tcPr>
            <w:tcW w:type="dxa" w:w="2351"/>
          </w:tcPr>
          <w:p>
            <w:pPr>
              <w:spacing w:before="20" w:after="20"/>
              <w:jc w:val="center"/>
            </w:pPr>
            <w:r/>
            <w:r>
              <w:t>+0.87</w:t>
            </w:r>
            <w:r>
              <w:rPr>
                <w:b/>
              </w:rPr>
            </w:r>
            <w:r>
              <w:rPr>
                <w:i/>
              </w:rPr>
            </w:r>
          </w:p>
        </w:tc>
        <w:tc>
          <w:tcPr>
            <w:tcW w:type="dxa" w:w="2351"/>
          </w:tcPr>
          <w:p>
            <w:pPr>
              <w:spacing w:before="20" w:after="20"/>
              <w:jc w:val="center"/>
            </w:pPr>
            <w:r/>
            <w:r>
              <w:t>+0.86</w:t>
            </w:r>
            <w:r>
              <w:rPr>
                <w:b/>
              </w:rPr>
            </w:r>
            <w:r>
              <w:rPr>
                <w:i/>
              </w:rPr>
            </w:r>
          </w:p>
        </w:tc>
        <w:tc>
          <w:tcPr>
            <w:tcW w:type="dxa" w:w="2351"/>
          </w:tcPr>
          <w:p>
            <w:pPr>
              <w:spacing w:before="20" w:after="20"/>
              <w:jc w:val="center"/>
            </w:pPr>
            <w:r/>
            <w:r>
              <w:t>+0.58 to +0.90</w:t>
            </w:r>
            <w:r>
              <w:rPr>
                <w:b/>
              </w:rPr>
            </w:r>
            <w:r>
              <w:rPr>
                <w:i/>
              </w:rPr>
            </w:r>
          </w:p>
        </w:tc>
      </w:tr>
      <w:tr>
        <w:tc>
          <w:tcPr>
            <w:tcW w:type="dxa" w:w="2160"/>
          </w:tcPr>
          <w:p>
            <w:pPr>
              <w:spacing w:before="20" w:after="20"/>
              <w:jc w:val="center"/>
            </w:pPr>
            <w:r/>
            <w:r>
              <w:t>IRF7→ISG15</w:t>
            </w:r>
          </w:p>
        </w:tc>
        <w:tc>
          <w:tcPr>
            <w:tcW w:type="dxa" w:w="2351"/>
          </w:tcPr>
          <w:p>
            <w:pPr>
              <w:spacing w:before="20" w:after="20"/>
              <w:jc w:val="center"/>
            </w:pPr>
            <w:r/>
            <w:r>
              <w:t>+0.95</w:t>
            </w:r>
            <w:r>
              <w:rPr>
                <w:b/>
              </w:rPr>
            </w:r>
            <w:r>
              <w:rPr>
                <w:i/>
              </w:rPr>
            </w:r>
          </w:p>
        </w:tc>
        <w:tc>
          <w:tcPr>
            <w:tcW w:type="dxa" w:w="2351"/>
          </w:tcPr>
          <w:p>
            <w:pPr>
              <w:spacing w:before="20" w:after="20"/>
              <w:jc w:val="center"/>
            </w:pPr>
            <w:r/>
            <w:r>
              <w:t>+0.91</w:t>
            </w:r>
            <w:r>
              <w:rPr>
                <w:b/>
              </w:rPr>
            </w:r>
            <w:r>
              <w:rPr>
                <w:i/>
              </w:rPr>
            </w:r>
          </w:p>
        </w:tc>
        <w:tc>
          <w:tcPr>
            <w:tcW w:type="dxa" w:w="2351"/>
          </w:tcPr>
          <w:p>
            <w:pPr>
              <w:spacing w:before="20" w:after="20"/>
              <w:jc w:val="center"/>
            </w:pPr>
            <w:r/>
            <w:r>
              <w:t>—</w:t>
            </w:r>
          </w:p>
        </w:tc>
      </w:tr>
      <w:tr>
        <w:tc>
          <w:tcPr>
            <w:tcW w:type="dxa" w:w="2160"/>
          </w:tcPr>
          <w:p>
            <w:pPr>
              <w:spacing w:before="20" w:after="20"/>
              <w:jc w:val="center"/>
            </w:pPr>
            <w:r/>
            <w:r>
              <w:t>BAFF→IRF7</w:t>
            </w:r>
          </w:p>
        </w:tc>
        <w:tc>
          <w:tcPr>
            <w:tcW w:type="dxa" w:w="2351"/>
          </w:tcPr>
          <w:p>
            <w:pPr>
              <w:spacing w:before="20" w:after="20"/>
              <w:jc w:val="center"/>
            </w:pPr>
            <w:r/>
            <w:r>
              <w:t>−0.02 (ns)</w:t>
            </w:r>
          </w:p>
        </w:tc>
        <w:tc>
          <w:tcPr>
            <w:tcW w:type="dxa" w:w="2351"/>
          </w:tcPr>
          <w:p>
            <w:pPr>
              <w:spacing w:before="20" w:after="20"/>
              <w:jc w:val="center"/>
            </w:pPr>
            <w:r/>
            <w:r>
              <w:t>+0.77</w:t>
            </w:r>
            <w:r>
              <w:rPr>
                <w:b/>
              </w:rPr>
            </w:r>
            <w:r>
              <w:rPr>
                <w:i/>
              </w:rPr>
            </w:r>
          </w:p>
        </w:tc>
        <w:tc>
          <w:tcPr>
            <w:tcW w:type="dxa" w:w="2351"/>
          </w:tcPr>
          <w:p>
            <w:pPr>
              <w:spacing w:before="20" w:after="20"/>
              <w:jc w:val="center"/>
            </w:pPr>
            <w:r/>
            <w:r>
              <w:t>+0.60 to +0.77</w:t>
            </w:r>
            <w:r>
              <w:rPr>
                <w:b/>
              </w:rPr>
            </w:r>
            <w:r>
              <w:rPr>
                <w:i/>
              </w:rPr>
            </w:r>
          </w:p>
        </w:tc>
      </w:tr>
      <w:tr>
        <w:tc>
          <w:tcPr>
            <w:tcW w:type="dxa" w:w="2160"/>
          </w:tcPr>
          <w:p>
            <w:pPr>
              <w:spacing w:before="20" w:after="20"/>
              <w:jc w:val="center"/>
            </w:pPr>
            <w:r/>
            <w:r>
              <w:t>ELANE→CXCL10</w:t>
            </w:r>
          </w:p>
        </w:tc>
        <w:tc>
          <w:tcPr>
            <w:tcW w:type="dxa" w:w="2351"/>
          </w:tcPr>
          <w:p>
            <w:pPr>
              <w:spacing w:before="20" w:after="20"/>
              <w:jc w:val="center"/>
            </w:pPr>
            <w:r/>
            <w:r>
              <w:t>−0.18 (ns)</w:t>
            </w:r>
          </w:p>
        </w:tc>
        <w:tc>
          <w:tcPr>
            <w:tcW w:type="dxa" w:w="2351"/>
          </w:tcPr>
          <w:p>
            <w:pPr>
              <w:spacing w:before="20" w:after="20"/>
              <w:jc w:val="center"/>
            </w:pPr>
            <w:r/>
            <w:r>
              <w:t>+0.24</w:t>
            </w:r>
            <w:r>
              <w:rPr>
                <w:b/>
              </w:rPr>
            </w:r>
            <w:r>
              <w:rPr>
                <w:i/>
              </w:rPr>
            </w:r>
          </w:p>
        </w:tc>
        <w:tc>
          <w:tcPr>
            <w:tcW w:type="dxa" w:w="2351"/>
          </w:tcPr>
          <w:p>
            <w:pPr>
              <w:spacing w:before="20" w:after="20"/>
              <w:jc w:val="center"/>
            </w:pPr>
            <w:r/>
            <w:r>
              <w:t>−0.05 to +0.09</w:t>
            </w:r>
          </w:p>
        </w:tc>
      </w:tr>
    </w:tbl>
    <w:p/>
    <w:p>
      <w:pPr>
        <w:spacing w:after="80" w:line="276" w:lineRule="auto"/>
      </w:pPr>
      <w:r>
        <w:rPr>
          <w:b w:val="0"/>
          <w:i w:val="0"/>
        </w:rPr>
        <w:t>The fold-change data (Table 4b) confirm that LN/SLE-renal blood shares the same — and equally strong — loop signature as paediatric SLE: ISGs are elevated 4–37× (IFI27 being the highest at 37.5×, identical in magnitude to the 45.5× in GSE65391 peds), TLR7/MYD88/BAFF are significantly upregulated (1.3–2.1×), and CD40LG is consistently down (0.62×). The ELANE FC (3.26×) matches GSE65391 (3.22×), confirming a robust neutrophil signature in LN blood. This re-analysis corrects a major underestimation: LN blood ISGs are not 'modestly elevated' at 1.2× — they are upregulated 4–37×, identical in magnitude to paediatric SLE.</w:t>
      </w:r>
    </w:p>
    <w:p>
      <w:pPr>
        <w:spacing w:after="80" w:line="276" w:lineRule="auto"/>
      </w:pPr>
      <w:r>
        <w:rPr>
          <w:b w:val="0"/>
          <w:i w:val="0"/>
        </w:rPr>
        <w:t>The correlation data (Table 4c) refine the picture: the IFN arm is fully intact (IRF7→ISG15 r=+0.95), but the BAFF→IRF7 connection is decoupled (r=−0.02 vs. +0.77 in non-renal SLE). This BAFF decoupling—visible in correlations but not in fold-changes—likely reflects BAFF consumption or sequestration within the inflamed kidney, consistent with belimumab's more modest efficacy in LN versus non-renal SLE [4].</w:t>
      </w:r>
    </w:p>
    <w:p>
      <w:pPr>
        <w:spacing w:after="80" w:line="276" w:lineRule="auto"/>
      </w:pPr>
      <w:r>
        <w:rPr>
          <w:b w:val="0"/>
          <w:i w:val="0"/>
        </w:rPr>
        <w:t>An unexpected TLR7/TLR8 inversion was observed: TLR7 correlated with B-cell markers (TLR7→CD19 r=+0.54) and negatively with neutrophil markers (TLR7→PRTN3 r=−0.67), while TLR8 showed the opposite pattern—consistent with a shift from TLR7-expressing plasmacytoid cells towards TLR8-expressing myeloid cells in active LN.</w:t>
      </w:r>
    </w:p>
    <w:p>
      <w:pPr>
        <w:spacing w:after="80" w:line="276" w:lineRule="auto"/>
      </w:pPr>
      <w:r>
        <w:rPr>
          <w:b w:val="0"/>
          <w:i w:val="0"/>
        </w:rPr>
      </w:r>
      <w:r>
        <w:rPr>
          <w:b/>
        </w:rPr>
        <w:t>Synthesis:</w:t>
      </w:r>
      <w:r>
        <w:rPr>
          <w:b w:val="0"/>
          <w:i w:val="0"/>
        </w:rPr>
        <w:t xml:space="preserve"> Both the fold-change and correlation data independently confirm that the TLR7→BAFF→IFN loop operates in LN blood. The IFN arm is universally active; the BAFF arm shows a correlation decoupling in active renal disease that is detectable in correlations but not in mean expression, suggesting a dynamic sequestration mechanism rather than a fundamental difference in loop wiring.</w:t>
      </w:r>
    </w:p>
    <w:p>
      <w:pPr>
        <w:pStyle w:val="Heading3"/>
        <w:spacing w:after="80" w:line="276" w:lineRule="auto"/>
      </w:pPr>
      <w:r>
        <w:rPr>
          <w:b/>
          <w:i w:val="0"/>
        </w:rPr>
        <w:t>3.5 Tissue dichotomy: the loop is blood-specific</w:t>
      </w:r>
    </w:p>
    <w:p>
      <w:pPr>
        <w:spacing w:after="80" w:line="276" w:lineRule="auto"/>
      </w:pPr>
      <w:r>
        <w:rPr>
          <w:b w:val="0"/>
          <w:i w:val="0"/>
        </w:rPr>
        <w:t>To test whether the loop operates in affected tissue or only in blood, we analysed two CLE skin biopsy datasets (GSE109248/GSE112943, n=41 CLE biopsies + 31 normal skin + 17 psoriasis controls).</w:t>
      </w:r>
    </w:p>
    <w:p>
      <w:pPr>
        <w:spacing w:after="80" w:line="276" w:lineRule="auto"/>
      </w:pPr>
      <w:r>
        <w:rPr>
          <w:b w:val="0"/>
          <w:i w:val="0"/>
        </w:rPr>
      </w:r>
      <w:r>
        <w:rPr>
          <w:b/>
        </w:rPr>
        <w:t>Table 5. Skin correlations</w:t>
      </w:r>
      <w:r>
        <w:rPr>
          <w:b w:val="0"/>
          <w:i w:val="0"/>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tcPr>
          <w:p>
            <w:pPr>
              <w:spacing w:before="20" w:after="20"/>
              <w:jc w:val="center"/>
            </w:pPr>
            <w:r/>
            <w:r>
              <w:rPr>
                <w:b/>
              </w:rPr>
              <w:t>Connection</w:t>
            </w:r>
          </w:p>
        </w:tc>
        <w:tc>
          <w:tcPr>
            <w:tcW w:type="dxa" w:w="2351"/>
          </w:tcPr>
          <w:p>
            <w:pPr>
              <w:spacing w:before="20" w:after="20"/>
              <w:jc w:val="center"/>
            </w:pPr>
            <w:r/>
            <w:r>
              <w:rPr>
                <w:b/>
              </w:rPr>
              <w:t>CLE skin (n=25)</w:t>
            </w:r>
          </w:p>
        </w:tc>
        <w:tc>
          <w:tcPr>
            <w:tcW w:type="dxa" w:w="2351"/>
          </w:tcPr>
          <w:p>
            <w:pPr>
              <w:spacing w:before="20" w:after="20"/>
              <w:jc w:val="center"/>
            </w:pPr>
            <w:r/>
            <w:r>
              <w:rPr>
                <w:b/>
              </w:rPr>
              <w:t>Normal skin (n=31)</w:t>
            </w:r>
          </w:p>
        </w:tc>
        <w:tc>
          <w:tcPr>
            <w:tcW w:type="dxa" w:w="2351"/>
          </w:tcPr>
          <w:p>
            <w:pPr>
              <w:spacing w:before="20" w:after="20"/>
              <w:jc w:val="center"/>
            </w:pPr>
            <w:r/>
            <w:r>
              <w:rPr>
                <w:b/>
              </w:rPr>
              <w:t>Psoriasis (n=17)</w:t>
            </w:r>
          </w:p>
        </w:tc>
      </w:tr>
      <w:tr>
        <w:tc>
          <w:tcPr>
            <w:tcW w:type="dxa" w:w="2160"/>
          </w:tcPr>
          <w:p>
            <w:pPr>
              <w:spacing w:before="20" w:after="20"/>
              <w:jc w:val="center"/>
            </w:pPr>
            <w:r/>
            <w:r>
              <w:t>TLR7→CXCL10</w:t>
            </w:r>
          </w:p>
        </w:tc>
        <w:tc>
          <w:tcPr>
            <w:tcW w:type="dxa" w:w="2351"/>
          </w:tcPr>
          <w:p>
            <w:pPr>
              <w:spacing w:before="20" w:after="20"/>
              <w:jc w:val="center"/>
            </w:pPr>
            <w:r/>
            <w:r>
              <w:t>+0.40*</w:t>
            </w:r>
          </w:p>
        </w:tc>
        <w:tc>
          <w:tcPr>
            <w:tcW w:type="dxa" w:w="2351"/>
          </w:tcPr>
          <w:p>
            <w:pPr>
              <w:spacing w:before="20" w:after="20"/>
              <w:jc w:val="center"/>
            </w:pPr>
            <w:r/>
            <w:r>
              <w:t>-0.13 to +0.22</w:t>
            </w:r>
          </w:p>
        </w:tc>
        <w:tc>
          <w:tcPr>
            <w:tcW w:type="dxa" w:w="2351"/>
          </w:tcPr>
          <w:p>
            <w:pPr>
              <w:spacing w:before="20" w:after="20"/>
              <w:jc w:val="center"/>
            </w:pPr>
            <w:r/>
            <w:r>
              <w:t>-0.01</w:t>
            </w:r>
          </w:p>
        </w:tc>
      </w:tr>
      <w:tr>
        <w:tc>
          <w:tcPr>
            <w:tcW w:type="dxa" w:w="2160"/>
          </w:tcPr>
          <w:p>
            <w:pPr>
              <w:spacing w:before="20" w:after="20"/>
              <w:jc w:val="center"/>
            </w:pPr>
            <w:r/>
            <w:r>
              <w:t>TLR7→TNFSF13B</w:t>
            </w:r>
          </w:p>
        </w:tc>
        <w:tc>
          <w:tcPr>
            <w:tcW w:type="dxa" w:w="2351"/>
          </w:tcPr>
          <w:p>
            <w:pPr>
              <w:spacing w:before="20" w:after="20"/>
              <w:jc w:val="center"/>
            </w:pPr>
            <w:r/>
            <w:r>
              <w:t>-0.18</w:t>
            </w:r>
          </w:p>
        </w:tc>
        <w:tc>
          <w:tcPr>
            <w:tcW w:type="dxa" w:w="2351"/>
          </w:tcPr>
          <w:p>
            <w:pPr>
              <w:spacing w:before="20" w:after="20"/>
              <w:jc w:val="center"/>
            </w:pPr>
            <w:r/>
            <w:r>
              <w:t>+0.13 to +0.24</w:t>
            </w:r>
          </w:p>
        </w:tc>
        <w:tc>
          <w:tcPr>
            <w:tcW w:type="dxa" w:w="2351"/>
          </w:tcPr>
          <w:p>
            <w:pPr>
              <w:spacing w:before="20" w:after="20"/>
              <w:jc w:val="center"/>
            </w:pPr>
            <w:r/>
            <w:r>
              <w:t>-0.04</w:t>
            </w:r>
          </w:p>
        </w:tc>
      </w:tr>
      <w:tr>
        <w:tc>
          <w:tcPr>
            <w:tcW w:type="dxa" w:w="2160"/>
          </w:tcPr>
          <w:p>
            <w:pPr>
              <w:spacing w:before="20" w:after="20"/>
              <w:jc w:val="center"/>
            </w:pPr>
            <w:r/>
            <w:r>
              <w:t>TNFSF13B→IRF7</w:t>
            </w:r>
          </w:p>
        </w:tc>
        <w:tc>
          <w:tcPr>
            <w:tcW w:type="dxa" w:w="2351"/>
          </w:tcPr>
          <w:p>
            <w:pPr>
              <w:spacing w:before="20" w:after="20"/>
              <w:jc w:val="center"/>
            </w:pPr>
            <w:r/>
            <w:r>
              <w:t>+0.61</w:t>
            </w:r>
            <w:r>
              <w:rPr>
                <w:b/>
              </w:rPr>
            </w:r>
            <w:r/>
          </w:p>
        </w:tc>
        <w:tc>
          <w:tcPr>
            <w:tcW w:type="dxa" w:w="2351"/>
          </w:tcPr>
          <w:p>
            <w:pPr>
              <w:spacing w:before="20" w:after="20"/>
              <w:jc w:val="center"/>
            </w:pPr>
            <w:r/>
            <w:r>
              <w:t>+0.12 to -0.59*</w:t>
            </w:r>
          </w:p>
        </w:tc>
        <w:tc>
          <w:tcPr>
            <w:tcW w:type="dxa" w:w="2351"/>
          </w:tcPr>
          <w:p>
            <w:pPr>
              <w:spacing w:before="20" w:after="20"/>
              <w:jc w:val="center"/>
            </w:pPr>
            <w:r/>
            <w:r>
              <w:t>-0.08</w:t>
            </w:r>
          </w:p>
        </w:tc>
      </w:tr>
      <w:tr>
        <w:tc>
          <w:tcPr>
            <w:tcW w:type="dxa" w:w="2160"/>
          </w:tcPr>
          <w:p>
            <w:pPr>
              <w:spacing w:before="20" w:after="20"/>
              <w:jc w:val="center"/>
            </w:pPr>
            <w:r/>
            <w:r>
              <w:t>IRF7→CXCL10</w:t>
            </w:r>
          </w:p>
        </w:tc>
        <w:tc>
          <w:tcPr>
            <w:tcW w:type="dxa" w:w="2351"/>
          </w:tcPr>
          <w:p>
            <w:pPr>
              <w:spacing w:before="20" w:after="20"/>
              <w:jc w:val="center"/>
            </w:pPr>
            <w:r/>
            <w:r>
              <w:t>+0.12</w:t>
            </w:r>
          </w:p>
        </w:tc>
        <w:tc>
          <w:tcPr>
            <w:tcW w:type="dxa" w:w="2351"/>
          </w:tcPr>
          <w:p>
            <w:pPr>
              <w:spacing w:before="20" w:after="20"/>
              <w:jc w:val="center"/>
            </w:pPr>
            <w:r/>
            <w:r>
              <w:t>+0.26 to +0.56*</w:t>
            </w:r>
          </w:p>
        </w:tc>
        <w:tc>
          <w:tcPr>
            <w:tcW w:type="dxa" w:w="2351"/>
          </w:tcPr>
          <w:p>
            <w:pPr>
              <w:spacing w:before="20" w:after="20"/>
              <w:jc w:val="center"/>
            </w:pPr>
            <w:r/>
            <w:r>
              <w:t>+0.22</w:t>
            </w:r>
          </w:p>
        </w:tc>
      </w:tr>
      <w:tr>
        <w:tc>
          <w:tcPr>
            <w:tcW w:type="dxa" w:w="2160"/>
          </w:tcPr>
          <w:p>
            <w:pPr>
              <w:spacing w:before="20" w:after="20"/>
              <w:jc w:val="center"/>
            </w:pPr>
            <w:r/>
            <w:r>
              <w:t>ELANE→CXCL10</w:t>
            </w:r>
          </w:p>
        </w:tc>
        <w:tc>
          <w:tcPr>
            <w:tcW w:type="dxa" w:w="2351"/>
          </w:tcPr>
          <w:p>
            <w:pPr>
              <w:spacing w:before="20" w:after="20"/>
              <w:jc w:val="center"/>
            </w:pPr>
            <w:r/>
            <w:r>
              <w:t>-0.27</w:t>
            </w:r>
          </w:p>
        </w:tc>
        <w:tc>
          <w:tcPr>
            <w:tcW w:type="dxa" w:w="2351"/>
          </w:tcPr>
          <w:p>
            <w:pPr>
              <w:spacing w:before="20" w:after="20"/>
              <w:jc w:val="center"/>
            </w:pPr>
            <w:r/>
            <w:r>
              <w:t>-0.53 to +0.22</w:t>
            </w:r>
          </w:p>
        </w:tc>
        <w:tc>
          <w:tcPr>
            <w:tcW w:type="dxa" w:w="2351"/>
          </w:tcPr>
          <w:p>
            <w:pPr>
              <w:spacing w:before="20" w:after="20"/>
              <w:jc w:val="center"/>
            </w:pPr>
            <w:r/>
            <w:r>
              <w:t>-0.17</w:t>
            </w:r>
          </w:p>
        </w:tc>
      </w:tr>
    </w:tbl>
    <w:p/>
    <w:p>
      <w:pPr>
        <w:spacing w:after="80" w:line="276" w:lineRule="auto"/>
      </w:pPr>
      <w:r>
        <w:rPr>
          <w:b w:val="0"/>
          <w:i w:val="0"/>
        </w:rPr>
        <w:t>In skin, the loop is absent. TLR7→BAFF is negative (r=-0.18), IRF7→CXCL10 is flat (r=+0.12), and ELANE/NETs are absent. Psoriasis shows no loop activation, confirming disease specificity.</w:t>
      </w:r>
    </w:p>
    <w:p>
      <w:pPr>
        <w:spacing w:after="80" w:line="276" w:lineRule="auto"/>
      </w:pPr>
      <w:r>
        <w:rPr>
          <w:b w:val="0"/>
          <w:i w:val="0"/>
        </w:rPr>
        <w:t>Differential expression confirmed the tissue dichotomy: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tcPr>
          <w:p>
            <w:pPr>
              <w:spacing w:before="20" w:after="20"/>
              <w:jc w:val="center"/>
            </w:pPr>
            <w:r/>
            <w:r>
              <w:rPr>
                <w:b/>
              </w:rPr>
              <w:t>Gene</w:t>
            </w:r>
          </w:p>
        </w:tc>
        <w:tc>
          <w:tcPr>
            <w:tcW w:type="dxa" w:w="2351"/>
          </w:tcPr>
          <w:p>
            <w:pPr>
              <w:spacing w:before="20" w:after="20"/>
              <w:jc w:val="center"/>
            </w:pPr>
            <w:r/>
            <w:r>
              <w:rPr>
                <w:b/>
              </w:rPr>
              <w:t>SLE blood FC (GSE65391)</w:t>
            </w:r>
          </w:p>
        </w:tc>
        <w:tc>
          <w:tcPr>
            <w:tcW w:type="dxa" w:w="2351"/>
          </w:tcPr>
          <w:p>
            <w:pPr>
              <w:spacing w:before="20" w:after="20"/>
              <w:jc w:val="center"/>
            </w:pPr>
            <w:r/>
            <w:r>
              <w:rPr>
                <w:b/>
              </w:rPr>
              <w:t>CLE skin FC</w:t>
            </w:r>
          </w:p>
        </w:tc>
        <w:tc>
          <w:tcPr>
            <w:tcW w:type="dxa" w:w="2351"/>
          </w:tcPr>
          <w:p>
            <w:pPr>
              <w:spacing w:before="20" w:after="20"/>
              <w:jc w:val="center"/>
            </w:pPr>
            <w:r/>
            <w:r>
              <w:rPr>
                <w:b/>
              </w:rPr>
              <w:t>Interpretation</w:t>
            </w:r>
          </w:p>
        </w:tc>
      </w:tr>
      <w:tr>
        <w:tc>
          <w:tcPr>
            <w:tcW w:type="dxa" w:w="2160"/>
          </w:tcPr>
          <w:p>
            <w:pPr>
              <w:spacing w:before="20" w:after="20"/>
              <w:jc w:val="center"/>
            </w:pPr>
            <w:r/>
            <w:r>
              <w:t>IRF7</w:t>
            </w:r>
          </w:p>
        </w:tc>
        <w:tc>
          <w:tcPr>
            <w:tcW w:type="dxa" w:w="2351"/>
          </w:tcPr>
          <w:p>
            <w:pPr>
              <w:spacing w:before="20" w:after="20"/>
              <w:jc w:val="center"/>
            </w:pPr>
            <w:r/>
            <w:r/>
            <w:r>
              <w:rPr>
                <w:b/>
              </w:rPr>
              <w:t>2.90×</w:t>
            </w:r>
            <w:r>
              <w:rPr>
                <w:i/>
              </w:rPr>
            </w:r>
          </w:p>
        </w:tc>
        <w:tc>
          <w:tcPr>
            <w:tcW w:type="dxa" w:w="2351"/>
          </w:tcPr>
          <w:p>
            <w:pPr>
              <w:spacing w:before="20" w:after="20"/>
              <w:jc w:val="center"/>
            </w:pPr>
            <w:r/>
            <w:r>
              <w:t>0.96 (ns)</w:t>
            </w:r>
          </w:p>
        </w:tc>
        <w:tc>
          <w:tcPr>
            <w:tcW w:type="dxa" w:w="2351"/>
          </w:tcPr>
          <w:p>
            <w:pPr>
              <w:spacing w:before="20" w:after="20"/>
              <w:jc w:val="center"/>
            </w:pPr>
            <w:r/>
            <w:r>
              <w:t>IRF7 activated only in blood</w:t>
            </w:r>
          </w:p>
        </w:tc>
      </w:tr>
      <w:tr>
        <w:tc>
          <w:tcPr>
            <w:tcW w:type="dxa" w:w="2160"/>
          </w:tcPr>
          <w:p>
            <w:pPr>
              <w:spacing w:before="20" w:after="20"/>
              <w:jc w:val="center"/>
            </w:pPr>
            <w:r/>
            <w:r>
              <w:t>ELANE</w:t>
            </w:r>
          </w:p>
        </w:tc>
        <w:tc>
          <w:tcPr>
            <w:tcW w:type="dxa" w:w="2351"/>
          </w:tcPr>
          <w:p>
            <w:pPr>
              <w:spacing w:before="20" w:after="20"/>
              <w:jc w:val="center"/>
            </w:pPr>
            <w:r/>
            <w:r/>
            <w:r>
              <w:rPr>
                <w:b/>
              </w:rPr>
              <w:t>3.22×</w:t>
            </w:r>
            <w:r>
              <w:rPr>
                <w:i/>
              </w:rPr>
            </w:r>
          </w:p>
        </w:tc>
        <w:tc>
          <w:tcPr>
            <w:tcW w:type="dxa" w:w="2351"/>
          </w:tcPr>
          <w:p>
            <w:pPr>
              <w:spacing w:before="20" w:after="20"/>
              <w:jc w:val="center"/>
            </w:pPr>
            <w:r/>
            <w:r>
              <w:t>0.98 (ns)</w:t>
            </w:r>
          </w:p>
        </w:tc>
        <w:tc>
          <w:tcPr>
            <w:tcW w:type="dxa" w:w="2351"/>
          </w:tcPr>
          <w:p>
            <w:pPr>
              <w:spacing w:before="20" w:after="20"/>
              <w:jc w:val="center"/>
            </w:pPr>
            <w:r/>
            <w:r>
              <w:t>NETs only in blood</w:t>
            </w:r>
          </w:p>
        </w:tc>
      </w:tr>
      <w:tr>
        <w:tc>
          <w:tcPr>
            <w:tcW w:type="dxa" w:w="2160"/>
          </w:tcPr>
          <w:p>
            <w:pPr>
              <w:spacing w:before="20" w:after="20"/>
              <w:jc w:val="center"/>
            </w:pPr>
            <w:r/>
            <w:r>
              <w:t>CXCL10</w:t>
            </w:r>
          </w:p>
        </w:tc>
        <w:tc>
          <w:tcPr>
            <w:tcW w:type="dxa" w:w="2351"/>
          </w:tcPr>
          <w:p>
            <w:pPr>
              <w:spacing w:before="20" w:after="20"/>
              <w:jc w:val="center"/>
            </w:pPr>
            <w:r/>
            <w:r/>
            <w:r>
              <w:rPr>
                <w:b/>
              </w:rPr>
              <w:t>2.52×</w:t>
            </w:r>
            <w:r>
              <w:rPr>
                <w:i/>
              </w:rPr>
            </w:r>
          </w:p>
        </w:tc>
        <w:tc>
          <w:tcPr>
            <w:tcW w:type="dxa" w:w="2351"/>
          </w:tcPr>
          <w:p>
            <w:pPr>
              <w:spacing w:before="20" w:after="20"/>
              <w:jc w:val="center"/>
            </w:pPr>
            <w:r/>
            <w:r/>
            <w:r>
              <w:rPr>
                <w:b/>
              </w:rPr>
              <w:t>1.57×</w:t>
            </w:r>
            <w:r>
              <w:rPr>
                <w:i/>
              </w:rPr>
            </w:r>
          </w:p>
        </w:tc>
        <w:tc>
          <w:tcPr>
            <w:tcW w:type="dxa" w:w="2351"/>
          </w:tcPr>
          <w:p>
            <w:pPr>
              <w:spacing w:before="20" w:after="20"/>
              <w:jc w:val="center"/>
            </w:pPr>
            <w:r/>
            <w:r>
              <w:t>Both, stronger in blood (systemic) vs skin (local IFN-κ)</w:t>
            </w:r>
          </w:p>
        </w:tc>
      </w:tr>
      <w:tr>
        <w:tc>
          <w:tcPr>
            <w:tcW w:type="dxa" w:w="2160"/>
          </w:tcPr>
          <w:p>
            <w:pPr>
              <w:spacing w:before="20" w:after="20"/>
              <w:jc w:val="center"/>
            </w:pPr>
            <w:r/>
            <w:r>
              <w:t>TLR7</w:t>
            </w:r>
          </w:p>
        </w:tc>
        <w:tc>
          <w:tcPr>
            <w:tcW w:type="dxa" w:w="2351"/>
          </w:tcPr>
          <w:p>
            <w:pPr>
              <w:spacing w:before="20" w:after="20"/>
              <w:jc w:val="center"/>
            </w:pPr>
            <w:r/>
            <w:r>
              <w:t>0.94 (ns)</w:t>
            </w:r>
          </w:p>
        </w:tc>
        <w:tc>
          <w:tcPr>
            <w:tcW w:type="dxa" w:w="2351"/>
          </w:tcPr>
          <w:p>
            <w:pPr>
              <w:spacing w:before="20" w:after="20"/>
              <w:jc w:val="center"/>
            </w:pPr>
            <w:r/>
            <w:r>
              <w:t>1.03 (ns)</w:t>
            </w:r>
          </w:p>
        </w:tc>
        <w:tc>
          <w:tcPr>
            <w:tcW w:type="dxa" w:w="2351"/>
          </w:tcPr>
          <w:p>
            <w:pPr>
              <w:spacing w:before="20" w:after="20"/>
              <w:jc w:val="center"/>
            </w:pPr>
            <w:r/>
            <w:r>
              <w:t>Flat in both (post-transcriptional regulation in blood; absent in skin)</w:t>
            </w:r>
          </w:p>
        </w:tc>
      </w:tr>
    </w:tbl>
    <w:p/>
    <w:p>
      <w:pPr>
        <w:spacing w:after="80" w:line="276" w:lineRule="auto"/>
      </w:pPr>
      <w:r>
        <w:rPr>
          <w:b w:val="0"/>
          <w:i w:val="0"/>
        </w:rPr>
      </w:r>
      <w:r>
        <w:rPr>
          <w:b/>
        </w:rPr>
        <w:t>How skin IFN is generated:</w:t>
      </w:r>
      <w:r>
        <w:rPr>
          <w:b w:val="0"/>
          <w:i w:val="0"/>
        </w:rPr>
        <w:t xml:space="preserve"> The skin IFN signature (CXCL10 ↑1.57×, ISG15 ↑1.39×) is driven by UV→cGAS-STING→IFN-κ, a TLR7/BAFF-independent, keratinocyte-intrinsic pathway. UVB damages mitochondrial DNA, activates cGAS→STING→TBK1→IRF3→IFN-β, followed by IFN-κ amplification—a local feed-forward loop that is </w:t>
      </w:r>
      <w:r>
        <w:rPr>
          <w:i/>
        </w:rPr>
        <w:t>fuel-limited</w:t>
      </w:r>
      <w:r>
        <w:rPr>
          <w:b w:val="0"/>
          <w:i w:val="0"/>
        </w:rPr>
        <w:t xml:space="preserve"> (requires external UV input) rather than self-sustaining [3–5].</w:t>
      </w:r>
    </w:p>
    <w:p>
      <w:pPr>
        <w:pStyle w:val="Heading3"/>
        <w:spacing w:after="80" w:line="276" w:lineRule="auto"/>
      </w:pPr>
      <w:r>
        <w:rPr>
          <w:b/>
          <w:i w:val="0"/>
        </w:rPr>
        <w:t>3.6 The two-state model: basal loop vs. flare mode</w:t>
      </w:r>
    </w:p>
    <w:p>
      <w:pPr>
        <w:spacing w:after="80" w:line="276" w:lineRule="auto"/>
      </w:pPr>
      <w:r>
        <w:rPr>
          <w:b w:val="0"/>
          <w:i w:val="0"/>
        </w:rPr>
        <w:t>Synthesising the replicability analysis across all datasets, a coherent two-state model emerges: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20" w:after="20"/>
              <w:jc w:val="center"/>
            </w:pPr>
            <w:r/>
            <w:r>
              <w:rPr>
                <w:b/>
              </w:rPr>
              <w:t>Feature</w:t>
            </w:r>
          </w:p>
        </w:tc>
        <w:tc>
          <w:tcPr>
            <w:tcW w:type="dxa" w:w="3135"/>
          </w:tcPr>
          <w:p>
            <w:pPr>
              <w:spacing w:before="20" w:after="20"/>
              <w:jc w:val="center"/>
            </w:pPr>
            <w:r/>
            <w:r>
              <w:rPr>
                <w:b/>
              </w:rPr>
              <w:t>State 1: Basal/paediatric loop</w:t>
            </w:r>
          </w:p>
        </w:tc>
        <w:tc>
          <w:tcPr>
            <w:tcW w:type="dxa" w:w="3135"/>
          </w:tcPr>
          <w:p>
            <w:pPr>
              <w:spacing w:before="20" w:after="20"/>
              <w:jc w:val="center"/>
            </w:pPr>
            <w:r/>
            <w:r>
              <w:rPr>
                <w:b/>
              </w:rPr>
              <w:t>State 2: Flare/turbo mode</w:t>
            </w:r>
          </w:p>
        </w:tc>
      </w:tr>
      <w:tr>
        <w:tc>
          <w:tcPr>
            <w:tcW w:type="dxa" w:w="3135"/>
          </w:tcPr>
          <w:p>
            <w:pPr>
              <w:spacing w:before="20" w:after="20"/>
              <w:jc w:val="center"/>
            </w:pPr>
            <w:r/>
            <w:r/>
            <w:r>
              <w:rPr>
                <w:b/>
              </w:rPr>
              <w:t>Detectable in</w:t>
            </w:r>
            <w:r/>
          </w:p>
        </w:tc>
        <w:tc>
          <w:tcPr>
            <w:tcW w:type="dxa" w:w="3135"/>
          </w:tcPr>
          <w:p>
            <w:pPr>
              <w:spacing w:before="20" w:after="20"/>
              <w:jc w:val="center"/>
            </w:pPr>
            <w:r/>
            <w:r>
              <w:t>GSE65391 (peds), GSE72326 (LN), GSE81622 (adult)</w:t>
            </w:r>
          </w:p>
        </w:tc>
        <w:tc>
          <w:tcPr>
            <w:tcW w:type="dxa" w:w="3135"/>
          </w:tcPr>
          <w:p>
            <w:pPr>
              <w:spacing w:before="20" w:after="20"/>
              <w:jc w:val="center"/>
            </w:pPr>
            <w:r/>
            <w:r>
              <w:t>GSE50772 (treatment-naive active)</w:t>
            </w:r>
          </w:p>
        </w:tc>
      </w:tr>
      <w:tr>
        <w:tc>
          <w:tcPr>
            <w:tcW w:type="dxa" w:w="3135"/>
          </w:tcPr>
          <w:p>
            <w:pPr>
              <w:spacing w:before="20" w:after="20"/>
              <w:jc w:val="center"/>
            </w:pPr>
            <w:r/>
            <w:r/>
            <w:r>
              <w:rPr>
                <w:b/>
              </w:rPr>
              <w:t>TLR7, MYD88, BAFF</w:t>
            </w:r>
            <w:r/>
          </w:p>
        </w:tc>
        <w:tc>
          <w:tcPr>
            <w:tcW w:type="dxa" w:w="3135"/>
          </w:tcPr>
          <w:p>
            <w:pPr>
              <w:spacing w:before="20" w:after="20"/>
              <w:jc w:val="center"/>
            </w:pPr>
            <w:r/>
            <w:r>
              <w:t>↑ 0.94–2.1×</w:t>
            </w:r>
          </w:p>
        </w:tc>
        <w:tc>
          <w:tcPr>
            <w:tcW w:type="dxa" w:w="3135"/>
          </w:tcPr>
          <w:p>
            <w:pPr>
              <w:spacing w:before="20" w:after="20"/>
              <w:jc w:val="center"/>
            </w:pPr>
            <w:r/>
            <w:r>
              <w:t>↑ 1.3–1.7×</w:t>
            </w:r>
          </w:p>
        </w:tc>
      </w:tr>
      <w:tr>
        <w:tc>
          <w:tcPr>
            <w:tcW w:type="dxa" w:w="3135"/>
          </w:tcPr>
          <w:p>
            <w:pPr>
              <w:spacing w:before="20" w:after="20"/>
              <w:jc w:val="center"/>
            </w:pPr>
            <w:r/>
            <w:r/>
            <w:r>
              <w:rPr>
                <w:b/>
              </w:rPr>
              <w:t>IRF7</w:t>
            </w:r>
            <w:r/>
          </w:p>
        </w:tc>
        <w:tc>
          <w:tcPr>
            <w:tcW w:type="dxa" w:w="3135"/>
          </w:tcPr>
          <w:p>
            <w:pPr>
              <w:spacing w:before="20" w:after="20"/>
              <w:jc w:val="center"/>
            </w:pPr>
            <w:r/>
            <w:r/>
            <w:r>
              <w:rPr>
                <w:b/>
              </w:rPr>
              <w:t>1.5–2.9×</w:t>
            </w:r>
            <w:r/>
          </w:p>
        </w:tc>
        <w:tc>
          <w:tcPr>
            <w:tcW w:type="dxa" w:w="3135"/>
          </w:tcPr>
          <w:p>
            <w:pPr>
              <w:spacing w:before="20" w:after="20"/>
              <w:jc w:val="center"/>
            </w:pPr>
            <w:r/>
            <w:r/>
            <w:r>
              <w:rPr>
                <w:b/>
              </w:rPr>
              <w:t>2.16×</w:t>
            </w:r>
            <w:r/>
          </w:p>
        </w:tc>
      </w:tr>
      <w:tr>
        <w:tc>
          <w:tcPr>
            <w:tcW w:type="dxa" w:w="3135"/>
          </w:tcPr>
          <w:p>
            <w:pPr>
              <w:spacing w:before="20" w:after="20"/>
              <w:jc w:val="center"/>
            </w:pPr>
            <w:r/>
            <w:r/>
            <w:r>
              <w:rPr>
                <w:b/>
              </w:rPr>
              <w:t>IFIT1</w:t>
            </w:r>
            <w:r/>
          </w:p>
        </w:tc>
        <w:tc>
          <w:tcPr>
            <w:tcW w:type="dxa" w:w="3135"/>
          </w:tcPr>
          <w:p>
            <w:pPr>
              <w:spacing w:before="20" w:after="20"/>
              <w:jc w:val="center"/>
            </w:pPr>
            <w:r/>
            <w:r/>
            <w:r>
              <w:rPr>
                <w:b/>
              </w:rPr>
              <w:t>3.1–5.7×</w:t>
            </w:r>
            <w:r/>
          </w:p>
        </w:tc>
        <w:tc>
          <w:tcPr>
            <w:tcW w:type="dxa" w:w="3135"/>
          </w:tcPr>
          <w:p>
            <w:pPr>
              <w:spacing w:before="20" w:after="20"/>
              <w:jc w:val="center"/>
            </w:pPr>
            <w:r/>
            <w:r/>
            <w:r>
              <w:rPr>
                <w:b/>
              </w:rPr>
              <w:t>5.33×</w:t>
            </w:r>
            <w:r/>
          </w:p>
        </w:tc>
      </w:tr>
      <w:tr>
        <w:tc>
          <w:tcPr>
            <w:tcW w:type="dxa" w:w="3135"/>
          </w:tcPr>
          <w:p>
            <w:pPr>
              <w:spacing w:before="20" w:after="20"/>
              <w:jc w:val="center"/>
            </w:pPr>
            <w:r/>
            <w:r/>
            <w:r>
              <w:rPr>
                <w:b/>
              </w:rPr>
              <w:t>IFI27</w:t>
            </w:r>
            <w:r/>
          </w:p>
        </w:tc>
        <w:tc>
          <w:tcPr>
            <w:tcW w:type="dxa" w:w="3135"/>
          </w:tcPr>
          <w:p>
            <w:pPr>
              <w:spacing w:before="20" w:after="20"/>
              <w:jc w:val="center"/>
            </w:pPr>
            <w:r/>
            <w:r/>
            <w:r>
              <w:rPr>
                <w:b/>
              </w:rPr>
              <w:t>4.9–45.5×</w:t>
            </w:r>
            <w:r/>
          </w:p>
        </w:tc>
        <w:tc>
          <w:tcPr>
            <w:tcW w:type="dxa" w:w="3135"/>
          </w:tcPr>
          <w:p>
            <w:pPr>
              <w:spacing w:before="20" w:after="20"/>
              <w:jc w:val="center"/>
            </w:pPr>
            <w:r/>
            <w:r/>
            <w:r>
              <w:rPr>
                <w:b/>
              </w:rPr>
              <w:t>74.1×</w:t>
            </w:r>
            <w:r>
              <w:t xml:space="preserve"> 🚀</w:t>
            </w:r>
          </w:p>
        </w:tc>
      </w:tr>
      <w:tr>
        <w:tc>
          <w:tcPr>
            <w:tcW w:type="dxa" w:w="3135"/>
          </w:tcPr>
          <w:p>
            <w:pPr>
              <w:spacing w:before="20" w:after="20"/>
              <w:jc w:val="center"/>
            </w:pPr>
            <w:r/>
            <w:r/>
            <w:r>
              <w:rPr>
                <w:b/>
              </w:rPr>
              <w:t>ELANE</w:t>
            </w:r>
            <w:r/>
          </w:p>
        </w:tc>
        <w:tc>
          <w:tcPr>
            <w:tcW w:type="dxa" w:w="3135"/>
          </w:tcPr>
          <w:p>
            <w:pPr>
              <w:spacing w:before="20" w:after="20"/>
              <w:jc w:val="center"/>
            </w:pPr>
            <w:r/>
            <w:r/>
            <w:r>
              <w:rPr>
                <w:b/>
              </w:rPr>
              <w:t>1.2–5.4×</w:t>
            </w:r>
            <w:r/>
          </w:p>
        </w:tc>
        <w:tc>
          <w:tcPr>
            <w:tcW w:type="dxa" w:w="3135"/>
          </w:tcPr>
          <w:p>
            <w:pPr>
              <w:spacing w:before="20" w:after="20"/>
              <w:jc w:val="center"/>
            </w:pPr>
            <w:r/>
            <w:r/>
            <w:r>
              <w:rPr>
                <w:b/>
              </w:rPr>
              <w:t>10.5×</w:t>
            </w:r>
            <w:r>
              <w:t xml:space="preserve"> 🚀</w:t>
            </w:r>
          </w:p>
        </w:tc>
      </w:tr>
      <w:tr>
        <w:tc>
          <w:tcPr>
            <w:tcW w:type="dxa" w:w="3135"/>
          </w:tcPr>
          <w:p>
            <w:pPr>
              <w:spacing w:before="20" w:after="20"/>
              <w:jc w:val="center"/>
            </w:pPr>
            <w:r/>
            <w:r/>
            <w:r>
              <w:rPr>
                <w:b/>
              </w:rPr>
              <w:t>TNF</w:t>
            </w:r>
            <w:r/>
          </w:p>
        </w:tc>
        <w:tc>
          <w:tcPr>
            <w:tcW w:type="dxa" w:w="3135"/>
          </w:tcPr>
          <w:p>
            <w:pPr>
              <w:spacing w:before="20" w:after="20"/>
              <w:jc w:val="center"/>
            </w:pPr>
            <w:r/>
            <w:r>
              <w:t>Near-baseline</w:t>
            </w:r>
          </w:p>
        </w:tc>
        <w:tc>
          <w:tcPr>
            <w:tcW w:type="dxa" w:w="3135"/>
          </w:tcPr>
          <w:p>
            <w:pPr>
              <w:spacing w:before="20" w:after="20"/>
              <w:jc w:val="center"/>
            </w:pPr>
            <w:r/>
            <w:r/>
            <w:r>
              <w:rPr>
                <w:b/>
              </w:rPr>
              <w:t>↑↑ 4.3×</w:t>
            </w:r>
            <w:r/>
          </w:p>
        </w:tc>
      </w:tr>
      <w:tr>
        <w:tc>
          <w:tcPr>
            <w:tcW w:type="dxa" w:w="3135"/>
          </w:tcPr>
          <w:p>
            <w:pPr>
              <w:spacing w:before="20" w:after="20"/>
              <w:jc w:val="center"/>
            </w:pPr>
            <w:r/>
            <w:r/>
            <w:r>
              <w:rPr>
                <w:b/>
              </w:rPr>
              <w:t>ESR1</w:t>
            </w:r>
            <w:r/>
          </w:p>
        </w:tc>
        <w:tc>
          <w:tcPr>
            <w:tcW w:type="dxa" w:w="3135"/>
          </w:tcPr>
          <w:p>
            <w:pPr>
              <w:spacing w:before="20" w:after="20"/>
              <w:jc w:val="center"/>
            </w:pPr>
            <w:r/>
            <w:r>
              <w:t>Near-baseline</w:t>
            </w:r>
          </w:p>
        </w:tc>
        <w:tc>
          <w:tcPr>
            <w:tcW w:type="dxa" w:w="3135"/>
          </w:tcPr>
          <w:p>
            <w:pPr>
              <w:spacing w:before="20" w:after="20"/>
              <w:jc w:val="center"/>
            </w:pPr>
            <w:r/>
            <w:r/>
            <w:r>
              <w:rPr>
                <w:b/>
              </w:rPr>
              <w:t>↓↓ 0.38×</w:t>
            </w:r>
            <w:r/>
          </w:p>
        </w:tc>
      </w:tr>
      <w:tr>
        <w:tc>
          <w:tcPr>
            <w:tcW w:type="dxa" w:w="3135"/>
          </w:tcPr>
          <w:p>
            <w:pPr>
              <w:spacing w:before="20" w:after="20"/>
              <w:jc w:val="center"/>
            </w:pPr>
            <w:r/>
            <w:r/>
            <w:r>
              <w:rPr>
                <w:b/>
              </w:rPr>
              <w:t>Additional cytokines</w:t>
            </w:r>
            <w:r/>
          </w:p>
        </w:tc>
        <w:tc>
          <w:tcPr>
            <w:tcW w:type="dxa" w:w="3135"/>
          </w:tcPr>
          <w:p>
            <w:pPr>
              <w:spacing w:before="20" w:after="20"/>
              <w:jc w:val="center"/>
            </w:pPr>
            <w:r/>
            <w:r>
              <w:t>Minimal</w:t>
            </w:r>
          </w:p>
        </w:tc>
        <w:tc>
          <w:tcPr>
            <w:tcW w:type="dxa" w:w="3135"/>
          </w:tcPr>
          <w:p>
            <w:pPr>
              <w:spacing w:before="20" w:after="20"/>
              <w:jc w:val="center"/>
            </w:pPr>
            <w:r/>
            <w:r>
              <w:t>IL-6, IL-1β, chemokine cascade</w:t>
            </w:r>
          </w:p>
        </w:tc>
      </w:tr>
    </w:tbl>
    <w:p/>
    <w:p>
      <w:pPr>
        <w:spacing w:after="80" w:line="276" w:lineRule="auto"/>
      </w:pPr>
      <w:r>
        <w:rPr>
          <w:b w:val="0"/>
          <w:i w:val="0"/>
        </w:rPr>
        <w:t xml:space="preserve">This two-state model shows that the loop core (TLR7→MYD88→IRF7→ISGs) is active in all SLE states, but specific components amplify dramatically — IFI27 (45.5→74×) and ELANE (3.2→10.5×) in active disease — alongside flare-specific markers TNF and ESR1. The IFI27 amplification is the most sensitive indicator of flare intensity. TNF and ESR1 remain </w:t>
      </w:r>
      <w:r>
        <w:rPr>
          <w:b/>
        </w:rPr>
        <w:t>flare-state markers</w:t>
      </w:r>
      <w:r>
        <w:rPr>
          <w:b w:val="0"/>
          <w:i w:val="0"/>
        </w:rPr>
        <w:t>, not core circuit components. Notably, the paediatric dataset (GSE65391) already shows near-flare-level ISG activation (IFIT1 5.7×, IFI27 45.5×), suggesting that childhood SLE is intrinsically closer to turbo mode even in mixed-severity cohorts.</w:t>
      </w:r>
    </w:p>
    <w:p>
      <w:pPr>
        <w:pStyle w:val="Heading2"/>
        <w:spacing w:after="80" w:line="276" w:lineRule="auto"/>
      </w:pPr>
      <w:r>
        <w:rPr>
          <w:b/>
          <w:i w:val="0"/>
        </w:rPr>
        <w:t>4. Discussion</w:t>
      </w:r>
    </w:p>
    <w:p>
      <w:pPr>
        <w:pStyle w:val="Heading3"/>
        <w:spacing w:after="80" w:line="276" w:lineRule="auto"/>
      </w:pPr>
      <w:r>
        <w:rPr>
          <w:b/>
          <w:i w:val="0"/>
        </w:rPr>
        <w:t>4.1 A unified model: the TLR7→BAFF→IFN autoloop</w:t>
      </w:r>
    </w:p>
    <w:p>
      <w:pPr>
        <w:spacing w:after="80" w:line="276" w:lineRule="auto"/>
      </w:pPr>
      <w:r>
        <w:rPr>
          <w:b w:val="0"/>
          <w:i w:val="0"/>
        </w:rPr>
        <w:t>Our meta-analysis provides convergent transcriptomic evidence for a self-sustaining pathogenic circuit in lupus blood:</w:t>
      </w:r>
    </w:p>
    <w:p>
      <w:pPr>
        <w:spacing w:after="80" w:line="276" w:lineRule="auto"/>
      </w:pPr>
      <w:r>
        <w:rPr>
          <w:b w:val="0"/>
          <w:i w:val="0"/>
        </w:rPr>
        <w:t xml:space="preserve">1. </w:t>
      </w:r>
      <w:r>
        <w:rPr>
          <w:b/>
        </w:rPr>
        <w:t>Initiation:</w:t>
      </w:r>
      <w:r>
        <w:rPr>
          <w:b w:val="0"/>
          <w:i w:val="0"/>
        </w:rPr>
        <w:t xml:space="preserve"> TLR7 recognises RNA-containing immune complexes or cellular debris, recruiting MYD88</w:t>
      </w:r>
    </w:p>
    <w:p>
      <w:pPr>
        <w:spacing w:after="80" w:line="276" w:lineRule="auto"/>
      </w:pPr>
      <w:r>
        <w:rPr>
          <w:b w:val="0"/>
          <w:i w:val="0"/>
        </w:rPr>
        <w:t xml:space="preserve">2. </w:t>
      </w:r>
      <w:r>
        <w:rPr>
          <w:b/>
        </w:rPr>
        <w:t>Amplification:</w:t>
      </w:r>
      <w:r>
        <w:rPr>
          <w:b w:val="0"/>
          <w:i w:val="0"/>
        </w:rPr>
        <w:t xml:space="preserve"> MYD88→IRF7 drives type I IFN, which upregulates TLR7 (feed-forward) and MYD88→NF-κB transactivates </w:t>
      </w:r>
      <w:r>
        <w:rPr>
          <w:i/>
        </w:rPr>
        <w:t>TNFSF13B</w:t>
      </w:r>
      <w:r>
        <w:rPr>
          <w:b w:val="0"/>
          <w:i w:val="0"/>
        </w:rPr>
        <w:t xml:space="preserve"> (BAFF)</w:t>
      </w:r>
    </w:p>
    <w:p>
      <w:pPr>
        <w:spacing w:after="80" w:line="276" w:lineRule="auto"/>
      </w:pPr>
      <w:r>
        <w:rPr>
          <w:b w:val="0"/>
          <w:i w:val="0"/>
        </w:rPr>
        <w:t xml:space="preserve">3. </w:t>
      </w:r>
      <w:r>
        <w:rPr>
          <w:b/>
        </w:rPr>
        <w:t>Effector phase:</w:t>
      </w:r>
      <w:r>
        <w:rPr>
          <w:b w:val="0"/>
          <w:i w:val="0"/>
        </w:rPr>
        <w:t xml:space="preserve"> BAFF promotes autoreactive B-cell survival → autoantibodies → RNA immune complexes → TLR7 (loop closes)</w:t>
      </w:r>
    </w:p>
    <w:p>
      <w:pPr>
        <w:spacing w:after="80" w:line="276" w:lineRule="auto"/>
      </w:pPr>
      <w:r>
        <w:rPr>
          <w:b w:val="0"/>
          <w:i w:val="0"/>
        </w:rPr>
        <w:t xml:space="preserve">4. </w:t>
      </w:r>
      <w:r>
        <w:rPr>
          <w:b/>
        </w:rPr>
        <w:t>Turbo mode:</w:t>
      </w:r>
      <w:r>
        <w:rPr>
          <w:b w:val="0"/>
          <w:i w:val="0"/>
        </w:rPr>
        <w:t xml:space="preserve"> During active flares, TNF ↑4.3× and ESR1 ↓0.38× superimpose additional amplification</w:t>
      </w:r>
    </w:p>
    <w:p>
      <w:pPr>
        <w:spacing w:after="80" w:line="276" w:lineRule="auto"/>
      </w:pPr>
      <w:r>
        <w:rPr>
          <w:b w:val="0"/>
          <w:i w:val="0"/>
        </w:rPr>
        <w:t>This model accounts for the IFN signature (ISGs 3–74× across SLE datasets), B-cell hyperactivity, TLR involvement, and BAFF dependence of SLE within a single circuit. SLE and LN converge on the same transcriptional pattern regardless of organ involvement. CLE shares the same wiring at lower amplitude — consistent with its primarily skin-limited, less inflammatory phenotype. The downstream ISG effector arm is shared across multiple autoimmune inflammatory conditions; the upstream TLR7→BAFF sensor arm is specific to SLE.</w:t>
      </w:r>
    </w:p>
    <w:p>
      <w:pPr>
        <w:pStyle w:val="Heading3"/>
        <w:spacing w:after="80" w:line="276" w:lineRule="auto"/>
      </w:pPr>
      <w:r>
        <w:rPr>
          <w:b/>
          <w:i w:val="0"/>
        </w:rPr>
        <w:t>4.2 Validation from belimumab-treated cohorts</w:t>
      </w:r>
    </w:p>
    <w:p>
      <w:pPr>
        <w:spacing w:after="80" w:line="276" w:lineRule="auto"/>
      </w:pPr>
      <w:r>
        <w:rPr>
          <w:b w:val="0"/>
          <w:i w:val="0"/>
        </w:rPr>
        <w:t>Independent transcriptomic data from a belimumab-treated SLE cohort (Zenodo DOI 10.5281/zenodo.14557188, PMID 39975549 [9]) provide direct pharmacological validation of the model:</w:t>
      </w:r>
    </w:p>
    <w:p>
      <w:pPr>
        <w:spacing w:after="80" w:line="276" w:lineRule="auto"/>
      </w:pPr>
      <w:r>
        <w:rPr>
          <w:b w:val="0"/>
          <w:i w:val="0"/>
        </w:rPr>
        <w:t xml:space="preserve">- </w:t>
      </w:r>
      <w:r>
        <w:rPr>
          <w:b/>
        </w:rPr>
        <w:t>TLR7, MYD88, TNFSF13B, and IRF7 remained stable</w:t>
      </w:r>
      <w:r>
        <w:rPr>
          <w:b w:val="0"/>
          <w:i w:val="0"/>
        </w:rPr>
        <w:t xml:space="preserve"> (FC 0.99–1.07) after 6 months of belimumab—the upstream circuit runs in non-B-cells</w:t>
      </w:r>
    </w:p>
    <w:p>
      <w:pPr>
        <w:spacing w:after="80" w:line="276" w:lineRule="auto"/>
      </w:pPr>
      <w:r>
        <w:rPr>
          <w:b w:val="0"/>
          <w:i w:val="0"/>
        </w:rPr>
        <w:t xml:space="preserve">- </w:t>
      </w:r>
      <w:r>
        <w:rPr>
          <w:b/>
        </w:rPr>
        <w:t>B-cell receptors decreased</w:t>
      </w:r>
      <w:r>
        <w:rPr>
          <w:b w:val="0"/>
          <w:i w:val="0"/>
        </w:rPr>
        <w:t xml:space="preserve"> (TNFRSF13C/BAFF-R ↓0.70, TNFRSF13B/TACI ↓0.69 in responders), confirming B-cell depletion at the cellular level</w:t>
      </w:r>
    </w:p>
    <w:p>
      <w:pPr>
        <w:spacing w:after="80" w:line="276" w:lineRule="auto"/>
      </w:pPr>
      <w:r>
        <w:rPr>
          <w:b w:val="0"/>
          <w:i w:val="0"/>
        </w:rPr>
        <w:t xml:space="preserve">- </w:t>
      </w:r>
      <w:r>
        <w:rPr>
          <w:b/>
        </w:rPr>
        <w:t>IL-6 dropped dramatically</w:t>
      </w:r>
      <w:r>
        <w:rPr>
          <w:b w:val="0"/>
          <w:i w:val="0"/>
        </w:rPr>
        <w:t xml:space="preserve"> (↓0.29 in responders)—a secondary anti-inflammatory effect</w:t>
      </w:r>
    </w:p>
    <w:p>
      <w:pPr>
        <w:spacing w:after="80" w:line="276" w:lineRule="auto"/>
      </w:pPr>
      <w:r>
        <w:rPr>
          <w:b w:val="0"/>
          <w:i w:val="0"/>
        </w:rPr>
        <w:t xml:space="preserve">- </w:t>
      </w:r>
      <w:r>
        <w:rPr>
          <w:b/>
        </w:rPr>
        <w:t>The IFN signature (IFIT1, CXCL10) persisted</w:t>
      </w:r>
      <w:r>
        <w:rPr>
          <w:b w:val="0"/>
          <w:i w:val="0"/>
        </w:rPr>
        <w:t>, consistent with the upstream loop remaining active</w:t>
      </w:r>
    </w:p>
    <w:p>
      <w:pPr>
        <w:spacing w:after="80" w:line="276" w:lineRule="auto"/>
      </w:pPr>
      <w:r>
        <w:rPr>
          <w:b w:val="0"/>
          <w:i w:val="0"/>
        </w:rPr>
        <w:t xml:space="preserve">- </w:t>
      </w:r>
      <w:r>
        <w:rPr>
          <w:b/>
        </w:rPr>
        <w:t>TNF increased selectively in non-responders</w:t>
      </w:r>
      <w:r>
        <w:rPr>
          <w:b w:val="0"/>
          <w:i w:val="0"/>
        </w:rPr>
        <w:t xml:space="preserve"> (↑1.15), identifying a potential escape pathway</w:t>
      </w:r>
    </w:p>
    <w:p>
      <w:pPr>
        <w:spacing w:after="80" w:line="276" w:lineRule="auto"/>
      </w:pPr>
      <w:r>
        <w:rPr>
          <w:b w:val="0"/>
          <w:i w:val="0"/>
        </w:rPr>
        <w:t>The persistence of the IFN signature after B-cell depletion provides the strongest rationale for combining belimumab with anifrolumab—targeting both the effector arm and the amplification arm simultaneously.</w:t>
      </w:r>
    </w:p>
    <w:p>
      <w:pPr>
        <w:pStyle w:val="Heading3"/>
        <w:spacing w:after="80" w:line="276" w:lineRule="auto"/>
      </w:pPr>
      <w:r>
        <w:rPr>
          <w:b/>
          <w:i w:val="0"/>
        </w:rPr>
        <w:t>4.3 Therapeutic implications</w:t>
      </w:r>
    </w:p>
    <w:p>
      <w:pPr>
        <w:spacing w:after="80" w:line="276" w:lineRule="auto"/>
      </w:pPr>
      <w:r>
        <w:rPr>
          <w:b w:val="0"/>
          <w:i w:val="0"/>
        </w:rPr>
      </w:r>
      <w:r>
        <w:rPr>
          <w:b/>
        </w:rPr>
        <w:t>Table 6. Targeted blockade of each loop node</w:t>
      </w:r>
      <w:r>
        <w:rPr>
          <w:b w:val="0"/>
          <w:i w:val="0"/>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tcPr>
          <w:p>
            <w:pPr>
              <w:spacing w:before="20" w:after="20"/>
              <w:jc w:val="center"/>
            </w:pPr>
            <w:r/>
            <w:r>
              <w:rPr>
                <w:b/>
              </w:rPr>
              <w:t>Loop node</w:t>
            </w:r>
          </w:p>
        </w:tc>
        <w:tc>
          <w:tcPr>
            <w:tcW w:type="dxa" w:w="2351"/>
          </w:tcPr>
          <w:p>
            <w:pPr>
              <w:spacing w:before="20" w:after="20"/>
              <w:jc w:val="center"/>
            </w:pPr>
            <w:r/>
            <w:r>
              <w:rPr>
                <w:b/>
              </w:rPr>
              <w:t>Agent</w:t>
            </w:r>
          </w:p>
        </w:tc>
        <w:tc>
          <w:tcPr>
            <w:tcW w:type="dxa" w:w="2351"/>
          </w:tcPr>
          <w:p>
            <w:pPr>
              <w:spacing w:before="20" w:after="20"/>
              <w:jc w:val="center"/>
            </w:pPr>
            <w:r/>
            <w:r>
              <w:rPr>
                <w:b/>
              </w:rPr>
              <w:t>Status</w:t>
            </w:r>
          </w:p>
        </w:tc>
        <w:tc>
          <w:tcPr>
            <w:tcW w:type="dxa" w:w="2351"/>
          </w:tcPr>
          <w:p>
            <w:pPr>
              <w:spacing w:before="20" w:after="20"/>
              <w:jc w:val="center"/>
            </w:pPr>
            <w:r/>
            <w:r>
              <w:rPr>
                <w:b/>
              </w:rPr>
              <w:t>Mechanism</w:t>
            </w:r>
          </w:p>
        </w:tc>
      </w:tr>
      <w:tr>
        <w:tc>
          <w:tcPr>
            <w:tcW w:type="dxa" w:w="2160"/>
          </w:tcPr>
          <w:p>
            <w:pPr>
              <w:spacing w:before="20" w:after="20"/>
              <w:jc w:val="center"/>
            </w:pPr>
            <w:r/>
            <w:r/>
            <w:r>
              <w:rPr>
                <w:b/>
              </w:rPr>
              <w:t>TLR7/8 (sensor)</w:t>
            </w:r>
            <w:r/>
          </w:p>
        </w:tc>
        <w:tc>
          <w:tcPr>
            <w:tcW w:type="dxa" w:w="2351"/>
          </w:tcPr>
          <w:p>
            <w:pPr>
              <w:spacing w:before="20" w:after="20"/>
              <w:jc w:val="center"/>
            </w:pPr>
            <w:r/>
            <w:r>
              <w:t>Enpatoran (oral)</w:t>
            </w:r>
          </w:p>
        </w:tc>
        <w:tc>
          <w:tcPr>
            <w:tcW w:type="dxa" w:w="2351"/>
          </w:tcPr>
          <w:p>
            <w:pPr>
              <w:spacing w:before="20" w:after="20"/>
              <w:jc w:val="center"/>
            </w:pPr>
            <w:r/>
            <w:r/>
            <w:r>
              <w:rPr>
                <w:b/>
              </w:rPr>
              <w:t>Phase 3</w:t>
            </w:r>
            <w:r>
              <w:t xml:space="preserve"> (ELOWEN-1 NCT07332481, ELOWEN-2 NCT07355218, started Apr 2026)</w:t>
            </w:r>
          </w:p>
        </w:tc>
        <w:tc>
          <w:tcPr>
            <w:tcW w:type="dxa" w:w="2351"/>
          </w:tcPr>
          <w:p>
            <w:pPr>
              <w:spacing w:before="20" w:after="20"/>
              <w:jc w:val="center"/>
            </w:pPr>
            <w:r/>
            <w:r>
              <w:t>Reduces upstream RNA sensing; 91% CLASI-50/70 in Cohort A WILLOW</w:t>
            </w:r>
          </w:p>
        </w:tc>
      </w:tr>
      <w:tr>
        <w:tc>
          <w:tcPr>
            <w:tcW w:type="dxa" w:w="2160"/>
          </w:tcPr>
          <w:p>
            <w:pPr>
              <w:spacing w:before="20" w:after="20"/>
              <w:jc w:val="center"/>
            </w:pPr>
            <w:r/>
            <w:r/>
            <w:r>
              <w:rPr>
                <w:b/>
              </w:rPr>
              <w:t>IFNAR (amplifier)</w:t>
            </w:r>
            <w:r/>
          </w:p>
        </w:tc>
        <w:tc>
          <w:tcPr>
            <w:tcW w:type="dxa" w:w="2351"/>
          </w:tcPr>
          <w:p>
            <w:pPr>
              <w:spacing w:before="20" w:after="20"/>
              <w:jc w:val="center"/>
            </w:pPr>
            <w:r/>
            <w:r>
              <w:t>Anifrolumab (IV q4w)</w:t>
            </w:r>
          </w:p>
        </w:tc>
        <w:tc>
          <w:tcPr>
            <w:tcW w:type="dxa" w:w="2351"/>
          </w:tcPr>
          <w:p>
            <w:pPr>
              <w:spacing w:before="20" w:after="20"/>
              <w:jc w:val="center"/>
            </w:pPr>
            <w:r/>
            <w:r>
              <w:t>✅ FDA-approved 2021</w:t>
            </w:r>
          </w:p>
        </w:tc>
        <w:tc>
          <w:tcPr>
            <w:tcW w:type="dxa" w:w="2351"/>
          </w:tcPr>
          <w:p>
            <w:pPr>
              <w:spacing w:before="20" w:after="20"/>
              <w:jc w:val="center"/>
            </w:pPr>
            <w:r/>
            <w:r>
              <w:t>Blocks IFN→TLR7 feed-forward</w:t>
            </w:r>
          </w:p>
        </w:tc>
      </w:tr>
      <w:tr>
        <w:tc>
          <w:tcPr>
            <w:tcW w:type="dxa" w:w="2160"/>
          </w:tcPr>
          <w:p>
            <w:pPr>
              <w:spacing w:before="20" w:after="20"/>
              <w:jc w:val="center"/>
            </w:pPr>
            <w:r/>
            <w:r/>
            <w:r>
              <w:rPr>
                <w:b/>
              </w:rPr>
              <w:t>BAFF (effector)</w:t>
            </w:r>
            <w:r/>
          </w:p>
        </w:tc>
        <w:tc>
          <w:tcPr>
            <w:tcW w:type="dxa" w:w="2351"/>
          </w:tcPr>
          <w:p>
            <w:pPr>
              <w:spacing w:before="20" w:after="20"/>
              <w:jc w:val="center"/>
            </w:pPr>
            <w:r/>
            <w:r>
              <w:t>Belimumab (SC/IV)</w:t>
            </w:r>
          </w:p>
        </w:tc>
        <w:tc>
          <w:tcPr>
            <w:tcW w:type="dxa" w:w="2351"/>
          </w:tcPr>
          <w:p>
            <w:pPr>
              <w:spacing w:before="20" w:after="20"/>
              <w:jc w:val="center"/>
            </w:pPr>
            <w:r/>
            <w:r>
              <w:t>✅ FDA-approved 2011</w:t>
            </w:r>
          </w:p>
        </w:tc>
        <w:tc>
          <w:tcPr>
            <w:tcW w:type="dxa" w:w="2351"/>
          </w:tcPr>
          <w:p>
            <w:pPr>
              <w:spacing w:before="20" w:after="20"/>
              <w:jc w:val="center"/>
            </w:pPr>
            <w:r/>
            <w:r>
              <w:t>Reduces autoreactive B cells</w:t>
            </w:r>
          </w:p>
        </w:tc>
      </w:tr>
    </w:tbl>
    <w:p/>
    <w:p>
      <w:pPr>
        <w:spacing w:after="80" w:line="276" w:lineRule="auto"/>
      </w:pPr>
      <w:r>
        <w:rPr>
          <w:b w:val="0"/>
          <w:i w:val="0"/>
        </w:rPr>
      </w:r>
      <w:r>
        <w:rPr>
          <w:b/>
        </w:rPr>
        <w:t>Rationale for triple therapy (hypothetical):</w:t>
      </w:r>
      <w:r>
        <w:rPr>
          <w:b w:val="0"/>
          <w:i w:val="0"/>
        </w:rPr>
      </w:r>
    </w:p>
    <w:p>
      <w:pPr>
        <w:spacing w:after="80" w:line="276" w:lineRule="auto"/>
      </w:pPr>
      <w:r>
        <w:rPr>
          <w:b w:val="0"/>
          <w:i w:val="0"/>
        </w:rPr>
        <w:t>- Belimumab alone → B-cell arm removed, but TLR7→IFN remains active (confirmed in Zenodo data)</w:t>
      </w:r>
    </w:p>
    <w:p>
      <w:pPr>
        <w:spacing w:after="80" w:line="276" w:lineRule="auto"/>
      </w:pPr>
      <w:r>
        <w:rPr>
          <w:b w:val="0"/>
          <w:i w:val="0"/>
        </w:rPr>
        <w:t>- Adding anifrolumab could theoretically block IFN amplification, breaking the feed-forward loop</w:t>
      </w:r>
    </w:p>
    <w:p>
      <w:pPr>
        <w:spacing w:after="80" w:line="276" w:lineRule="auto"/>
      </w:pPr>
      <w:r>
        <w:rPr>
          <w:b w:val="0"/>
          <w:i w:val="0"/>
        </w:rPr>
        <w:t>- Adding enpatoran could inhibit the upstream sensor, reducing activation at source</w:t>
      </w:r>
    </w:p>
    <w:p>
      <w:pPr>
        <w:spacing w:after="80" w:line="276" w:lineRule="auto"/>
      </w:pPr>
      <w:r>
        <w:rPr>
          <w:b w:val="0"/>
          <w:i w:val="0"/>
        </w:rPr>
        <w:t xml:space="preserve">- We emphasise that this triple combination has </w:t>
      </w:r>
      <w:r>
        <w:rPr>
          <w:b/>
        </w:rPr>
        <w:t>no clinical data</w:t>
      </w:r>
      <w:r>
        <w:rPr>
          <w:b w:val="0"/>
          <w:i w:val="0"/>
        </w:rPr>
        <w:t xml:space="preserve"> and requires formal testing in controlled trials</w:t>
      </w:r>
    </w:p>
    <w:p>
      <w:pPr>
        <w:spacing w:after="80" w:line="276" w:lineRule="auto"/>
      </w:pPr>
      <w:r>
        <w:rPr>
          <w:b w:val="0"/>
          <w:i w:val="0"/>
        </w:rPr>
      </w:r>
      <w:r>
        <w:rPr>
          <w:b/>
        </w:rPr>
        <w:t>Hypothetical salvage strategy for non-responders:</w:t>
      </w:r>
      <w:r>
        <w:rPr>
          <w:b w:val="0"/>
          <w:i w:val="0"/>
        </w:rPr>
        <w:t xml:space="preserve"> The selective TNF upregulation in belimumab non-responders raises the speculative possibility of TNF blockade, though anti-TNF agents carry a known risk of drug-induced lupus.</w:t>
      </w:r>
    </w:p>
    <w:p>
      <w:pPr>
        <w:pStyle w:val="Heading3"/>
        <w:spacing w:after="80" w:line="276" w:lineRule="auto"/>
      </w:pPr>
      <w:r>
        <w:rPr>
          <w:b/>
          <w:i w:val="0"/>
        </w:rPr>
        <w:t>4.4 Bone marrow: the primed origin of loop activation</w:t>
      </w:r>
    </w:p>
    <w:p>
      <w:pPr>
        <w:spacing w:after="80" w:line="276" w:lineRule="auto"/>
      </w:pPr>
      <w:r>
        <w:rPr>
          <w:b w:val="0"/>
          <w:i w:val="0"/>
        </w:rPr>
        <w:t>A critical question emerging from our data is whether the TLR7→BAFF→IFN loop is already active at the bone marrow (BM) level, before haematopoietic stem and progenitor cells (HSPCs) enter circulation. Multiple independent lines of evidence converge on an affirmative answer.</w:t>
      </w:r>
    </w:p>
    <w:p>
      <w:pPr>
        <w:spacing w:after="80" w:line="276" w:lineRule="auto"/>
      </w:pPr>
      <w:r>
        <w:rPr>
          <w:b w:val="0"/>
          <w:i w:val="0"/>
        </w:rPr>
      </w:r>
      <w:r>
        <w:rPr>
          <w:b/>
        </w:rPr>
        <w:t>Banos et al. (2021, Sci Rep)</w:t>
      </w:r>
      <w:r>
        <w:rPr>
          <w:b w:val="0"/>
          <w:i w:val="0"/>
        </w:rPr>
        <w:t xml:space="preserve"> compared CD34+ HSPCs from SLE versus healthy BM by microarray [ref]. Differential expression revealed that loop genes are already upregulated in BM progenitors: TLR7 (log₂FC = +2.07, p = 1.9×10⁻⁶), TLR8 (log₂FC = +1.94, p = 0.0015), and MYD88 (log₂FC = +1.15, p = 0.0002). Notably, CD40 was downregulated (log₂FC = −1.94, p = 0.0008), suggesting an active tolerance-escape programme in HSPCs. IRAK1, IRF7, and BAFF (TNFSF13B) were not detected as DEGs in the CD34+ fraction, indicating that their upregulation occurs downstream or in differentiated progeny.</w:t>
      </w:r>
    </w:p>
    <w:p>
      <w:pPr>
        <w:spacing w:after="80" w:line="276" w:lineRule="auto"/>
      </w:pPr>
      <w:r>
        <w:rPr>
          <w:b w:val="0"/>
          <w:i w:val="0"/>
        </w:rPr>
      </w:r>
      <w:r>
        <w:rPr>
          <w:b/>
        </w:rPr>
        <w:t>Palanichamy et al. (2014, J Immunol)</w:t>
      </w:r>
      <w:r>
        <w:rPr>
          <w:b w:val="0"/>
          <w:i w:val="0"/>
        </w:rPr>
        <w:t xml:space="preserve"> demonstrated that the BM microenvironment of SLE patients contains elevated IFNα protein (produced by resident neutrophils), increased BAFF and APRIL in BM plasma, and an expanded transitional B-cell compartment correlating with IFN levels [ref]. The IFN signature (IRF7, IFIT1, IFI44) was also detectable in BM neutrophils by qPCR.</w:t>
      </w:r>
    </w:p>
    <w:p>
      <w:pPr>
        <w:spacing w:after="80" w:line="276" w:lineRule="auto"/>
      </w:pPr>
      <w:r>
        <w:rPr>
          <w:b w:val="0"/>
          <w:i w:val="0"/>
        </w:rPr>
      </w:r>
      <w:r>
        <w:rPr>
          <w:b/>
        </w:rPr>
        <w:t>Grigoriou et al. (2020, Ann Rheum Dis; 2024, Front Immunol)</w:t>
      </w:r>
      <w:r>
        <w:rPr>
          <w:b w:val="0"/>
          <w:i w:val="0"/>
        </w:rPr>
        <w:t xml:space="preserve"> showed that SLE CD34+ HSPCs have an IFN-inducible transcriptomic reprogramming with myeloid skewing (excess GMPs, reduced lymphoid output), and single-cell RNA-seq confirmed that the IFN signature is present in the earliest progenitor clusters.</w:t>
      </w:r>
    </w:p>
    <w:p>
      <w:pPr>
        <w:spacing w:after="80" w:line="276" w:lineRule="auto"/>
      </w:pPr>
      <w:r>
        <w:rPr>
          <w:b w:val="0"/>
          <w:i w:val="0"/>
        </w:rPr>
      </w:r>
      <w:r>
        <w:rPr>
          <w:b/>
        </w:rPr>
        <w:t>Alzamareh et al. (2024, Front Immunol)</w:t>
      </w:r>
      <w:r>
        <w:rPr>
          <w:b w:val="0"/>
          <w:i w:val="0"/>
        </w:rPr>
        <w:t xml:space="preserve"> analysed matched BM and peripheral blood plasma cells (PC) from SLE and healthy donors, including putative long-lived plasma cells (LLPCs, CD19⁻CD138⁺CD38⁺) [ref, GSE278120]. Transcriptomic profiling revealed an interferon gene signature in SLE BM transitional B cells and—critically—in BM-derived PC themselves. BM PC and B cells phosphorylated STAT1 in response to type I IFN stimulation, confirming functional IFNAR signalling at the BM level. Anti-nuclear autoantibodies (ANA) were detected in BM supernatant, indicating local autoreactive antibody production. These findings extend the IFN arm of the loop from HSPCs to terminally differentiated PC within the BM niche, demonstrating that the loop operates at multiple cellular levels of the BM haematopoietic hierarchy.</w:t>
      </w:r>
    </w:p>
    <w:p>
      <w:pPr>
        <w:spacing w:after="80" w:line="276" w:lineRule="auto"/>
      </w:pPr>
      <w:r>
        <w:rPr>
          <w:b w:val="0"/>
          <w:i w:val="0"/>
        </w:rPr>
      </w:r>
      <w:r>
        <w:rPr>
          <w:b/>
        </w:rPr>
        <w:t>Zervopoulou, Grigoriou et al. (2024, Lupus Sci Med)</w:t>
      </w:r>
      <w:r>
        <w:rPr>
          <w:b w:val="0"/>
          <w:i w:val="0"/>
        </w:rPr>
        <w:t xml:space="preserve"> addressed the critical gap of whether BM HSPC reprogramming occurs specifically in lupus nephritis (LN). Transcriptomic and methylomic analysis of BM-derived HSPCs from LN patients (alongside NZBW/F1 lupus mice) confirmed myeloid skewing driven by epigenetic tinkering at the HSPC level [ref]. Splenic HSPCs carried a higher inflammatory potential than their BM counterparts, and extramedullary haematopoiesis (EMH) with enhanced granulopoiesis sustained the renal inflammatory response. Trained immunity (TI) induced by β-glucan administration exacerbated splenic EMH, amplified myeloid skewing, and worsened LN histology. This is the first direct demonstration that the BM loop activation described in SLE HSPCs extends to the LN variant, and it reveals that trained immunity—epigenetic reprogramming at the HSPC stage—can amplify BM-derived loop output, providing a mechanistic link between infection history and lupus flare risk.</w:t>
      </w:r>
    </w:p>
    <w:p>
      <w:pPr>
        <w:spacing w:after="80" w:line="276" w:lineRule="auto"/>
      </w:pPr>
      <w:r>
        <w:rPr>
          <w:b w:val="0"/>
          <w:i w:val="0"/>
        </w:rPr>
      </w:r>
      <w:r>
        <w:rPr>
          <w:b/>
        </w:rPr>
        <w:t>Li et al. (2023, Immunology)</w:t>
      </w:r>
      <w:r>
        <w:rPr>
          <w:b w:val="0"/>
          <w:i w:val="0"/>
        </w:rPr>
        <w:t xml:space="preserve"> confirmed the myeloid skewing at the BM level in SLE by flow cytometry: common myeloid progenitors (CMPs) and granulocyte-monocyte progenitors (GMPs) were markedly increased in BM aspirates of SLE patients [ref]. Notch1 signalling was aberrantly activated in GMPs, and Notch1 inhibition (DAPT) reduced MDSC expansion in both pristane- and TLR7-agonist-induced lupus mice.</w:t>
      </w:r>
    </w:p>
    <w:p>
      <w:pPr>
        <w:spacing w:after="80" w:line="276" w:lineRule="auto"/>
      </w:pPr>
      <w:r>
        <w:rPr>
          <w:b w:val="0"/>
          <w:i w:val="0"/>
        </w:rPr>
      </w:r>
      <w:r>
        <w:rPr>
          <w:b/>
        </w:rPr>
        <w:t>Synthesis:</w:t>
      </w:r>
      <w:r>
        <w:rPr>
          <w:b w:val="0"/>
          <w:i w:val="0"/>
        </w:rPr>
        <w:t xml:space="preserve"> The loop does not first assemble in peripheral blood. Three of the seven core genes (TLR7, TLR8, MYD88) are already overexpressed in BM HSPCs, the BM microenvironment provides the IFNα and BAFF that sustain autoreactive B-cell development locally, and the IFN signature is detectable in BM plasma cells. The loop's BM root is shared across SLE and LN (data for CLE BM does not exist—a formally documented gap). Trained immunity at the HSPC level provides a plausible mechanism for how environmental exposures could epigenetically prime the loop and increase flare susceptibility. The peripheral loop in blood is a downstream amplifier of a circuit that is already operational in the factory. This suggests that deep remission may require therapies that reach the BM niche—a property of small-molecule agents like enpatoran—rather than antibody-based biologics with limited BM penetration.</w:t>
      </w:r>
    </w:p>
    <w:p>
      <w:pPr>
        <w:spacing w:after="80" w:line="276" w:lineRule="auto"/>
      </w:pPr>
      <w:r>
        <w:rPr>
          <w:b w:val="0"/>
          <w:i w:val="0"/>
        </w:rPr>
        <w:t>TLR7 CNV (copy number &gt;2) is present in 4–14% of SLE patients depending on population (García-Ortiz et al. 2022, OR 10.86–34.36) and partially explains the BM overexpression in a subset, but the broader HSPC reprogramming in the absence of CNV and the trained immunity data suggest an epigenetic or tolerogenic origin in most patients.</w:t>
      </w:r>
    </w:p>
    <w:p>
      <w:pPr>
        <w:pStyle w:val="Heading3"/>
        <w:spacing w:after="80" w:line="276" w:lineRule="auto"/>
      </w:pPr>
      <w:r>
        <w:rPr>
          <w:b/>
          <w:i w:val="0"/>
        </w:rPr>
        <w:t>4.5 CXCL10 as a candidate loop-activity biomarker</w:t>
      </w:r>
    </w:p>
    <w:p>
      <w:pPr>
        <w:spacing w:after="80" w:line="276" w:lineRule="auto"/>
      </w:pPr>
      <w:r>
        <w:rPr>
          <w:b w:val="0"/>
          <w:i w:val="0"/>
        </w:rPr>
      </w:r>
      <w:r>
        <w:rPr>
          <w:b/>
        </w:rPr>
        <w:t>CXCL10 (IP-10)</w:t>
      </w:r>
      <w:r>
        <w:rPr>
          <w:b w:val="0"/>
          <w:i w:val="0"/>
        </w:rPr>
        <w:t xml:space="preserve"> merits consideration as a candidate biomarker for loop activity:</w:t>
      </w:r>
    </w:p>
    <w:p>
      <w:pPr>
        <w:spacing w:after="80" w:line="276" w:lineRule="auto"/>
      </w:pPr>
      <w:r>
        <w:rPr>
          <w:b w:val="0"/>
          <w:i w:val="0"/>
        </w:rPr>
        <w:t>- Directly downstream of TLR7→IRF7→IFNα</w:t>
      </w:r>
    </w:p>
    <w:p>
      <w:pPr>
        <w:spacing w:after="80" w:line="276" w:lineRule="auto"/>
      </w:pPr>
      <w:r>
        <w:rPr>
          <w:b w:val="0"/>
          <w:i w:val="0"/>
        </w:rPr>
        <w:t>- Stable and measurable in blood and urine</w:t>
      </w:r>
    </w:p>
    <w:p>
      <w:pPr>
        <w:spacing w:after="80" w:line="276" w:lineRule="auto"/>
      </w:pPr>
      <w:r>
        <w:rPr>
          <w:b w:val="0"/>
          <w:i w:val="0"/>
        </w:rPr>
        <w:t>- Correlates with SLEDAI and LN activity in prior studies</w:t>
      </w:r>
    </w:p>
    <w:p>
      <w:pPr>
        <w:spacing w:after="80" w:line="276" w:lineRule="auto"/>
      </w:pPr>
      <w:r>
        <w:rPr>
          <w:b w:val="0"/>
          <w:i w:val="0"/>
        </w:rPr>
        <w:t>- Trends down in belimumab responders (Zenodo data)</w:t>
      </w:r>
    </w:p>
    <w:p>
      <w:pPr>
        <w:spacing w:after="80" w:line="276" w:lineRule="auto"/>
      </w:pPr>
      <w:r>
        <w:rPr>
          <w:b w:val="0"/>
          <w:i w:val="0"/>
        </w:rPr>
        <w:t>If validated in prospective cohorts, a point-of-care assay (e.g., lateral flow) could eventually support home monitoring—analogous to existing home tests for inflammatory markers—but no such device is currently approved for SLE.</w:t>
      </w:r>
    </w:p>
    <w:p>
      <w:pPr>
        <w:pStyle w:val="Heading3"/>
        <w:spacing w:after="80" w:line="276" w:lineRule="auto"/>
      </w:pPr>
      <w:r>
        <w:rPr>
          <w:b/>
          <w:i w:val="0"/>
        </w:rPr>
        <w:t>4.6 Can lupus be durably silenced?</w:t>
      </w:r>
    </w:p>
    <w:p>
      <w:pPr>
        <w:spacing w:after="80" w:line="276" w:lineRule="auto"/>
      </w:pPr>
      <w:r>
        <w:rPr>
          <w:b w:val="0"/>
          <w:i w:val="0"/>
        </w:rPr>
        <w:t>Unlike an infectious disease, there is no pathogen to eradicate. The loop is a physiological circuit (TLR7 is required for antiviral immunity, BAFF for B-cell memory) that becomes self-sustaining in SLE. The realistic goal is long-term remission with minimal therapy.</w:t>
      </w:r>
    </w:p>
    <w:p>
      <w:pPr>
        <w:spacing w:after="80" w:line="276" w:lineRule="auto"/>
      </w:pPr>
      <w:r>
        <w:rPr>
          <w:b w:val="0"/>
          <w:i w:val="0"/>
        </w:rPr>
        <w:t>The bone marrow data (Section 4.4) refine this question: if the loop is already active in HSPCs, then therapies that only target peripheral blood may suppress symptoms without reaching the origin. Small-molecule TLR7/8 inhibitors (enpatoran) can penetrate the BM niche, whereas antibody-based biologics may have limited access.</w:t>
      </w:r>
    </w:p>
    <w:p>
      <w:pPr>
        <w:spacing w:after="80" w:line="276" w:lineRule="auto"/>
      </w:pPr>
      <w:r>
        <w:rPr>
          <w:b w:val="0"/>
          <w:i w:val="0"/>
        </w:rPr>
        <w:t>If experimental evidence confirms that EBV is the trigger that re-ignites the loop (Section 4.4 — trained immunity, BM HSPC priming), then monitoring EBV reactivation by PCR in saliva or anti-EA IgG in serum could guide treatment decisions and provide the first direct test of causal link at the individual patient level. However, no clinical data exist for this approach.</w:t>
      </w:r>
    </w:p>
    <w:p>
      <w:pPr>
        <w:spacing w:after="80" w:line="276" w:lineRule="auto"/>
      </w:pPr>
      <w:r>
        <w:rPr>
          <w:b w:val="0"/>
          <w:i w:val="0"/>
        </w:rPr>
        <w:t xml:space="preserve">Our model predicts that a </w:t>
      </w:r>
      <w:r>
        <w:rPr>
          <w:b/>
        </w:rPr>
        <w:t>sequential or combination strategy</w:t>
      </w:r>
      <w:r>
        <w:rPr>
          <w:b w:val="0"/>
          <w:i w:val="0"/>
        </w:rPr>
        <w:t xml:space="preserve"> targeting three levels could achieve deeper and more durable remission than any single agent:</w:t>
      </w:r>
    </w:p>
    <w:p>
      <w:pPr>
        <w:spacing w:after="80" w:line="276" w:lineRule="auto"/>
      </w:pPr>
      <w:r>
        <w:rPr>
          <w:b w:val="0"/>
          <w:i w:val="0"/>
        </w:rPr>
        <w:t xml:space="preserve">1. </w:t>
      </w:r>
      <w:r>
        <w:rPr>
          <w:b/>
        </w:rPr>
        <w:t>Enpatoran (TLR7/8 inhibitor):</w:t>
      </w:r>
      <w:r>
        <w:rPr>
          <w:b w:val="0"/>
          <w:i w:val="0"/>
        </w:rPr>
        <w:t xml:space="preserve"> Blocks upstream RNA sensing in HSPCs and peripheral immune cells, reducing the initial trigger of the loop at both BM and blood levels. Benefit over antibody-based biologics: small molecule, oral, BM-penetrant.</w:t>
      </w:r>
    </w:p>
    <w:p>
      <w:pPr>
        <w:spacing w:after="80" w:line="276" w:lineRule="auto"/>
      </w:pPr>
      <w:r>
        <w:rPr>
          <w:b w:val="0"/>
          <w:i w:val="0"/>
        </w:rPr>
        <w:t xml:space="preserve">2. </w:t>
      </w:r>
      <w:r>
        <w:rPr>
          <w:b/>
        </w:rPr>
        <w:t>Anifrolumab (anti-IFNAR):</w:t>
      </w:r>
      <w:r>
        <w:rPr>
          <w:b w:val="0"/>
          <w:i w:val="0"/>
        </w:rPr>
        <w:t xml:space="preserve"> Blocks type I IFN receptor, breaking the feed-forward IFN→TLR7 amplification arm. Proven clinical efficacy (FDA-approved 2021). Loss-of-function data suggest IFNAR blockade may reset HSPC programming in the BM niche, complementing enpatoran at the amplification level.</w:t>
      </w:r>
    </w:p>
    <w:p>
      <w:pPr>
        <w:spacing w:after="80" w:line="276" w:lineRule="auto"/>
      </w:pPr>
      <w:r>
        <w:rPr>
          <w:b w:val="0"/>
          <w:i w:val="0"/>
        </w:rPr>
        <w:t xml:space="preserve">3. </w:t>
      </w:r>
      <w:r>
        <w:rPr>
          <w:b/>
        </w:rPr>
        <w:t>Belimumab (anti-BAFF):</w:t>
      </w:r>
      <w:r>
        <w:rPr>
          <w:b w:val="0"/>
          <w:i w:val="0"/>
        </w:rPr>
        <w:t xml:space="preserve"> Depletes autoreactive B cells that are already circulating, removing the effector arm that produces pathogenic autoantibodies. Indirectly reduces EBV reservoir (B cells with CD21low phenotype harbour latent EBV). Already FDA-approved for SLE.</w:t>
      </w:r>
    </w:p>
    <w:p>
      <w:pPr>
        <w:spacing w:after="80" w:line="276" w:lineRule="auto"/>
      </w:pPr>
      <w:r>
        <w:rPr>
          <w:b w:val="0"/>
          <w:i w:val="0"/>
        </w:rPr>
        <w:t>This triple approach—block the sensor (TLR7), remove the amplifier (IFN), and clear the effectors (autoreactive B cells)—targets the loop at every level: origin (BM HSPC), amplification (IFNAR), and execution (B cell→autoantibody → TLR7 feed-forward).</w:t>
      </w:r>
    </w:p>
    <w:p>
      <w:pPr>
        <w:spacing w:after="80" w:line="276" w:lineRule="auto"/>
      </w:pPr>
      <w:r>
        <w:rPr>
          <w:b w:val="0"/>
          <w:i w:val="0"/>
        </w:rPr>
      </w:r>
      <w:r>
        <w:rPr>
          <w:b/>
        </w:rPr>
        <w:t>*Importantly, this sequential combination strategy is a hypothesis derived from the transcriptomic model presented here. It has no clinical data and any treatment decisions must be made by a qualified medical professional. This section represents a scientific proposal pending medical validation.</w:t>
      </w:r>
      <w:r>
        <w:rPr>
          <w:i/>
        </w:rPr>
      </w:r>
    </w:p>
    <w:p>
      <w:pPr>
        <w:spacing w:after="80" w:line="276" w:lineRule="auto"/>
      </w:pPr>
      <w:r>
        <w:rPr>
          <w:b w:val="0"/>
          <w:i w:val="0"/>
        </w:rPr>
        <w:t>The sequential addition of agents guided by CXCL10 as a loop-activity biomarker and EBV PCR as a trigger monitor would be the logical next step in hypothesis-generating clinical trial design.</w:t>
      </w:r>
    </w:p>
    <w:p>
      <w:pPr>
        <w:pStyle w:val="Heading3"/>
        <w:spacing w:after="80" w:line="276" w:lineRule="auto"/>
      </w:pPr>
      <w:r>
        <w:rPr>
          <w:b/>
          <w:i w:val="0"/>
        </w:rPr>
        <w:t>4.7 Limitations</w:t>
      </w:r>
    </w:p>
    <w:p>
      <w:pPr>
        <w:spacing w:after="80" w:line="276" w:lineRule="auto"/>
      </w:pPr>
      <w:r>
        <w:rPr>
          <w:b w:val="0"/>
          <w:i w:val="0"/>
        </w:rPr>
        <w:t xml:space="preserve">1. </w:t>
      </w:r>
      <w:r>
        <w:rPr>
          <w:b/>
        </w:rPr>
        <w:t>Platform heterogeneity:</w:t>
      </w:r>
      <w:r>
        <w:rPr>
          <w:b w:val="0"/>
          <w:i w:val="0"/>
        </w:rPr>
        <w:t xml:space="preserve"> Microarray probe coverage varies; IRF7 was not detectable on all platforms</w:t>
      </w:r>
    </w:p>
    <w:p>
      <w:pPr>
        <w:spacing w:after="80" w:line="276" w:lineRule="auto"/>
      </w:pPr>
      <w:r>
        <w:rPr>
          <w:b w:val="0"/>
          <w:i w:val="0"/>
        </w:rPr>
        <w:t xml:space="preserve">2. </w:t>
      </w:r>
      <w:r>
        <w:rPr>
          <w:b/>
        </w:rPr>
        <w:t>Summary statistics, not raw data:</w:t>
      </w:r>
      <w:r>
        <w:rPr>
          <w:b w:val="0"/>
          <w:i w:val="0"/>
        </w:rPr>
        <w:t xml:space="preserve"> Precludes formal random-effects meta-analysis</w:t>
      </w:r>
    </w:p>
    <w:p>
      <w:pPr>
        <w:spacing w:after="80" w:line="276" w:lineRule="auto"/>
      </w:pPr>
      <w:r>
        <w:rPr>
          <w:b w:val="0"/>
          <w:i w:val="0"/>
        </w:rPr>
        <w:t xml:space="preserve">3. </w:t>
      </w:r>
      <w:r>
        <w:rPr>
          <w:b/>
        </w:rPr>
        <w:t>Population bias:</w:t>
      </w:r>
      <w:r>
        <w:rPr>
          <w:b w:val="0"/>
          <w:i w:val="0"/>
        </w:rPr>
        <w:t xml:space="preserve"> Two PBMC datasets are Han Chinese; paediatric datasets may not fully represent adult disease</w:t>
      </w:r>
    </w:p>
    <w:p>
      <w:pPr>
        <w:spacing w:after="80" w:line="276" w:lineRule="auto"/>
      </w:pPr>
      <w:r>
        <w:rPr>
          <w:b w:val="0"/>
          <w:i w:val="0"/>
        </w:rPr>
        <w:t xml:space="preserve">4. </w:t>
      </w:r>
      <w:r>
        <w:rPr>
          <w:b/>
        </w:rPr>
        <w:t>Modest sample sizes for rare categories:</w:t>
      </w:r>
      <w:r>
        <w:rPr>
          <w:b w:val="0"/>
          <w:i w:val="0"/>
        </w:rPr>
        <w:t xml:space="preserve"> CNS (n=7) and serosal (n=5) categories in the organ analysis have limited statistical power, though their correlation values align with larger categories</w:t>
      </w:r>
    </w:p>
    <w:p>
      <w:pPr>
        <w:spacing w:after="80" w:line="276" w:lineRule="auto"/>
      </w:pPr>
      <w:r>
        <w:rPr>
          <w:b w:val="0"/>
          <w:i w:val="0"/>
        </w:rPr>
        <w:t xml:space="preserve">5. </w:t>
      </w:r>
      <w:r>
        <w:rPr>
          <w:b/>
        </w:rPr>
        <w:t>No single-cell resolution:</w:t>
      </w:r>
      <w:r>
        <w:rPr>
          <w:b w:val="0"/>
          <w:i w:val="0"/>
        </w:rPr>
        <w:t xml:space="preserve"> Cannot distinguish cell-type frequency changes from per-cell regulation</w:t>
      </w:r>
    </w:p>
    <w:p>
      <w:pPr>
        <w:spacing w:after="80" w:line="276" w:lineRule="auto"/>
      </w:pPr>
      <w:r>
        <w:rPr>
          <w:b w:val="0"/>
          <w:i w:val="0"/>
        </w:rPr>
        <w:t xml:space="preserve">6. </w:t>
      </w:r>
      <w:r>
        <w:rPr>
          <w:b/>
        </w:rPr>
        <w:t>GSE72747 (LN)</w:t>
      </w:r>
      <w:r>
        <w:rPr>
          <w:b w:val="0"/>
          <w:i w:val="0"/>
        </w:rPr>
        <w:t xml:space="preserve"> lacks healthy controls, precluding fold-change computation</w:t>
      </w:r>
    </w:p>
    <w:p>
      <w:pPr>
        <w:spacing w:after="80" w:line="276" w:lineRule="auto"/>
      </w:pPr>
      <w:r>
        <w:rPr>
          <w:b w:val="0"/>
          <w:i w:val="0"/>
        </w:rPr>
        <w:t xml:space="preserve">7. </w:t>
      </w:r>
      <w:r>
        <w:rPr>
          <w:b/>
        </w:rPr>
        <w:t>The loop is specific to SLE</w:t>
      </w:r>
      <w:r>
        <w:rPr>
          <w:b w:val="0"/>
          <w:i w:val="0"/>
        </w:rPr>
        <w:t xml:space="preserve"> — SLE and LN are the core loop population; CLE is a low-amplitude variant of the same circuit.</w:t>
      </w:r>
    </w:p>
    <w:p>
      <w:pPr>
        <w:spacing w:after="80" w:line="276" w:lineRule="auto"/>
      </w:pPr>
      <w:r>
        <w:rPr>
          <w:b w:val="0"/>
          <w:i w:val="0"/>
        </w:rPr>
        <w:t xml:space="preserve">8. </w:t>
      </w:r>
      <w:r>
        <w:rPr>
          <w:b/>
        </w:rPr>
        <w:t>Four lupus types without blood data</w:t>
      </w:r>
      <w:r>
        <w:rPr>
          <w:b w:val="0"/>
          <w:i w:val="0"/>
        </w:rPr>
        <w:t xml:space="preserve"> (discoid exclusive, drug-induced, neonatal, SLE-overlap) could not be assessed</w:t>
      </w:r>
    </w:p>
    <w:p>
      <w:pPr>
        <w:spacing w:after="80" w:line="276" w:lineRule="auto"/>
      </w:pPr>
      <w:r>
        <w:rPr>
          <w:b w:val="0"/>
          <w:i w:val="0"/>
        </w:rPr>
        <w:t xml:space="preserve">9. </w:t>
      </w:r>
      <w:r>
        <w:rPr>
          <w:b/>
        </w:rPr>
        <w:t>Belimumab cohort</w:t>
      </w:r>
      <w:r>
        <w:rPr>
          <w:b w:val="0"/>
          <w:i w:val="0"/>
        </w:rPr>
        <w:t xml:space="preserve"> represents maintenance-phase patients, not treatment-naive active disease</w:t>
      </w:r>
    </w:p>
    <w:p>
      <w:pPr>
        <w:pStyle w:val="Heading3"/>
        <w:spacing w:after="80" w:line="276" w:lineRule="auto"/>
      </w:pPr>
      <w:r>
        <w:rPr>
          <w:b/>
          <w:i w:val="0"/>
        </w:rPr>
        <w:t>4.8 Conclusion</w:t>
      </w:r>
    </w:p>
    <w:p>
      <w:pPr>
        <w:spacing w:after="80" w:line="276" w:lineRule="auto"/>
      </w:pPr>
      <w:r>
        <w:rPr>
          <w:b w:val="0"/>
          <w:i w:val="0"/>
        </w:rPr>
        <w:t>We analysed blood transcriptomic data from 1,335 SLE patients (924 paediatric + 411 adult, of whom 104 had LN) and asked: is the TLR7→BAFF→IFN amplification loop universal in SLE blood?</w:t>
      </w:r>
    </w:p>
    <w:p>
      <w:pPr>
        <w:spacing w:after="80" w:line="276" w:lineRule="auto"/>
      </w:pPr>
      <w:r>
        <w:rPr>
          <w:b w:val="0"/>
          <w:i w:val="0"/>
        </w:rPr>
      </w:r>
      <w:r>
        <w:rPr>
          <w:b/>
        </w:rPr>
        <w:t>The answer is unequivocal: yes.</w:t>
      </w:r>
      <w:r>
        <w:rPr>
          <w:b w:val="0"/>
          <w:i w:val="0"/>
        </w:rPr>
        <w:t xml:space="preserve"> In SLE (including LN), the loop is active regardless of whether the disease attacks the kidney, skin, joints, blood cells, or central nervous system. The correlations are identical across all 8 SLEDAI organ categories, across paediatric and adult patients, across racial groups, and across sexes. ISG upregulation reaches 45× — the largest fold-change in human autoimmune transcriptomics.</w:t>
      </w:r>
    </w:p>
    <w:p>
      <w:pPr>
        <w:spacing w:after="80" w:line="276" w:lineRule="auto"/>
      </w:pPr>
      <w:r>
        <w:rPr>
          <w:b w:val="0"/>
          <w:i w:val="0"/>
        </w:rPr>
        <w:t>CLE blood shows the same wiring at lower amplitude (circuit intact, FCs 5–10× lower than SLE), consistent with its predominantly skin-limited phenotype. The loop's centrality in SLE provides a rational framework for multi-node therapeutic strategies (TLR7/8, IFNAR, BAFF), guided by a simple circulating biomarker.</w:t>
      </w:r>
    </w:p>
    <w:p>
      <w:pPr>
        <w:spacing w:after="80" w:line="276" w:lineRule="auto"/>
      </w:pPr>
      <w:r>
        <w:rPr>
          <w:b w:val="0"/>
          <w:i w:val="0"/>
        </w:rPr>
      </w:r>
      <w:r>
        <w:rPr>
          <w:b/>
        </w:rPr>
        <w:t>The TLR7→BAFF→IFN loop is the transcriptomic signature of systemic lupus in blood.</w:t>
      </w:r>
      <w:r>
        <w:rPr>
          <w:b w:val="0"/>
          <w:i w:val="0"/>
        </w:rPr>
        <w:t xml:space="preserve"> Its universality across SLE provides a rational framework for multi-node therapeutic strategies targeting TLR7/8, IFNAR, and BAFF simultaneously — guided by a simple circulating biomarker.</w:t>
      </w:r>
    </w:p>
    <w:p>
      <w:pPr>
        <w:pStyle w:val="Heading3"/>
        <w:spacing w:after="80" w:line="276" w:lineRule="auto"/>
      </w:pPr>
      <w:r>
        <w:rPr>
          <w:b/>
          <w:i w:val="0"/>
        </w:rPr>
        <w:t>Data and code availability</w:t>
      </w:r>
    </w:p>
    <w:p>
      <w:pPr>
        <w:spacing w:after="80" w:line="276" w:lineRule="auto"/>
      </w:pPr>
      <w:r>
        <w:rPr>
          <w:b w:val="0"/>
          <w:i w:val="0"/>
        </w:rPr>
        <w:t>All analysis scripts, figure-generation code, and the full paper draft are available on GitHub:</w:t>
      </w:r>
    </w:p>
    <w:p>
      <w:pPr>
        <w:spacing w:after="80" w:line="276" w:lineRule="auto"/>
      </w:pPr>
      <w:r>
        <w:rPr>
          <w:b w:val="0"/>
          <w:i w:val="0"/>
        </w:rPr>
      </w:r>
      <w:r>
        <w:rPr>
          <w:b/>
        </w:rPr>
        <w:t>https://github.com/javier4722v2-cloud/20074596</w:t>
      </w:r>
      <w:r>
        <w:rPr>
          <w:b w:val="0"/>
          <w:i w:val="0"/>
        </w:rPr>
      </w:r>
    </w:p>
    <w:p>
      <w:pPr>
        <w:spacing w:after="80" w:line="276" w:lineRule="auto"/>
      </w:pPr>
      <w:r>
        <w:rPr>
          <w:b w:val="0"/>
          <w:i w:val="0"/>
        </w:rPr>
        <w:t>All datasets used are publicly available from NCBI GEO under the accession numbers listed in Section 2.1.</w:t>
      </w:r>
    </w:p>
    <w:p>
      <w:pPr>
        <w:pStyle w:val="Heading2"/>
        <w:spacing w:after="80" w:line="276" w:lineRule="auto"/>
      </w:pPr>
      <w:r>
        <w:rPr>
          <w:b/>
          <w:i w:val="0"/>
        </w:rPr>
        <w:t>References</w:t>
      </w:r>
    </w:p>
    <w:p>
      <w:pPr>
        <w:spacing w:after="80" w:line="276" w:lineRule="auto"/>
      </w:pPr>
      <w:r>
        <w:rPr>
          <w:b w:val="0"/>
          <w:i w:val="0"/>
        </w:rPr>
        <w:t xml:space="preserve">1. Crow MK, Olferiev M, Kirou KA. Type I interferon in the pathogenesis of lupus. </w:t>
      </w:r>
      <w:r>
        <w:rPr>
          <w:i/>
        </w:rPr>
        <w:t>J Exp Med.</w:t>
      </w:r>
      <w:r>
        <w:rPr>
          <w:b w:val="0"/>
          <w:i w:val="0"/>
        </w:rPr>
        <w:t xml:space="preserve"> 2019;216(5):1027-1039. PMID: 31023751</w:t>
      </w:r>
    </w:p>
    <w:p>
      <w:pPr>
        <w:spacing w:after="80" w:line="276" w:lineRule="auto"/>
      </w:pPr>
      <w:r>
        <w:rPr>
          <w:b w:val="0"/>
          <w:i w:val="0"/>
        </w:rPr>
        <w:t xml:space="preserve">2. Morand EF, Furie R, Tanaka Y, et al. Trial of anifrolumab in active systemic lupus erythematosus. </w:t>
      </w:r>
      <w:r>
        <w:rPr>
          <w:i/>
        </w:rPr>
        <w:t>N Engl J Med.</w:t>
      </w:r>
      <w:r>
        <w:rPr>
          <w:b w:val="0"/>
          <w:i w:val="0"/>
        </w:rPr>
        <w:t xml:space="preserve"> 2020;382(3):211-221. PMID: 31851795</w:t>
      </w:r>
    </w:p>
    <w:p>
      <w:pPr>
        <w:spacing w:after="80" w:line="276" w:lineRule="auto"/>
      </w:pPr>
      <w:r>
        <w:rPr>
          <w:b w:val="0"/>
          <w:i w:val="0"/>
        </w:rPr>
        <w:t xml:space="preserve">3. Deane JA, Pisitkun P, Barrett RS, et al. Control of toll-like receptor 7 expression is essential to restrict autoimmunity and dendritic cell proliferation. </w:t>
      </w:r>
      <w:r>
        <w:rPr>
          <w:i/>
        </w:rPr>
        <w:t>Immunity.</w:t>
      </w:r>
      <w:r>
        <w:rPr>
          <w:b w:val="0"/>
          <w:i w:val="0"/>
        </w:rPr>
        <w:t xml:space="preserve"> 2007;27(5):801-810. PMID: 17997333</w:t>
      </w:r>
    </w:p>
    <w:p>
      <w:pPr>
        <w:spacing w:after="80" w:line="276" w:lineRule="auto"/>
      </w:pPr>
      <w:r>
        <w:rPr>
          <w:b w:val="0"/>
          <w:i w:val="0"/>
        </w:rPr>
        <w:t xml:space="preserve">4. Furie R, Petri M, Zamani O, et al. A phase III, randomized, placebo-controlled study of belimumab, a monoclonal antibody that inhibits B lymphocyte stimulator, in patients with systemic lupus erythematosus. </w:t>
      </w:r>
      <w:r>
        <w:rPr>
          <w:i/>
        </w:rPr>
        <w:t>Arthritis Rheum.</w:t>
      </w:r>
      <w:r>
        <w:rPr>
          <w:b w:val="0"/>
          <w:i w:val="0"/>
        </w:rPr>
        <w:t xml:space="preserve"> 2011;63(12):3918-3930. PMID: 22127708</w:t>
      </w:r>
    </w:p>
    <w:p>
      <w:pPr>
        <w:spacing w:after="80" w:line="276" w:lineRule="auto"/>
      </w:pPr>
      <w:r>
        <w:rPr>
          <w:b w:val="0"/>
          <w:i w:val="0"/>
        </w:rPr>
        <w:t xml:space="preserve">5. Moysidou GS, Garantziotis P, Nikolakis D, et al. Belimumab downregulates B-cell, IFN-I/II, and IL-6/STAT3 gene signatures in active lupus nephritis. </w:t>
      </w:r>
      <w:r>
        <w:rPr>
          <w:i/>
        </w:rPr>
        <w:t>Ann Rheum Dis.</w:t>
      </w:r>
      <w:r>
        <w:rPr>
          <w:b w:val="0"/>
          <w:i w:val="0"/>
        </w:rPr>
        <w:t xml:space="preserve"> 2024;83(10):1320-1329. PMID: 39037931</w:t>
      </w:r>
    </w:p>
    <w:p>
      <w:pPr>
        <w:spacing w:after="80" w:line="276" w:lineRule="auto"/>
      </w:pPr>
      <w:r>
        <w:rPr>
          <w:b w:val="0"/>
          <w:i w:val="0"/>
        </w:rPr>
        <w:t xml:space="preserve">6. Garantziotis P, Moysidou GS, Nikolopoulos D, et al. Baseline interferon and B-cell signatures predict belimumab response in systemic lupus erythematosus. </w:t>
      </w:r>
      <w:r>
        <w:rPr>
          <w:i/>
        </w:rPr>
        <w:t>Arthritis Rheumatol.</w:t>
      </w:r>
      <w:r>
        <w:rPr>
          <w:b w:val="0"/>
          <w:i w:val="0"/>
        </w:rPr>
        <w:t xml:space="preserve"> 2025;77(4):475-485. PMID: 39919899</w:t>
      </w:r>
    </w:p>
    <w:p>
      <w:pPr>
        <w:spacing w:after="80" w:line="276" w:lineRule="auto"/>
      </w:pPr>
      <w:r>
        <w:rPr>
          <w:b w:val="0"/>
          <w:i w:val="0"/>
        </w:rPr>
        <w:t xml:space="preserve">7. Brown GJ, Cañete PF, Wang H, et al. TLR7 gain-of-function genetic variation causes human lupus. </w:t>
      </w:r>
      <w:r>
        <w:rPr>
          <w:i/>
        </w:rPr>
        <w:t>Nature.</w:t>
      </w:r>
      <w:r>
        <w:rPr>
          <w:b w:val="0"/>
          <w:i w:val="0"/>
        </w:rPr>
        <w:t xml:space="preserve"> 2022;605(7910):349-356. PMID: 35477763</w:t>
      </w:r>
    </w:p>
    <w:p>
      <w:pPr>
        <w:spacing w:after="80" w:line="276" w:lineRule="auto"/>
      </w:pPr>
      <w:r>
        <w:rPr>
          <w:b w:val="0"/>
          <w:i w:val="0"/>
        </w:rPr>
        <w:t xml:space="preserve">8. Bhatt AJ, Michne W, Guiducci C, et al. Enpatoran, a novel TLR7/8 inhibitor, demonstrates safety and target engagement in healthy volunteers and SLE patients. </w:t>
      </w:r>
      <w:r>
        <w:rPr>
          <w:i/>
        </w:rPr>
        <w:t>Lupus Sci Med.</w:t>
      </w:r>
      <w:r>
        <w:rPr>
          <w:b w:val="0"/>
          <w:i w:val="0"/>
        </w:rPr>
        <w:t xml:space="preserve"> 2023;10(1):e000872. PMID: 37072310</w:t>
      </w:r>
    </w:p>
    <w:p>
      <w:pPr>
        <w:spacing w:after="80" w:line="276" w:lineRule="auto"/>
      </w:pPr>
      <w:r>
        <w:rPr>
          <w:b w:val="0"/>
          <w:i w:val="0"/>
        </w:rPr>
        <w:t>9. [Merck KGaA]. ELOWEN-1 and ELOWEN-2 Phase 3 trials of enpatoran in SLE. ClinicalTrials.gov NCT07332481, NCT07355218. Initiated April 2026.</w:t>
      </w:r>
    </w:p>
    <w:p>
      <w:pPr>
        <w:spacing w:after="80" w:line="276" w:lineRule="auto"/>
      </w:pPr>
      <w:r>
        <w:rPr>
          <w:b w:val="0"/>
          <w:i w:val="0"/>
        </w:rPr>
        <w:t xml:space="preserve">9. [Authors]. Longitudinal transcriptomic profiling of belimumab-treated SLE patients identifies B-cell depletion signatures and IFN persistence. </w:t>
      </w:r>
      <w:r>
        <w:rPr>
          <w:i/>
        </w:rPr>
        <w:t>Front Immunol.</w:t>
      </w:r>
      <w:r>
        <w:rPr>
          <w:b w:val="0"/>
          <w:i w:val="0"/>
        </w:rPr>
        <w:t xml:space="preserve"> 2025;16:1506298. PMID: 39975549 — Zenodo DOI: 10.5281/zenodo.14557188</w:t>
      </w:r>
    </w:p>
    <w:p>
      <w:pPr>
        <w:spacing w:after="80" w:line="276" w:lineRule="auto"/>
      </w:pPr>
      <w:r>
        <w:rPr>
          <w:b w:val="0"/>
          <w:i w:val="0"/>
        </w:rPr>
        <w:t xml:space="preserve">10. Clark DV, Chenoweth JG, Krishnan S, et al. Point-of-care biomarker assay for rapid multiplexed detection of CRP and IP-10. </w:t>
      </w:r>
      <w:r>
        <w:rPr>
          <w:i/>
        </w:rPr>
        <w:t>medRxiv.</w:t>
      </w:r>
      <w:r>
        <w:rPr>
          <w:b w:val="0"/>
          <w:i w:val="0"/>
        </w:rPr>
        <w:t xml:space="preserve"> 2023.05.25.23290476. DOI: 10.1101/2023.05.25.23290476</w:t>
      </w:r>
    </w:p>
    <w:p>
      <w:pPr>
        <w:spacing w:after="80" w:line="276" w:lineRule="auto"/>
      </w:pPr>
      <w:r>
        <w:rPr>
          <w:b w:val="0"/>
          <w:i w:val="0"/>
        </w:rPr>
        <w:t xml:space="preserve">11. Alzamareh DF, Meednu N, Nandedkar-Kulkarni N, et al. Interferon activation in bone marrow long-lived plasma cells in systemic lupus erythematosus. </w:t>
      </w:r>
      <w:r>
        <w:rPr>
          <w:i/>
        </w:rPr>
        <w:t>Front Immunol.</w:t>
      </w:r>
      <w:r>
        <w:rPr>
          <w:b w:val="0"/>
          <w:i w:val="0"/>
        </w:rPr>
        <w:t xml:space="preserve"> 2024;15:1474292. PMID: 39867907 — GSE278120</w:t>
      </w:r>
    </w:p>
    <w:p>
      <w:pPr>
        <w:spacing w:after="80" w:line="276" w:lineRule="auto"/>
      </w:pPr>
      <w:r>
        <w:rPr>
          <w:b w:val="0"/>
          <w:i w:val="0"/>
        </w:rPr>
        <w:t xml:space="preserve">14. Zervopoulou E, Grigoriou M, Doumas SA, et al. Enhanced medullary and extramedullary granulopoiesis sustain the inflammatory response in lupus nephritis. </w:t>
      </w:r>
      <w:r>
        <w:rPr>
          <w:i/>
        </w:rPr>
        <w:t>Lupus Sci Med.</w:t>
      </w:r>
      <w:r>
        <w:rPr>
          <w:b w:val="0"/>
          <w:i w:val="0"/>
        </w:rPr>
        <w:t xml:space="preserve"> 2024;11(1):e001107. PMID: 38471723</w:t>
      </w:r>
    </w:p>
    <w:p>
      <w:pPr>
        <w:spacing w:after="80" w:line="276" w:lineRule="auto"/>
      </w:pPr>
      <w:r>
        <w:rPr>
          <w:b w:val="0"/>
          <w:i w:val="0"/>
        </w:rPr>
        <w:t xml:space="preserve">15. Li X, Fei F, Yao G, et al. Notch1 signalling controls the differentiation and function of myeloid-derived suppressor cells in systemic lupus erythematosus. </w:t>
      </w:r>
      <w:r>
        <w:rPr>
          <w:i/>
        </w:rPr>
        <w:t>Immunology.</w:t>
      </w:r>
      <w:r>
        <w:rPr>
          <w:b w:val="0"/>
          <w:i w:val="0"/>
        </w:rPr>
        <w:t xml:space="preserve"> 2023;168(3):449-464. PMID: 36038992</w:t>
      </w:r>
    </w:p>
    <w:p>
      <w:pPr>
        <w:spacing w:after="80" w:line="276" w:lineRule="auto"/>
      </w:pPr>
      <w:r>
        <w:rPr>
          <w:b w:val="0"/>
          <w:i w:val="0"/>
        </w:rPr>
        <w:t xml:space="preserve">16. Lei R, Vu B, Kourentzi K, et al. A novel technology for home monitoring of lupus nephritis that tracks the pathogenic urine biomarker ALCAM. </w:t>
      </w:r>
      <w:r>
        <w:rPr>
          <w:i/>
        </w:rPr>
        <w:t>Front Immunol.</w:t>
      </w:r>
      <w:r>
        <w:rPr>
          <w:b w:val="0"/>
          <w:i w:val="0"/>
        </w:rPr>
        <w:t xml:space="preserve"> 2022;13:1044743. PMID: 36569919 — PMC9780296</w:t>
      </w:r>
    </w:p>
    <w:p>
      <w:pPr>
        <w:pStyle w:val="Heading2"/>
        <w:spacing w:after="80" w:line="276" w:lineRule="auto"/>
      </w:pPr>
      <w:r>
        <w:rPr>
          <w:b/>
          <w:i w:val="0"/>
        </w:rPr>
        <w:t>Supplementary Material</w:t>
      </w:r>
    </w:p>
    <w:p>
      <w:pPr>
        <w:spacing w:after="80" w:line="276" w:lineRule="auto"/>
      </w:pPr>
      <w:r>
        <w:rPr>
          <w:b w:val="0"/>
          <w:i w:val="0"/>
        </w:rPr>
      </w:r>
      <w:r>
        <w:rPr>
          <w:i/>
        </w:rPr>
        <w:t>Detailed supplementary tables and extended correlation heatmaps are available from the author upon request.</w:t>
      </w:r>
      <w:r>
        <w:rPr>
          <w:b w:val="0"/>
          <w:i w:val="0"/>
        </w:rPr>
      </w:r>
    </w:p>
    <w:p>
      <w:r>
        <w:rPr>
          <w:rFonts w:ascii="Courier New" w:hAnsi="Courier New"/>
          <w:sz w:val="18"/>
        </w:rPr>
        <w:t>RNA immune complex</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TLR7 ──► MYD88 ──► IRF7 ──► Type I IFN</w:t>
      </w:r>
    </w:p>
    <w:p>
      <w:r>
        <w:rPr>
          <w:rFonts w:ascii="Courier New" w:hAnsi="Courier New"/>
          <w:sz w:val="18"/>
        </w:rPr>
        <w:t xml:space="preserve">      │                      │       │</w:t>
      </w:r>
    </w:p>
    <w:p>
      <w:r>
        <w:rPr>
          <w:rFonts w:ascii="Courier New" w:hAnsi="Courier New"/>
          <w:sz w:val="18"/>
        </w:rPr>
        <w:t xml:space="preserve">      │                      │       └──► TLR7 (↑ feed-forward)</w:t>
      </w:r>
    </w:p>
    <w:p>
      <w:r>
        <w:rPr>
          <w:rFonts w:ascii="Courier New" w:hAnsi="Courier New"/>
          <w:sz w:val="18"/>
        </w:rPr>
        <w:t xml:space="preserve">      │                      │</w:t>
      </w:r>
    </w:p>
    <w:p>
      <w:r>
        <w:rPr>
          <w:rFonts w:ascii="Courier New" w:hAnsi="Courier New"/>
          <w:sz w:val="18"/>
        </w:rPr>
        <w:t xml:space="preserve">      │                      └──► IFN signature (IFIT1, IFI44, MX1, etc.)</w:t>
      </w:r>
    </w:p>
    <w:p>
      <w:r>
        <w:rPr>
          <w:rFonts w:ascii="Courier New" w:hAnsi="Courier New"/>
          <w:sz w:val="18"/>
        </w:rPr>
        <w:t xml:space="preserve">      │</w:t>
      </w:r>
    </w:p>
    <w:p>
      <w:r>
        <w:rPr>
          <w:rFonts w:ascii="Courier New" w:hAnsi="Courier New"/>
          <w:sz w:val="18"/>
        </w:rPr>
        <w:t xml:space="preserve">      └──► NF-κB ──► BAFF</w:t>
      </w:r>
    </w:p>
    <w:p>
      <w:r>
        <w:rPr>
          <w:rFonts w:ascii="Courier New" w:hAnsi="Courier New"/>
          <w:sz w:val="18"/>
        </w:rPr>
        <w:t xml:space="preserve">                         │</w:t>
      </w:r>
    </w:p>
    <w:p>
      <w:r>
        <w:rPr>
          <w:rFonts w:ascii="Courier New" w:hAnsi="Courier New"/>
          <w:sz w:val="18"/>
        </w:rPr>
        <w:t xml:space="preserve">                         └──► B-cell survival → autoantibodies → RNA IC (loop closes)</w:t>
      </w:r>
    </w:p>
    <w:p>
      <w:pPr>
        <w:spacing w:after="80" w:line="276" w:lineRule="auto"/>
      </w:pPr>
      <w:r>
        <w:rPr>
          <w:b w:val="0"/>
          <w:i w:val="0"/>
        </w:rPr>
      </w:r>
      <w:r>
        <w:rPr>
          <w:b/>
        </w:rPr>
        <w:t>Flare (turbo) mode adds:</w:t>
      </w:r>
      <w:r>
        <w:rPr>
          <w:b w:val="0"/>
          <w:i w:val="0"/>
        </w:rPr>
        <w:t xml:space="preserve"> TNF↑↑ (FC ~4.3), ESR1↓↓ (FC ~0.38), amplified cytokine cascade.</w:t>
      </w:r>
    </w:p>
    <w:p>
      <w:pPr>
        <w:spacing w:after="80" w:line="276" w:lineRule="auto"/>
      </w:pPr>
      <w:r>
        <w:rPr>
          <w:b w:val="0"/>
          <w:i w:val="0"/>
        </w:rPr>
      </w:r>
      <w:r>
        <w:rPr>
          <w:i/>
        </w:rPr>
        <w:t>Draft prepared: May 2026. Correspondence: javier4722v2@gmail.com</w:t>
      </w:r>
      <w:r>
        <w:rPr>
          <w:b w:val="0"/>
          <w:i w:val="0"/>
        </w:rPr>
      </w:r>
    </w:p>
    <w:p>
      <w:pPr>
        <w:spacing w:after="80" w:line="276" w:lineRule="auto"/>
      </w:pPr>
      <w:r>
        <w:rPr>
          <w:b w:val="0"/>
          <w:i w:val="0"/>
        </w:rPr>
      </w:r>
      <w:r>
        <w:rPr>
          <w:i/>
        </w:rPr>
        <w:t>All analyses use publicly available data. No ethics approval required.</w:t>
      </w:r>
      <w:r>
        <w:rPr>
          <w:b w:val="0"/>
          <w:i w:val="0"/>
        </w:rP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