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center"/>
      </w:pPr>
      <w:r>
        <w:rPr>
          <w:rFonts w:ascii="Arial" w:cs="Arial" w:eastAsia="Arial" w:hAnsi="Arial"/>
          <w:b/>
          <w:bCs/>
          <w:sz w:val="26"/>
          <w:szCs w:val="26"/>
        </w:rPr>
        <w:t xml:space="preserve">UNINPAHU</w:t>
      </w:r>
    </w:p>
    <w:p>
      <w:pPr>
        <w:spacing w:line="360"/>
        <w:jc w:val="center"/>
      </w:pPr>
      <w:r>
        <w:rPr>
          <w:rFonts w:ascii="Arial" w:cs="Arial" w:eastAsia="Arial" w:hAnsi="Arial"/>
          <w:sz w:val="22"/>
          <w:szCs w:val="22"/>
        </w:rPr>
        <w:t xml:space="preserve">Facultad de Ingeniería y Tecnologías de la Información</w:t>
      </w:r>
    </w:p>
    <w:p>
      <w:pPr>
        <w:spacing w:after="1400" w:line="360"/>
        <w:jc w:val="center"/>
      </w:pPr>
      <w:r>
        <w:rPr>
          <w:rFonts w:ascii="Arial" w:cs="Arial" w:eastAsia="Arial" w:hAnsi="Arial"/>
          <w:sz w:val="22"/>
          <w:szCs w:val="22"/>
        </w:rPr>
        <w:t xml:space="preserve">Programa de Ingeniería de Software</w:t>
      </w:r>
    </w:p>
    <w:p>
      <w:pPr>
        <w:spacing w:after="1400" w:line="400"/>
        <w:jc w:val="center"/>
      </w:pPr>
      <w:r>
        <w:rPr>
          <w:rFonts w:ascii="Arial" w:cs="Arial" w:eastAsia="Arial" w:hAnsi="Arial"/>
          <w:b/>
          <w:bCs/>
          <w:sz w:val="28"/>
          <w:szCs w:val="28"/>
        </w:rPr>
        <w:t xml:space="preserve">CMEDriver: plataforma orientada a API para la gestión, trazabilidad en tiempo real y comunicación directa cliente-mensajero en servicios de mensajería en Colombia</w:t>
      </w:r>
    </w:p>
    <w:p>
      <w:pPr>
        <w:spacing w:line="360"/>
        <w:jc w:val="center"/>
      </w:pPr>
      <w:r>
        <w:rPr>
          <w:rFonts w:ascii="Arial" w:cs="Arial" w:eastAsia="Arial" w:hAnsi="Arial"/>
          <w:sz w:val="22"/>
          <w:szCs w:val="22"/>
        </w:rPr>
        <w:t xml:space="preserve">Proyecto (Ingeniería de Software)</w:t>
      </w:r>
    </w:p>
    <w:p>
      <w:pPr>
        <w:spacing w:after="1000" w:line="360"/>
        <w:jc w:val="center"/>
      </w:pPr>
      <w:r>
        <w:rPr>
          <w:rFonts w:ascii="Arial" w:cs="Arial" w:eastAsia="Arial" w:hAnsi="Arial"/>
          <w:i/>
          <w:iCs/>
          <w:sz w:val="22"/>
          <w:szCs w:val="22"/>
        </w:rPr>
        <w:t xml:space="preserve">Entrega 2: Marco Teórico y Metodología</w:t>
      </w:r>
    </w:p>
    <w:p>
      <w:pPr>
        <w:spacing w:line="360"/>
        <w:jc w:val="center"/>
      </w:pPr>
      <w:r>
        <w:rPr>
          <w:rFonts w:ascii="Arial" w:cs="Arial" w:eastAsia="Arial" w:hAnsi="Arial"/>
          <w:b/>
          <w:bCs/>
          <w:sz w:val="22"/>
          <w:szCs w:val="22"/>
        </w:rPr>
        <w:t xml:space="preserve">Estudiante</w:t>
      </w:r>
    </w:p>
    <w:p>
      <w:pPr>
        <w:spacing w:after="300" w:line="360"/>
        <w:jc w:val="center"/>
      </w:pPr>
      <w:r>
        <w:rPr>
          <w:rFonts w:ascii="Arial" w:cs="Arial" w:eastAsia="Arial" w:hAnsi="Arial"/>
          <w:sz w:val="22"/>
          <w:szCs w:val="22"/>
        </w:rPr>
        <w:t xml:space="preserve">Javier Esteban Mora Osorio</w:t>
      </w:r>
    </w:p>
    <w:p>
      <w:pPr>
        <w:spacing w:line="360"/>
        <w:jc w:val="center"/>
      </w:pPr>
      <w:r>
        <w:rPr>
          <w:rFonts w:ascii="Arial" w:cs="Arial" w:eastAsia="Arial" w:hAnsi="Arial"/>
          <w:b/>
          <w:bCs/>
          <w:sz w:val="22"/>
          <w:szCs w:val="22"/>
        </w:rPr>
        <w:t xml:space="preserve">Docente asesora</w:t>
      </w:r>
    </w:p>
    <w:p>
      <w:pPr>
        <w:spacing w:after="1000" w:line="360"/>
        <w:jc w:val="center"/>
      </w:pPr>
      <w:r>
        <w:rPr>
          <w:rFonts w:ascii="Arial" w:cs="Arial" w:eastAsia="Arial" w:hAnsi="Arial"/>
          <w:sz w:val="22"/>
          <w:szCs w:val="22"/>
        </w:rPr>
        <w:t xml:space="preserve">Luisa Fernanda Loza Muñetón</w:t>
      </w:r>
    </w:p>
    <w:p>
      <w:pPr>
        <w:spacing w:line="360"/>
        <w:jc w:val="center"/>
      </w:pPr>
      <w:r>
        <w:rPr>
          <w:rFonts w:ascii="Arial" w:cs="Arial" w:eastAsia="Arial" w:hAnsi="Arial"/>
          <w:sz w:val="22"/>
          <w:szCs w:val="22"/>
        </w:rPr>
        <w:t xml:space="preserve">Bogotá</w:t>
      </w:r>
    </w:p>
    <w:p>
      <w:pPr>
        <w:spacing w:line="360"/>
        <w:jc w:val="center"/>
      </w:pPr>
      <w:r>
        <w:rPr>
          <w:rFonts w:ascii="Arial" w:cs="Arial" w:eastAsia="Arial" w:hAnsi="Arial"/>
          <w:sz w:val="22"/>
          <w:szCs w:val="22"/>
        </w:rPr>
        <w:t xml:space="preserve">Octubre de 2026</w:t>
      </w:r>
    </w:p>
    <w:p>
      <w:pPr>
        <w:pageBreakBefore/>
        <w:spacing w:before="2800"/>
        <w:jc w:val="center"/>
      </w:pPr>
      <w:r>
        <w:rPr>
          <w:rFonts w:ascii="Arial" w:cs="Arial" w:eastAsia="Arial" w:hAnsi="Arial"/>
          <w:b/>
          <w:bCs/>
          <w:sz w:val="26"/>
          <w:szCs w:val="26"/>
        </w:rPr>
        <w:t xml:space="preserve">CMEDriver: plataforma orientada a API para la gestión, trazabilidad en tiempo real y comunicación directa cliente-mensajero en servicios de mensajería en Colombia</w:t>
      </w:r>
    </w:p>
    <w:p>
      <w:pPr>
        <w:spacing w:before="600" w:line="360"/>
        <w:jc w:val="center"/>
      </w:pPr>
      <w:r>
        <w:rPr>
          <w:rFonts w:ascii="Arial" w:cs="Arial" w:eastAsia="Arial" w:hAnsi="Arial"/>
          <w:sz w:val="22"/>
          <w:szCs w:val="22"/>
        </w:rPr>
        <w:t xml:space="preserve">Autor: Javier Esteban Mora Osorio</w:t>
      </w:r>
    </w:p>
    <w:p>
      <w:pPr>
        <w:spacing w:line="360"/>
        <w:jc w:val="center"/>
      </w:pPr>
      <w:r>
        <w:rPr>
          <w:rFonts w:ascii="Arial" w:cs="Arial" w:eastAsia="Arial" w:hAnsi="Arial"/>
          <w:sz w:val="22"/>
          <w:szCs w:val="22"/>
        </w:rPr>
        <w:t xml:space="preserve">Asesora: Luisa Fernanda Loza Muñetón</w:t>
      </w:r>
    </w:p>
    <w:p>
      <w:pPr>
        <w:spacing w:line="360"/>
        <w:jc w:val="center"/>
      </w:pPr>
      <w:r>
        <w:rPr>
          <w:rFonts w:ascii="Arial" w:cs="Arial" w:eastAsia="Arial" w:hAnsi="Arial"/>
          <w:sz w:val="22"/>
          <w:szCs w:val="22"/>
        </w:rPr>
        <w:t xml:space="preserve">Programa de Ingeniería de Software, UNINPAHU</w:t>
      </w:r>
    </w:p>
    <w:p>
      <w:pPr>
        <w:spacing w:line="360"/>
        <w:jc w:val="center"/>
      </w:pPr>
      <w:r>
        <w:rPr>
          <w:rFonts w:ascii="Arial" w:cs="Arial" w:eastAsia="Arial" w:hAnsi="Arial"/>
          <w:sz w:val="22"/>
          <w:szCs w:val="22"/>
        </w:rPr>
        <w:t xml:space="preserve">Proyecto (Ingeniería de Software), Entrega 2</w:t>
      </w:r>
    </w:p>
    <w:p>
      <w:pPr>
        <w:spacing w:line="360"/>
        <w:jc w:val="center"/>
        <w:sectPr>
          <w:pgSz w:w="12240" w:h="15840" w:orient="portrait"/>
          <w:pgMar w:top="1440" w:right="1440" w:bottom="1440" w:left="1440" w:header="708" w:footer="708" w:gutter="0"/>
          <w:pgNumType/>
          <w:docGrid w:linePitch="360"/>
        </w:sectPr>
      </w:pPr>
      <w:r>
        <w:rPr>
          <w:rFonts w:ascii="Arial" w:cs="Arial" w:eastAsia="Arial" w:hAnsi="Arial"/>
          <w:sz w:val="22"/>
          <w:szCs w:val="22"/>
        </w:rPr>
        <w:t xml:space="preserve">2026</w:t>
      </w:r>
    </w:p>
    <w:p>
      <w:pPr>
        <w:pStyle w:val="Heading1"/>
        <w:keepNext/>
        <w:pageBreakBefore/>
      </w:pPr>
      <w:r>
        <w:t xml:space="preserve">4. Marco Teórico</w:t>
      </w:r>
    </w:p>
    <w:p>
      <w:r>
        <w:rPr>
          <w:rFonts w:ascii="Arial" w:cs="Arial" w:eastAsia="Arial" w:hAnsi="Arial"/>
          <w:sz w:val="22"/>
          <w:szCs w:val="22"/>
        </w:rPr>
        <w:t xml:space="preserve">Este capítulo retoma, sin replantearlo, el problema de la Introducción: la fragmentación de la información en la mensajería de última milla (quién tiene el pedido, dónde está, si se entregó y cómo consta) y la ausencia de una plataforma integrada y accesible para un operador de mensajería, con Logytech Mobile (empresa multinacional de logística) como organización de aplicación en Colombia durante el segundo semestre de 2026. Integra conceptos clave, enfoques de ingeniería de software de la guía de la asignatura y normativa colombiana, y cada subtítulo cierra explicando su relación con el problema y con los objetivos específicos de la sección 3.3. La Tabla 1 fija seis términos técnicos que se usan en el resto del capítulo, definidos con fuentes especializadas y no con diccionario.</w:t>
      </w:r>
    </w:p>
    <w:p>
      <w:pPr>
        <w:keepNext/>
        <w:spacing w:after="0" w:before="120"/>
        <w:jc w:val="left"/>
      </w:pPr>
      <w:r>
        <w:rPr>
          <w:rFonts w:ascii="Arial" w:cs="Arial" w:eastAsia="Arial" w:hAnsi="Arial"/>
          <w:b/>
          <w:bCs/>
          <w:sz w:val="22"/>
          <w:szCs w:val="22"/>
        </w:rPr>
        <w:t xml:space="preserve">Tabla 1</w:t>
      </w:r>
    </w:p>
    <w:p>
      <w:pPr>
        <w:keepNext/>
        <w:spacing w:after="60"/>
        <w:jc w:val="left"/>
      </w:pPr>
      <w:r>
        <w:rPr>
          <w:rFonts w:ascii="Arial" w:cs="Arial" w:eastAsia="Arial" w:hAnsi="Arial"/>
          <w:i/>
          <w:iCs/>
          <w:sz w:val="22"/>
          <w:szCs w:val="22"/>
        </w:rPr>
        <w:t xml:space="preserve">Términos técnicos centrales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12"/>
        <w:gridCol w:w="3312"/>
        <w:gridCol w:w="2736"/>
      </w:tblGrid>
      <w:tr>
        <w:trPr>
          <w:cantSplit/>
          <w:tblHeader/>
        </w:trPr>
        <w:tc>
          <w:tcPr>
            <w:tcW w:type="dxa" w:w="3312"/>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Término</w:t>
            </w:r>
          </w:p>
        </w:tc>
        <w:tc>
          <w:tcPr>
            <w:tcW w:type="dxa" w:w="3312"/>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Definición (autor)</w:t>
            </w:r>
          </w:p>
        </w:tc>
        <w:tc>
          <w:tcPr>
            <w:tcW w:type="dxa" w:w="2736"/>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Fuente</w:t>
            </w:r>
          </w:p>
        </w:tc>
      </w:tr>
      <w:tr>
        <w:trPr>
          <w:cantSplit/>
          <w:tblHeader w:val="off"/>
        </w:trPr>
        <w:tc>
          <w:tcPr>
            <w:tcW w:type="dxa" w:w="331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Última milla</w:t>
            </w:r>
          </w:p>
        </w:tc>
        <w:tc>
          <w:tcPr>
            <w:tcW w:type="dxa" w:w="331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Último tramo de la distribución; los autores lo vinculan con los retos logísticos que trajo el crecimiento del comercio electrónico y señalan que el reparto domiciliario tradicional llegó a su límite en áreas metropolitanas</w:t>
            </w:r>
          </w:p>
        </w:tc>
        <w:tc>
          <w:tcPr>
            <w:tcW w:type="dxa" w:w="273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Mohammad et al. (2023)</w:t>
            </w:r>
          </w:p>
        </w:tc>
      </w:tr>
      <w:tr>
        <w:trPr>
          <w:cantSplit/>
          <w:tblHeader w:val="off"/>
        </w:trPr>
        <w:tc>
          <w:tcPr>
            <w:tcW w:type="dxa" w:w="331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API-first</w:t>
            </w:r>
          </w:p>
        </w:tc>
        <w:tc>
          <w:tcPr>
            <w:tcW w:type="dxa" w:w="331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Principio según el cual todas las capacidades de una organización y sus sistemas se exponen mediante una API, y la base del diseño del sistema es la definición de APIs claras y bien definidas</w:t>
            </w:r>
          </w:p>
        </w:tc>
        <w:tc>
          <w:tcPr>
            <w:tcW w:type="dxa" w:w="273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Beaulieu et al. (2022)</w:t>
            </w:r>
          </w:p>
        </w:tc>
      </w:tr>
      <w:tr>
        <w:trPr>
          <w:cantSplit/>
          <w:tblHeader w:val="off"/>
        </w:trPr>
        <w:tc>
          <w:tcPr>
            <w:tcW w:type="dxa" w:w="331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Monolito modular</w:t>
            </w:r>
          </w:p>
        </w:tc>
        <w:tc>
          <w:tcPr>
            <w:tcW w:type="dxa" w:w="331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Arquitectura híbrida entre el monolito tradicional y los microservicios, que combina simplicidad operativa con modularidad y mantenibilidad</w:t>
            </w:r>
          </w:p>
        </w:tc>
        <w:tc>
          <w:tcPr>
            <w:tcW w:type="dxa" w:w="273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Al-Qora’n y Al-Said Ahmad (2025)</w:t>
            </w:r>
          </w:p>
        </w:tc>
      </w:tr>
      <w:tr>
        <w:trPr>
          <w:cantSplit/>
          <w:tblHeader w:val="off"/>
        </w:trPr>
        <w:tc>
          <w:tcPr>
            <w:tcW w:type="dxa" w:w="331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Rastreo basado en aplicaciones (</w:t>
            </w:r>
            <w:r>
              <w:rPr>
                <w:rFonts w:ascii="Arial" w:cs="Arial" w:eastAsia="Arial" w:hAnsi="Arial"/>
                <w:b w:val="false"/>
                <w:bCs w:val="false"/>
                <w:i/>
                <w:iCs/>
                <w:sz w:val="18"/>
                <w:szCs w:val="18"/>
              </w:rPr>
              <w:t xml:space="preserve">app-based tracking</w:t>
            </w:r>
            <w:r>
              <w:rPr>
                <w:rFonts w:ascii="Arial" w:cs="Arial" w:eastAsia="Arial" w:hAnsi="Arial"/>
                <w:b w:val="false"/>
                <w:bCs w:val="false"/>
                <w:sz w:val="18"/>
                <w:szCs w:val="18"/>
              </w:rPr>
              <w:t xml:space="preserve">)</w:t>
            </w:r>
          </w:p>
        </w:tc>
        <w:tc>
          <w:tcPr>
            <w:tcW w:type="dxa" w:w="331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Seguimiento de la ubicación de los repartidores mediante aplicaciones móviles; los autores lo describen como clave para la coordinación del reparto y también para su vigilancia</w:t>
            </w:r>
          </w:p>
        </w:tc>
        <w:tc>
          <w:tcPr>
            <w:tcW w:type="dxa" w:w="273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Randerath y Friedrich (2025)</w:t>
            </w:r>
          </w:p>
        </w:tc>
      </w:tr>
      <w:tr>
        <w:trPr>
          <w:cantSplit/>
          <w:tblHeader w:val="off"/>
        </w:trPr>
        <w:tc>
          <w:tcPr>
            <w:tcW w:type="dxa" w:w="331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Geocodificación</w:t>
            </w:r>
          </w:p>
        </w:tc>
        <w:tc>
          <w:tcPr>
            <w:tcW w:type="dxa" w:w="331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Conversión de direcciones postales en coordenadas, evaluada por la cercanía a las coordenadas de referencia</w:t>
            </w:r>
          </w:p>
        </w:tc>
        <w:tc>
          <w:tcPr>
            <w:tcW w:type="dxa" w:w="273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Pérez y Aybar (2024)</w:t>
            </w:r>
          </w:p>
        </w:tc>
      </w:tr>
      <w:tr>
        <w:trPr>
          <w:cantSplit/>
          <w:tblHeader w:val="off"/>
        </w:trPr>
        <w:tc>
          <w:tcPr>
            <w:tcW w:type="dxa" w:w="331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Dato personal</w:t>
            </w:r>
          </w:p>
        </w:tc>
        <w:tc>
          <w:tcPr>
            <w:tcW w:type="dxa" w:w="331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Cualquier información vinculada o asociable a una o varias personas naturales determinadas o determinables</w:t>
            </w:r>
          </w:p>
        </w:tc>
        <w:tc>
          <w:tcPr>
            <w:tcW w:type="dxa" w:w="273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Ley 1581 de 2012, art. 3</w:t>
            </w:r>
          </w:p>
        </w:tc>
      </w:tr>
    </w:tbl>
    <w:p>
      <w:pPr>
        <w:spacing w:after="0" w:line="100" w:lineRule="exact"/>
      </w:pPr>
    </w:p>
    <w:p>
      <w:pPr>
        <w:spacing w:after="140" w:before="40" w:line="240"/>
        <w:jc w:val="left"/>
      </w:pPr>
      <w:r>
        <w:rPr>
          <w:rFonts w:ascii="Arial" w:cs="Arial" w:eastAsia="Arial" w:hAnsi="Arial"/>
          <w:i/>
          <w:iCs/>
          <w:sz w:val="20"/>
          <w:szCs w:val="20"/>
        </w:rPr>
        <w:t xml:space="preserve">Nota.</w:t>
      </w:r>
      <w:r>
        <w:rPr>
          <w:rFonts w:ascii="Arial" w:cs="Arial" w:eastAsia="Arial" w:hAnsi="Arial"/>
          <w:sz w:val="20"/>
          <w:szCs w:val="20"/>
        </w:rPr>
        <w:t xml:space="preserve"> Fuente: Elaboración propia a partir de las fuentes citadas en la tabla.</w:t>
      </w:r>
    </w:p>
    <w:p>
      <w:pPr>
        <w:pStyle w:val="Heading2"/>
        <w:keepNext/>
      </w:pPr>
      <w:r>
        <w:t xml:space="preserve">4.1 Logística de última milla y servicios de mensajería</w:t>
      </w:r>
    </w:p>
    <w:p>
      <w:r>
        <w:rPr>
          <w:rFonts w:ascii="Arial" w:cs="Arial" w:eastAsia="Arial" w:hAnsi="Arial"/>
          <w:sz w:val="22"/>
          <w:szCs w:val="22"/>
        </w:rPr>
        <w:t xml:space="preserve">La última milla es el tramo más presionado de la cadena y, a la vez, el que más depende de la coordinación de información. Mohammad et al. (2023), tras revisar más de 80 publicaciones sobre soluciones innovadoras (drones, estaciones inteligentes de paquetes, robots y crowdsourcing), sostienen que el reparto domiciliario tradicional ya no es eficaz por sí solo en áreas metropolitanas. La revisión es útil como mapa de soluciones, pero casi todas son de infraestructura o de vehículos, fuera del alcance de un operador de mensajería urbana.</w:t>
      </w:r>
    </w:p>
    <w:p>
      <w:r>
        <w:rPr>
          <w:rFonts w:ascii="Arial" w:cs="Arial" w:eastAsia="Arial" w:hAnsi="Arial"/>
          <w:sz w:val="22"/>
          <w:szCs w:val="22"/>
        </w:rPr>
        <w:t xml:space="preserve">La literatura latinoamericana desplaza el foco hacia la estructura del negocio. Restrepo-Betancur et al. (2026), con 64 entrevistas semiestructuradas en Medellín, concluyen que la tercerización de la última milla permite reducir costos trasladando los riesgos operativos a trabajadores informales, y que la escasa supervisión regulatoria institucionaliza esa informalidad. La lectura crítica es doble: el estudio relativiza que un software, por sí solo, resuelva el problema, lo que coincide con la respuesta parcial de la Introducción; y es un único caso, de modo que su extrapolación a otras ciudades es una afirmación de los autores y no un hecho establecido.</w:t>
      </w:r>
    </w:p>
    <w:p>
      <w:r>
        <w:rPr>
          <w:rFonts w:ascii="Arial" w:cs="Arial" w:eastAsia="Arial" w:hAnsi="Arial"/>
          <w:sz w:val="22"/>
          <w:szCs w:val="22"/>
        </w:rPr>
        <w:t xml:space="preserve">Los dos trabajos discrepan en el foco (innovación técnica frente a relaciones laborales y regulatorias), y esa divergencia delimita lo que puede resolver una plataforma como CMEDriver: la visibilidad y el registro de la operación, no la informalidad. El subtítulo respalda el Objetivo 1 porque justifica que los requerimientos se deriven de problemas de coordinación y de información. Queda abierta la pregunta de cómo se materializa esa visibilidad hacia el cliente en las operaciones de Logytech Mobile, que es el objeto de la trazabilidad.</w:t>
      </w:r>
    </w:p>
    <w:p>
      <w:pPr>
        <w:pStyle w:val="Heading2"/>
        <w:keepNext/>
      </w:pPr>
      <w:r>
        <w:t xml:space="preserve">4.2 Trazabilidad y evidencia digital de entrega</w:t>
      </w:r>
    </w:p>
    <w:p>
      <w:r>
        <w:rPr>
          <w:rFonts w:ascii="Arial" w:cs="Arial" w:eastAsia="Arial" w:hAnsi="Arial"/>
          <w:sz w:val="22"/>
          <w:szCs w:val="22"/>
        </w:rPr>
        <w:t xml:space="preserve">La trazabilidad se entiende aquí como la capacidad de conocer el estado y la ubicación de un servicio durante su ejecución y de dejar constancia de su cierre. Mogire et al. (2023) encuestaron en línea a 467 clientes de comercio electrónico en Nairobi y reportan que los usuarios del servicio estuvieron más satisfechos que los no usuarios con las opciones de entrega, el seguimiento y las devoluciones; el estudio apoya la relevancia del seguimiento para la experiencia del cliente, pero es una encuesta de otro continente y no establece que el seguimiento cause la satisfacción.</w:t>
      </w:r>
    </w:p>
    <w:p>
      <w:r>
        <w:rPr>
          <w:rFonts w:ascii="Arial" w:cs="Arial" w:eastAsia="Arial" w:hAnsi="Arial"/>
          <w:sz w:val="22"/>
          <w:szCs w:val="22"/>
        </w:rPr>
        <w:t xml:space="preserve">El seguimiento tiene un costo para quien lo ejecuta. Randerath y Friedrich (2025), con una etnografía digital en Alemania, plantean que el rastreo mediante aplicaciones es clave para la coordinación y también para la vigilancia del trabajo de reparto, y que se ha convertido en fuente de tensión y de resistencia por las asimetrías de poder e información. La consecuencia de diseño es que el seguimiento GPS de CMEDriver no puede evaluarse solo por su utilidad para el cliente: afecta a los motorizados, cuyos datos de ubicación son datos personales (4.8).</w:t>
      </w:r>
    </w:p>
    <w:p>
      <w:r>
        <w:rPr>
          <w:rFonts w:ascii="Arial" w:cs="Arial" w:eastAsia="Arial" w:hAnsi="Arial"/>
          <w:sz w:val="22"/>
          <w:szCs w:val="22"/>
        </w:rPr>
        <w:t xml:space="preserve">La evidencia digital es el segundo componente de la trazabilidad. Madhwal et al. (2022) desarrollaron una cadena de bloques de código abierto para gestionar la prueba de entrega (</w:t>
      </w:r>
      <w:r>
        <w:rPr>
          <w:rFonts w:ascii="Arial" w:cs="Arial" w:eastAsia="Arial" w:hAnsi="Arial"/>
          <w:i/>
          <w:iCs/>
          <w:sz w:val="22"/>
          <w:szCs w:val="22"/>
        </w:rPr>
        <w:t xml:space="preserve">proof of delivery</w:t>
      </w:r>
      <w:r>
        <w:rPr>
          <w:rFonts w:ascii="Arial" w:cs="Arial" w:eastAsia="Arial" w:hAnsi="Arial"/>
          <w:sz w:val="22"/>
          <w:szCs w:val="22"/>
        </w:rPr>
        <w:t xml:space="preserve">) y hallaron que los contratos inteligentes vuelven más eficientes los procesos y más confiable esa prueba; advierten, sin embargo, que los contratos necesitan apoyos digitales adicionales para las inspecciones cualitativas y que la cadena requiere registrar transacciones fuera de ella. La fuente respalda la importancia de una prueba de entrega confiable, no un esquema como el del prototipo: CMEDriver no usa cadena de bloques, guarda la foto y la firma como archivos en el servidor y no incorpora un mecanismo propio para detectar su alteración. Su valor probatorio se discute en 4.8, pues el pool verificado no ofrece estudios de mensajería sobre su efecto operativo. El subtítulo respalda el Objetivo 1 y fundamenta los requerimientos de seguimiento y evidencia; falta la arquitectura que permita ofrecer ambas funciones a distintos tipos de usuario.</w:t>
      </w:r>
    </w:p>
    <w:p>
      <w:pPr>
        <w:pStyle w:val="Heading2"/>
        <w:keepNext/>
      </w:pPr>
      <w:r>
        <w:t xml:space="preserve">4.3 Arquitecturas orientadas a API: API-first, REST, webhooks, monolito modular y microservicios</w:t>
      </w:r>
    </w:p>
    <w:p>
      <w:r>
        <w:rPr>
          <w:rFonts w:ascii="Arial" w:cs="Arial" w:eastAsia="Arial" w:hAnsi="Arial"/>
          <w:sz w:val="22"/>
          <w:szCs w:val="22"/>
        </w:rPr>
        <w:t xml:space="preserve">Una plataforma con varios clientes (aplicación multirol y sistemas externos) necesita una interfaz única y estable, y la forma de desplegarla es una decisión con compromisos. Beaulieu et al. (2022) describen el principio API-first, y a la vez reconocen que su base de investigación arbitrada era todavía escasa, de modo que se adopta como práctica de diseño y no como resultado consolidado. Respecto de cómo diseñar la API, Bogner et al. (2023) realizaron un experimento controlado con 105 participantes sobre 12 reglas de diseño REST y hallaron que, para 11 de ellas, las versiones que violaban la regla tuvieron peor desempeño en las preguntas de comprensión; los propios autores lo presentan como una primera evidencia empírica y no como una validación general. Esa evidencia respalda una sola API REST, consistente y documentada, como interfaz común de los cuatro roles y de los integradores. Los webhooks complementan el modelo: en lugar de que el integrador consulte periódicamente, la plataforma notifica los cambios de estado. El pool verificado no ofrece fuente arbitrada sobre esta práctica, por lo que se presenta como práctica de integración y no como conclusión de la literatura.</w:t>
      </w:r>
    </w:p>
    <w:p>
      <w:r>
        <w:rPr>
          <w:rFonts w:ascii="Arial" w:cs="Arial" w:eastAsia="Arial" w:hAnsi="Arial"/>
          <w:sz w:val="22"/>
          <w:szCs w:val="22"/>
        </w:rPr>
        <w:t xml:space="preserve">En cuanto al despliegue, Al-Qora’n y Al-Said Ahmad (2025) describen el monolito modular como un híbrido que combina simplicidad operativa con modularidad y mantenibilidad. Su revisión sistemática (15 estudios primarios) identifica como factores de adopción el despliegue simplificado, la mantenibilidad y la menor sobrecarga de orquestación, y reporta evidencia comparativa de que conviene cuando los microservicios introducen complejidad o costos excesivos; señalan también vacíos que impiden tomarla como receta: falta una definición consensuada, hay poca evidencia de rendimiento y el soporte de herramientas es insuficiente. Esa lectura contrasta con la adopción por defecto de microservicios, cuyo costo operativo difícilmente puede asumir un equipo de una persona (inferencia de diseño), aunque la revisión no compara sistemas pequeños.</w:t>
      </w:r>
    </w:p>
    <w:p>
      <w:r>
        <w:rPr>
          <w:rFonts w:ascii="Arial" w:cs="Arial" w:eastAsia="Arial" w:hAnsi="Arial"/>
          <w:sz w:val="22"/>
          <w:szCs w:val="22"/>
        </w:rPr>
        <w:t xml:space="preserve">La decisión de CMEDriver (un backend único con seis aplicaciones de dominio, expuesto como API REST documentada con OpenAPI, con claves de API para los sistemas externos y con webhooks) es consistente con esa literatura, con la salvedad de que no hay una comparación propia que la valide. El subtítulo sustenta el Objetivo 2. Falta ahora la comunicación inmediata entre las partes, que REST por sí mismo no cubre.</w:t>
      </w:r>
    </w:p>
    <w:p>
      <w:pPr>
        <w:pStyle w:val="Heading2"/>
        <w:keepNext/>
      </w:pPr>
      <w:r>
        <w:t xml:space="preserve">4.4 Comunicación en tiempo real y aplicaciones web/híbridas</w:t>
      </w:r>
    </w:p>
    <w:p>
      <w:r>
        <w:rPr>
          <w:rFonts w:ascii="Arial" w:cs="Arial" w:eastAsia="Arial" w:hAnsi="Arial"/>
          <w:sz w:val="22"/>
          <w:szCs w:val="22"/>
        </w:rPr>
        <w:t xml:space="preserve">El seguimiento GPS y el chat cliente-motorizado exigen que el servidor pueda enviar datos sin que el cliente los pida. Gracia Orejuela et al. (2024) compararon long polling, WebSockets y Server-Sent Events con un chat en línea y 2.000 solicitudes por protocolo: long polling registró 138 fallos (6,90 %), mientras que WebSocket y Server-Sent Events no registraron ninguno. Los autores concluyen que WebSocket es el más adecuado para un backend escalable por su conexión bidireccional, pero reconocen que las pruebas se hicieron en un entorno controlado sin factores propios de producción, y en sus cifras Server-Sent Events obtuvo menor tiempo medio de respuesta y mayor rendimiento. Por tanto, la elección de WebSocket para CMEDriver se sostiene sobre todo en la necesidad de comunicación bidireccional (chat y posiciones) y no en una ventaja de rendimiento, que el estudio no demuestra. De ahí la decisión de mantener un respaldo por consulta periódica cuando la conexión en tiempo real no está disponible: es una medida de resiliencia, no una conclusión de la literatura.</w:t>
      </w:r>
    </w:p>
    <w:p>
      <w:r>
        <w:rPr>
          <w:rFonts w:ascii="Arial" w:cs="Arial" w:eastAsia="Arial" w:hAnsi="Arial"/>
          <w:sz w:val="22"/>
          <w:szCs w:val="22"/>
        </w:rPr>
        <w:t xml:space="preserve">Sobre las aplicaciones híbridas (una base de código para los cuatro roles), el pool verificado no ofrece fuente que valide el marco elegido; es una decisión de ingeniería sujeta a verificación, y el empaquetado para Android no pudo verificarse. El subtítulo respalda el Objetivo 3. A continuación se trata cómo se usa ese canal en las dos funciones con las que el cliente interactúa con la operación: agendar sus recolecciones y comunicarse con el motorizado asignado.</w:t>
      </w:r>
    </w:p>
    <w:p>
      <w:pPr>
        <w:pStyle w:val="Heading2"/>
        <w:keepNext/>
      </w:pPr>
      <w:r>
        <w:t xml:space="preserve">4.5 Agendamiento por el cliente y comunicación directa con el mensajero</w:t>
      </w:r>
    </w:p>
    <w:p>
      <w:r>
        <w:rPr>
          <w:rFonts w:ascii="Arial" w:cs="Arial" w:eastAsia="Arial" w:hAnsi="Arial"/>
          <w:sz w:val="22"/>
          <w:szCs w:val="22"/>
        </w:rPr>
        <w:t xml:space="preserve">El prototipo limita la interacción del cliente con la operación a dos funciones: agendar sus propias recolecciones dentro de la cobertura y del tiempo de anticipación (</w:t>
      </w:r>
      <w:r>
        <w:rPr>
          <w:rFonts w:ascii="Arial" w:cs="Arial" w:eastAsia="Arial" w:hAnsi="Arial"/>
          <w:i/>
          <w:iCs/>
          <w:sz w:val="22"/>
          <w:szCs w:val="22"/>
        </w:rPr>
        <w:t xml:space="preserve">leadtime</w:t>
      </w:r>
      <w:r>
        <w:rPr>
          <w:rFonts w:ascii="Arial" w:cs="Arial" w:eastAsia="Arial" w:hAnsi="Arial"/>
          <w:sz w:val="22"/>
          <w:szCs w:val="22"/>
        </w:rPr>
        <w:t xml:space="preserve">) configurados, y conversar con el motorizado asignado a su servicio, sin respuestas automáticas. Souza et al. (2022) aplicaron una técnica de preferencias declaradas a 83 consumidores potenciales de Florianópolis (Brasil) y hallaron interés y disposición a pagar por programar la entrega al momento de la compra, lo que leen como una tendencia hacia sistemas de entrega personalizados; reconocen un alcance limitado y una muestra pequeña, y se trata de entregas y no de recolecciones. Respalda la pertinencia de ofrecer el agendamiento, no su efecto en Colombia.</w:t>
      </w:r>
    </w:p>
    <w:p>
      <w:r>
        <w:rPr>
          <w:rFonts w:ascii="Arial" w:cs="Arial" w:eastAsia="Arial" w:hAnsi="Arial"/>
          <w:sz w:val="22"/>
          <w:szCs w:val="22"/>
        </w:rPr>
        <w:t xml:space="preserve">Sobre la comunicación directa, el pool verificado no incluye estudios del chat entre cliente y mensajero. El más cercano, Gracia Orejuela et al. (2024), usó un chat en línea para comparar protocolos y no mide el efecto de la comunicación sobre la entrega. La Introducción (3.4) vinculó las entregas fallidas con la coordinación entre cliente y repartidor; que un chat la mejore es una hipótesis a validar. Hay, en cambio, un criterio de diseño: los mensajes son datos personales (Tabla 2) y la Ley 1581 de 2012 establece, entre sus principios, la finalidad y el acceso y la circulación restringidos (art. 4). Por eso el chat de un servicio admite solo al cliente propietario y al motorizado asignado, por REST y por WebSocket; el Administrador y el Alistador no participan. El OWASP API Security Project (2023) incluye entre sus riesgos la autorización rota a nivel de objeto (API1:2023), que aquí equivaldría a leer o escribir mensajes de un servicio ajeno; se retoma en 4.7. El subtítulo respalda los Objetivos 3 y 4 y conduce a la planificación de rutas, otra función que se resuelve sobre el mismo backend.</w:t>
      </w:r>
    </w:p>
    <w:p>
      <w:pPr>
        <w:pStyle w:val="Heading2"/>
        <w:keepNext/>
      </w:pPr>
      <w:r>
        <w:t xml:space="preserve">4.6 Optimización de rutas y geocodificación</w:t>
      </w:r>
    </w:p>
    <w:p>
      <w:r>
        <w:rPr>
          <w:rFonts w:ascii="Arial" w:cs="Arial" w:eastAsia="Arial" w:hAnsi="Arial"/>
          <w:sz w:val="22"/>
          <w:szCs w:val="22"/>
        </w:rPr>
        <w:t xml:space="preserve">La asignación de servicios a motorizados es un problema de ruteo de vehículos. Jazemi et al. (2023), en una revisión de la literatura reciente sobre ruteo para última milla urbana, discuten la naturaleza de estos problemas en cinco aspectos: capacidad de la flota, ventanas de tiempo, opción de flota, dinamismo de los datos de entrada y parámetros estocásticos. El prototipo recurre a una heurística de vecino más cercano que no modela ventanas de tiempo ni dinamismo; el resumen de la revisión no trata esa heurística, y el pool no incluye una fuente que evalúe su calidad en ruteo real de mensajería con pocos vehículos. Su simplicidad favorece un prototipo, pero su calidad no está respaldada: es una limitación declarada y trabajo futuro.</w:t>
      </w:r>
    </w:p>
    <w:p>
      <w:r>
        <w:rPr>
          <w:rFonts w:ascii="Arial" w:cs="Arial" w:eastAsia="Arial" w:hAnsi="Arial"/>
          <w:sz w:val="22"/>
          <w:szCs w:val="22"/>
        </w:rPr>
        <w:t xml:space="preserve">La geocodificación se apoya en un servicio abierto (Nominatim). Pérez y Aybar (2024) evaluaron 15 métodos para convertir direcciones postales en coordenadas con una muestra de 15.000 direcciones de Madrid y hallaron variabilidad importante: Nominatim fue el que más valores faltantes dejó. La evidencia proviene de una sola ciudad europea y no mide direcciones colombianas, de modo que no se afirma que el servicio resuelva bien las direcciones locales; sustenta que conviene validar la geocodificación y tolerar direcciones sin resolver, verificación pendiente para el Objetivo 4. El subtítulo respalda el Objetivo 3 y deja pendiente un aspecto transversal: la seguridad.</w:t>
      </w:r>
    </w:p>
    <w:p>
      <w:pPr>
        <w:pStyle w:val="Heading2"/>
        <w:keepNext/>
      </w:pPr>
      <w:r>
        <w:t xml:space="preserve">4.7 Seguridad en aplicaciones y APIs</w:t>
      </w:r>
    </w:p>
    <w:p>
      <w:r>
        <w:rPr>
          <w:rFonts w:ascii="Arial" w:cs="Arial" w:eastAsia="Arial" w:hAnsi="Arial"/>
          <w:sz w:val="22"/>
          <w:szCs w:val="22"/>
        </w:rPr>
        <w:t xml:space="preserve">La plataforma expone una API a usuarios con roles distintos, a integradores con una clave propia y, por WebSocket, a clientes que reciben posiciones y mensajes. El OWASP API Security Project (2023) documenta, entre otros riesgos, la autenticación rota, que incluye aceptar tokens JWT sin firma o con firma débil o sin validar su vencimiento, y recomienda adoptar estándares establecidos en lugar de implementaciones propias; y los fallos de autorización a nivel de función, que relaciona con políticas de control de acceso complejas (jerarquías, grupos y roles) y con una separación poco clara entre funciones administrativas y regulares. Ambos aplican a una plataforma con cuatro roles, token y claves de API.</w:t>
      </w:r>
    </w:p>
    <w:p>
      <w:r>
        <w:rPr>
          <w:rFonts w:ascii="Arial" w:cs="Arial" w:eastAsia="Arial" w:hAnsi="Arial"/>
          <w:sz w:val="22"/>
          <w:szCs w:val="22"/>
        </w:rPr>
        <w:t xml:space="preserve">A ellos se suma la autorización a nivel de objeto (API1:2023, retomada en 4.5): el backend debe comprobar, además del rol, la relación del usuario con el recurso concreto. Ese es el criterio de CMEDriver: el control de acceso por rol y por propiedad vive en el backend y es el mismo para toda interfaz. Los webhooks salientes llevan una firma HMAC en una cabecera propia (</w:t>
      </w:r>
      <w:r>
        <w:rPr>
          <w:rFonts w:ascii="Consolas" w:cs="Consolas" w:eastAsia="Consolas" w:hAnsi="Consolas"/>
          <w:sz w:val="20"/>
          <w:szCs w:val="20"/>
        </w:rPr>
        <w:t xml:space="preserve">X-CMEDriver-Signature</w:t>
      </w:r>
      <w:r>
        <w:rPr>
          <w:rFonts w:ascii="Arial" w:cs="Arial" w:eastAsia="Arial" w:hAnsi="Arial"/>
          <w:sz w:val="22"/>
          <w:szCs w:val="22"/>
        </w:rPr>
        <w:t xml:space="preserve">) para que el receptor compruebe el origen del evento; es práctica de integración sin respaldo arbitrado en las fuentes verificadas (4.3). Una limitación conocida es que el token del WebSocket viaja en la cadena de consulta y puede quedar en registros de un proxy; se mitigaría con WSS y sin registrar esas cadenas. La fuente es una guía abierta, no un estudio arbitrado, y se asume como criterio de diseño. El subtítulo respalda los Objetivos 2 y 3. La seguridad técnica no agota, sin embargo, la exigencia sobre los datos, que impone además un marco legal.</w:t>
      </w:r>
    </w:p>
    <w:p>
      <w:pPr>
        <w:pStyle w:val="Heading2"/>
        <w:keepNext/>
      </w:pPr>
      <w:r>
        <w:t xml:space="preserve">4.8 Marco normativo y de calidad aplicable</w:t>
      </w:r>
    </w:p>
    <w:p>
      <w:r>
        <w:rPr>
          <w:rFonts w:ascii="Arial" w:cs="Arial" w:eastAsia="Arial" w:hAnsi="Arial"/>
          <w:sz w:val="22"/>
          <w:szCs w:val="22"/>
        </w:rPr>
        <w:t xml:space="preserve">Los datos que circulan por la plataforma y el software mismo están regulados. Se presenta lo que las fuentes oficiales dicen, sin interpretación jurídica propia, y se señalan los puntos que requieren consulta con un profesional del derecho.</w:t>
      </w:r>
    </w:p>
    <w:p>
      <w:r>
        <w:rPr>
          <w:rFonts w:ascii="Arial" w:cs="Arial" w:eastAsia="Arial" w:hAnsi="Arial"/>
          <w:b/>
          <w:bCs/>
          <w:sz w:val="22"/>
          <w:szCs w:val="22"/>
        </w:rPr>
        <w:t xml:space="preserve">Datos personales.</w:t>
      </w:r>
      <w:r>
        <w:rPr>
          <w:rFonts w:ascii="Arial" w:cs="Arial" w:eastAsia="Arial" w:hAnsi="Arial"/>
          <w:sz w:val="22"/>
          <w:szCs w:val="22"/>
        </w:rPr>
        <w:t xml:space="preserve"> La Ley 1581 de 2012 se aplica al tratamiento de datos personales registrados en bases de datos por entidades públicas o privadas (art. 2). Define el dato personal como información vinculada o asociable a personas naturales determinadas o determinables, y el tratamiento como recolección, almacenamiento, uso, circulación o supresión (art. 3). Establece principios (legalidad, finalidad, libertad, veracidad, transparencia, acceso y circulación restringida, seguridad y confidencialidad; art. 4), prohíbe el tratamiento de datos sensibles, entre ellos los biométricos, salvo excepciones como la autorización explícita (arts. 5 y 6), y exige autorización previa e informada, obtenida por un medio que permita su consulta posterior (art. 9). Su reglamentación (decretos compilados) se deja a la consulta jurídica previa al uso con personas reales.</w:t>
      </w:r>
    </w:p>
    <w:p>
      <w:r>
        <w:rPr>
          <w:rFonts w:ascii="Arial" w:cs="Arial" w:eastAsia="Arial" w:hAnsi="Arial"/>
          <w:b/>
          <w:bCs/>
          <w:sz w:val="22"/>
          <w:szCs w:val="22"/>
        </w:rPr>
        <w:t xml:space="preserve">Mensajes de datos y firma electrónica.</w:t>
      </w:r>
      <w:r>
        <w:rPr>
          <w:rFonts w:ascii="Arial" w:cs="Arial" w:eastAsia="Arial" w:hAnsi="Arial"/>
          <w:sz w:val="22"/>
          <w:szCs w:val="22"/>
        </w:rPr>
        <w:t xml:space="preserve"> La foto y la firma de evidencia plantean si un mensaje de datos y una firma capturada en pantalla tienen valor probatorio. La legislación colombiana sobre comercio electrónico y firmas electrónicas se ocupa de ese asunto, pero este marco no la analiza con fuentes verificadas: no se afirma que una firma dibujada con el dedo califique como firma electrónica con efectos legales ni que el prototipo cumpla. Se deja como </w:t>
      </w:r>
      <w:r>
        <w:rPr>
          <w:rFonts w:ascii="Arial" w:cs="Arial" w:eastAsia="Arial" w:hAnsi="Arial"/>
          <w:b/>
          <w:bCs/>
          <w:sz w:val="22"/>
          <w:szCs w:val="22"/>
        </w:rPr>
        <w:t xml:space="preserve">punto a consultar</w:t>
      </w:r>
      <w:r>
        <w:rPr>
          <w:rFonts w:ascii="Arial" w:cs="Arial" w:eastAsia="Arial" w:hAnsi="Arial"/>
          <w:sz w:val="22"/>
          <w:szCs w:val="22"/>
        </w:rPr>
        <w:t xml:space="preserve">: confiabilidad del método, vínculo con el firmante, detección de alteraciones y custodia de la evidencia.</w:t>
      </w:r>
    </w:p>
    <w:p>
      <w:r>
        <w:rPr>
          <w:rFonts w:ascii="Arial" w:cs="Arial" w:eastAsia="Arial" w:hAnsi="Arial"/>
          <w:b/>
          <w:bCs/>
          <w:sz w:val="22"/>
          <w:szCs w:val="22"/>
        </w:rPr>
        <w:t xml:space="preserve">Derechos de autor y registro.</w:t>
      </w:r>
      <w:r>
        <w:rPr>
          <w:rFonts w:ascii="Arial" w:cs="Arial" w:eastAsia="Arial" w:hAnsi="Arial"/>
          <w:sz w:val="22"/>
          <w:szCs w:val="22"/>
        </w:rPr>
        <w:t xml:space="preserve"> La Ley 23 de 1982 protege las creaciones literarias, científicas y artísticas y dispone que la protección nace de la creación intelectual sin requerir registro, siendo las formalidades para mayor seguridad jurídica (arts. 1, 2 y 9). La norma no menciona expresamente el software en el texto revisado. Lo hace la Decisión Andina 351 de 1993, que define el programa de ordenador (art. 3), lo incluye entre las obras protegidas (art. 4) y lo protege como obra literaria, sea operativo o aplicativo, en código fuente u objeto (Comisión del Acuerdo de Cartagena, 1993, art. 23). El registro ante la Dirección Nacional de Derecho de Autor se tramita en línea, con el código fuente y una descripción o manuales como evidencia, y el sitio indica unos treinta días hábiles (Dirección Nacional de Derecho de Autor [DNDA], s. f.). Como el desarrollo se plantea para una organización, la titularidad de los derechos (el estudiante, la institución o la organización de aplicación) depende de un acuerdo con Logytech Mobile y del reglamento institucional, y está por definir; este documento no afirma a quién corresponde.</w:t>
      </w:r>
    </w:p>
    <w:p>
      <w:r>
        <w:rPr>
          <w:rFonts w:ascii="Arial" w:cs="Arial" w:eastAsia="Arial" w:hAnsi="Arial"/>
          <w:b/>
          <w:bCs/>
          <w:sz w:val="22"/>
          <w:szCs w:val="22"/>
        </w:rPr>
        <w:t xml:space="preserve">Actividad 2: datos personales y registro del software en CMEDriver.</w:t>
      </w:r>
      <w:r>
        <w:rPr>
          <w:rFonts w:ascii="Arial" w:cs="Arial" w:eastAsia="Arial" w:hAnsi="Arial"/>
          <w:sz w:val="22"/>
          <w:szCs w:val="22"/>
        </w:rPr>
        <w:t xml:space="preserve"> La Tabla 2 responde, para el prototipo, qué datos se manejan y de quién.</w:t>
      </w:r>
    </w:p>
    <w:p>
      <w:pPr>
        <w:keepNext/>
        <w:spacing w:after="0" w:before="120"/>
        <w:jc w:val="left"/>
      </w:pPr>
      <w:r>
        <w:rPr>
          <w:rFonts w:ascii="Arial" w:cs="Arial" w:eastAsia="Arial" w:hAnsi="Arial"/>
          <w:b/>
          <w:bCs/>
          <w:sz w:val="22"/>
          <w:szCs w:val="22"/>
        </w:rPr>
        <w:t xml:space="preserve">Tabla 2</w:t>
      </w:r>
    </w:p>
    <w:p>
      <w:pPr>
        <w:keepNext/>
        <w:spacing w:after="60"/>
        <w:jc w:val="left"/>
      </w:pPr>
      <w:r>
        <w:rPr>
          <w:rFonts w:ascii="Arial" w:cs="Arial" w:eastAsia="Arial" w:hAnsi="Arial"/>
          <w:i/>
          <w:iCs/>
          <w:sz w:val="22"/>
          <w:szCs w:val="22"/>
        </w:rPr>
        <w:t xml:space="preserve">Datos personales que maneja CMEDriver y titulares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32"/>
        <w:gridCol w:w="3363"/>
        <w:gridCol w:w="3365"/>
      </w:tblGrid>
      <w:tr>
        <w:trPr>
          <w:cantSplit/>
          <w:tblHeader/>
        </w:trPr>
        <w:tc>
          <w:tcPr>
            <w:tcW w:type="dxa" w:w="2632"/>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Dato</w:t>
            </w:r>
          </w:p>
        </w:tc>
        <w:tc>
          <w:tcPr>
            <w:tcW w:type="dxa" w:w="3363"/>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Titular</w:t>
            </w:r>
          </w:p>
        </w:tc>
        <w:tc>
          <w:tcPr>
            <w:tcW w:type="dxa" w:w="3365"/>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Observación frente a la norma</w:t>
            </w:r>
          </w:p>
        </w:tc>
      </w:tr>
      <w:tr>
        <w:trPr>
          <w:cantSplit/>
          <w:tblHeader w:val="off"/>
        </w:trPr>
        <w:tc>
          <w:tcPr>
            <w:tcW w:type="dxa" w:w="263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Nombre, teléfono y direcciones</w:t>
            </w:r>
          </w:p>
        </w:tc>
        <w:tc>
          <w:tcPr>
            <w:tcW w:type="dxa" w:w="336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Clientes y destinatarios; personal de la mensajería</w:t>
            </w:r>
          </w:p>
        </w:tc>
        <w:tc>
          <w:tcPr>
            <w:tcW w:type="dxa" w:w="3365"/>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Dato personal (Ley 1581 de 2012, art. 3); requiere autorización y finalidad definida</w:t>
            </w:r>
          </w:p>
        </w:tc>
      </w:tr>
      <w:tr>
        <w:trPr>
          <w:cantSplit/>
          <w:tblHeader w:val="off"/>
        </w:trPr>
        <w:tc>
          <w:tcPr>
            <w:tcW w:type="dxa" w:w="263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Ubicación GPS en tiempo real</w:t>
            </w:r>
          </w:p>
        </w:tc>
        <w:tc>
          <w:tcPr>
            <w:tcW w:type="dxa" w:w="336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Motorizados</w:t>
            </w:r>
          </w:p>
        </w:tc>
        <w:tc>
          <w:tcPr>
            <w:tcW w:type="dxa" w:w="3365"/>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Dato personal vinculado a una persona determinada; su tratamiento exige finalidad y transparencia (4.2)</w:t>
            </w:r>
          </w:p>
        </w:tc>
      </w:tr>
      <w:tr>
        <w:trPr>
          <w:cantSplit/>
          <w:tblHeader w:val="off"/>
        </w:trPr>
        <w:tc>
          <w:tcPr>
            <w:tcW w:type="dxa" w:w="263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Firma y foto de evidencia</w:t>
            </w:r>
          </w:p>
        </w:tc>
        <w:tc>
          <w:tcPr>
            <w:tcW w:type="dxa" w:w="336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Quien recibe o entrega</w:t>
            </w:r>
          </w:p>
        </w:tc>
        <w:tc>
          <w:tcPr>
            <w:tcW w:type="dxa" w:w="3365"/>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Pueden ser datos personales y, si identifican biométricamente, datos sensibles (art. 5); valor probatorio por consultar</w:t>
            </w:r>
          </w:p>
        </w:tc>
      </w:tr>
      <w:tr>
        <w:trPr>
          <w:cantSplit/>
          <w:tblHeader w:val="off"/>
        </w:trPr>
        <w:tc>
          <w:tcPr>
            <w:tcW w:type="dxa" w:w="263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Mensajes de chat</w:t>
            </w:r>
          </w:p>
        </w:tc>
        <w:tc>
          <w:tcPr>
            <w:tcW w:type="dxa" w:w="336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Clientes y motorizados</w:t>
            </w:r>
          </w:p>
        </w:tc>
        <w:tc>
          <w:tcPr>
            <w:tcW w:type="dxa" w:w="3365"/>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Dato personal; contenido libre que puede incluir información adicional; solo los dos participantes acceden a la conversación (4.5)</w:t>
            </w:r>
          </w:p>
        </w:tc>
      </w:tr>
    </w:tbl>
    <w:p>
      <w:pPr>
        <w:spacing w:after="0" w:line="100" w:lineRule="exact"/>
      </w:pPr>
    </w:p>
    <w:p>
      <w:pPr>
        <w:spacing w:after="140" w:before="40" w:line="240"/>
        <w:jc w:val="left"/>
      </w:pPr>
      <w:r>
        <w:rPr>
          <w:rFonts w:ascii="Arial" w:cs="Arial" w:eastAsia="Arial" w:hAnsi="Arial"/>
          <w:i/>
          <w:iCs/>
          <w:sz w:val="20"/>
          <w:szCs w:val="20"/>
        </w:rPr>
        <w:t xml:space="preserve">Nota.</w:t>
      </w:r>
      <w:r>
        <w:rPr>
          <w:rFonts w:ascii="Arial" w:cs="Arial" w:eastAsia="Arial" w:hAnsi="Arial"/>
          <w:sz w:val="20"/>
          <w:szCs w:val="20"/>
        </w:rPr>
        <w:t xml:space="preserve"> Fuente: Elaboración propia a partir de la Ley 1581 de 2012 y de la documentación técnica del proyecto (Anexo A).</w:t>
      </w:r>
    </w:p>
    <w:p>
      <w:r>
        <w:rPr>
          <w:rFonts w:ascii="Arial" w:cs="Arial" w:eastAsia="Arial" w:hAnsi="Arial"/>
          <w:sz w:val="22"/>
          <w:szCs w:val="22"/>
        </w:rPr>
        <w:t xml:space="preserve">En esta etapa los datos son de prueba, pero el diseño sí maneja datos personales; su uso con personas reales requeriría autorización informada, política de tratamiento y medidas de seguridad, y su cumplimiento no se ha verificado. Respecto del registro, la protección existe sin él (Ley 23 de 1982, art. 9) y el trámite es opcional. El autor decidió no registrar el software en esta etapa, porque se concibe como un desarrollo para Logytech Mobile y su titularidad está por definir con esa organización.</w:t>
      </w:r>
    </w:p>
    <w:p>
      <w:r>
        <w:rPr>
          <w:rFonts w:ascii="Arial" w:cs="Arial" w:eastAsia="Arial" w:hAnsi="Arial"/>
          <w:b/>
          <w:bCs/>
          <w:sz w:val="22"/>
          <w:szCs w:val="22"/>
        </w:rPr>
        <w:t xml:space="preserve">Calidad y requisitos.</w:t>
      </w:r>
      <w:r>
        <w:rPr>
          <w:rFonts w:ascii="Arial" w:cs="Arial" w:eastAsia="Arial" w:hAnsi="Arial"/>
          <w:sz w:val="22"/>
          <w:szCs w:val="22"/>
        </w:rPr>
        <w:t xml:space="preserve"> La norma ISO/IEC/IEEE 29148 especifica los procesos de ingeniería de requisitos, los elementos de información y su contenido, y es aplicable sin importar la metodología, el tamaño o la complejidad (ISO/IEC/IEEE, 2018). Esa neutralidad es útil para un proyecto incremental. No se leyó el texto de la norma, de pago, por lo que no se atribuye el contenido de sus plantillas. El subtítulo respalda los Objetivos 2 y 4: los datos y la firma determinan requisitos y criterios de validación. Resta explicar con qué enfoques de ingeniería de software se construye todo lo anterior.</w:t>
      </w:r>
    </w:p>
    <w:p>
      <w:pPr>
        <w:pStyle w:val="Heading2"/>
        <w:keepNext/>
      </w:pPr>
      <w:r>
        <w:t xml:space="preserve">4.9 Enfoques de ingeniería de software</w:t>
      </w:r>
    </w:p>
    <w:p>
      <w:r>
        <w:rPr>
          <w:rFonts w:ascii="Arial" w:cs="Arial" w:eastAsia="Arial" w:hAnsi="Arial"/>
          <w:sz w:val="22"/>
          <w:szCs w:val="22"/>
        </w:rPr>
        <w:t xml:space="preserve">La guía de la asignatura propone seis referentes, que la Tabla 3 evalúa según su pertinencia para un proyecto individual, con requisitos cambiantes y sin cliente real, que debe producir un diseño y un prototipo temprano. Dos fuentes de la guía (Sommerville, 2005; Bass et al., 2003) son libros cuyo texto no se consultó; se usan como marco general de ingeniería de software y de arquitectura, sin atribuirles afirmaciones específicas. </w:t>
      </w:r>
      <w:r>
        <w:rPr>
          <w:rFonts w:ascii="Arial" w:cs="Arial" w:eastAsia="Arial" w:hAnsi="Arial"/>
          <w:sz w:val="22"/>
          <w:szCs w:val="22"/>
          <w:highlight w:val="yellow"/>
        </w:rPr>
        <w:t xml:space="preserve">[COMPLETAR: incorporar una definición con página de Sommerville (2005) y de Bass et al. (2003), previa consulta de los libros]</w:t>
      </w:r>
      <w:r>
        <w:rPr>
          <w:rFonts w:ascii="Arial" w:cs="Arial" w:eastAsia="Arial" w:hAnsi="Arial"/>
          <w:sz w:val="22"/>
          <w:szCs w:val="22"/>
        </w:rPr>
        <w:t xml:space="preserve">.</w:t>
      </w:r>
    </w:p>
    <w:p>
      <w:r>
        <w:rPr>
          <w:rFonts w:ascii="Arial" w:cs="Arial" w:eastAsia="Arial" w:hAnsi="Arial"/>
          <w:b/>
          <w:bCs/>
          <w:sz w:val="22"/>
          <w:szCs w:val="22"/>
        </w:rPr>
        <w:t xml:space="preserve">Ágil y Scrum.</w:t>
      </w:r>
      <w:r>
        <w:rPr>
          <w:rFonts w:ascii="Arial" w:cs="Arial" w:eastAsia="Arial" w:hAnsi="Arial"/>
          <w:sz w:val="22"/>
          <w:szCs w:val="22"/>
        </w:rPr>
        <w:t xml:space="preserve"> El Manifiesto Ágil (Beck et al., 2001) prioriza software funcionando, colaboración con el cliente y respuesta ante el cambio, y la Guía de Scrum (Schwaber &amp; Sutherland, 2020) lo operacionaliza con un equipo pequeño (Scrum Master, Product Owner y desarrolladores) y eventos de duración fija. Kuhrmann et al. (2022), con una encuesta internacional, hallan que menos del 15 % de los participantes opera de forma puramente ágil o puramente tradicional y que la elección de prácticas pesa más que el método en el grado de agilidad. Por eso describir el proceso por sus prácticas (entrega temprana, iteraciones) es más honesto que adoptar la etiqueta Scrum, y la propia guía advierte que alterar su núcleo oculta problemas. En un proyecto de una sola persona sin los roles del marco, los principios son pertinentes y el marco completo no.</w:t>
      </w:r>
    </w:p>
    <w:p>
      <w:r>
        <w:rPr>
          <w:rFonts w:ascii="Arial" w:cs="Arial" w:eastAsia="Arial" w:hAnsi="Arial"/>
          <w:b/>
          <w:bCs/>
          <w:sz w:val="22"/>
          <w:szCs w:val="22"/>
        </w:rPr>
        <w:t xml:space="preserve">Design Thinking.</w:t>
      </w:r>
      <w:r>
        <w:rPr>
          <w:rFonts w:ascii="Arial" w:cs="Arial" w:eastAsia="Arial" w:hAnsi="Arial"/>
          <w:sz w:val="22"/>
          <w:szCs w:val="22"/>
        </w:rPr>
        <w:t xml:space="preserve"> La guía lo toma de la d.school de Stanford. Parizi et al. (2022), en un mapeo de 127 trabajos, identifican 3 estrategias de integración en el desarrollo de software, 16 modelos y 85 técnicas, y señalan que su uso es difícil por la falta de formación en diseño y por la cantidad de modelos y técnicas. Para este proyecto es pertinente en las etapas que no dependen de usuarios (definir el problema y prototipar mediante mockups); empatizar y probar exigen usuarios reales que aún no participaron, de modo que no puede afirmarse que se aplicó.</w:t>
      </w:r>
    </w:p>
    <w:p>
      <w:r>
        <w:rPr>
          <w:rFonts w:ascii="Arial" w:cs="Arial" w:eastAsia="Arial" w:hAnsi="Arial"/>
          <w:b/>
          <w:bCs/>
          <w:sz w:val="22"/>
          <w:szCs w:val="22"/>
        </w:rPr>
        <w:t xml:space="preserve">Arquitectura y modelo C4.</w:t>
      </w:r>
      <w:r>
        <w:rPr>
          <w:rFonts w:ascii="Arial" w:cs="Arial" w:eastAsia="Arial" w:hAnsi="Arial"/>
          <w:sz w:val="22"/>
          <w:szCs w:val="22"/>
        </w:rPr>
        <w:t xml:space="preserve"> Bass et al. (2003) son el referente de arquitectura de software de la guía. El modelo C4 (Brown, s. f.) describe la arquitectura en cuatro niveles (sistemas, contenedores, componentes y código), independientes de notación y herramienta. Esa neutralidad y el zoom progresivo lo hacen apropiado para comunicar una arquitectura modular a audiencias distintas, y es el que adopta la Metodología. Su soporte en el pool es solo la documentación del autor, por lo que se asume por su utilidad comunicativa y no por evidencia comparada.</w:t>
      </w:r>
    </w:p>
    <w:p>
      <w:r>
        <w:rPr>
          <w:rFonts w:ascii="Arial" w:cs="Arial" w:eastAsia="Arial" w:hAnsi="Arial"/>
          <w:b/>
          <w:bCs/>
          <w:sz w:val="22"/>
          <w:szCs w:val="22"/>
        </w:rPr>
        <w:t xml:space="preserve">Especificación de requisitos.</w:t>
      </w:r>
      <w:r>
        <w:rPr>
          <w:rFonts w:ascii="Arial" w:cs="Arial" w:eastAsia="Arial" w:hAnsi="Arial"/>
          <w:sz w:val="22"/>
          <w:szCs w:val="22"/>
        </w:rPr>
        <w:t xml:space="preserve"> La ISO/IEC/IEEE 29148 (2018) se describió en 4.8. En desarrollo incremental, la documentación de requisitos debe mantenerse en paralelo con el diseño para no quedar desactualizada.</w:t>
      </w:r>
    </w:p>
    <w:p>
      <w:pPr>
        <w:keepNext/>
        <w:spacing w:after="0" w:before="120"/>
        <w:jc w:val="left"/>
      </w:pPr>
      <w:r>
        <w:rPr>
          <w:rFonts w:ascii="Arial" w:cs="Arial" w:eastAsia="Arial" w:hAnsi="Arial"/>
          <w:b/>
          <w:bCs/>
          <w:sz w:val="22"/>
          <w:szCs w:val="22"/>
        </w:rPr>
        <w:t xml:space="preserve">Tabla 3</w:t>
      </w:r>
    </w:p>
    <w:p>
      <w:pPr>
        <w:keepNext/>
        <w:spacing w:after="60"/>
        <w:jc w:val="left"/>
      </w:pPr>
      <w:r>
        <w:rPr>
          <w:rFonts w:ascii="Arial" w:cs="Arial" w:eastAsia="Arial" w:hAnsi="Arial"/>
          <w:i/>
          <w:iCs/>
          <w:sz w:val="22"/>
          <w:szCs w:val="22"/>
        </w:rPr>
        <w:t xml:space="preserve">Evaluación de los enfoques de la guía según su pertinencia para CMEDriver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6"/>
        <w:gridCol w:w="2446"/>
        <w:gridCol w:w="2446"/>
        <w:gridCol w:w="2022"/>
      </w:tblGrid>
      <w:tr>
        <w:trPr>
          <w:cantSplit/>
          <w:tblHeader/>
        </w:trPr>
        <w:tc>
          <w:tcPr>
            <w:tcW w:type="dxa" w:w="2446"/>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Enfoque</w:t>
            </w:r>
          </w:p>
        </w:tc>
        <w:tc>
          <w:tcPr>
            <w:tcW w:type="dxa" w:w="2446"/>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Qué aporta</w:t>
            </w:r>
          </w:p>
        </w:tc>
        <w:tc>
          <w:tcPr>
            <w:tcW w:type="dxa" w:w="2446"/>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Limitación para este proyecto</w:t>
            </w:r>
          </w:p>
        </w:tc>
        <w:tc>
          <w:tcPr>
            <w:tcW w:type="dxa" w:w="2022"/>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Pertinencia</w:t>
            </w:r>
          </w:p>
        </w:tc>
      </w:tr>
      <w:tr>
        <w:trPr>
          <w:cantSplit/>
          <w:tblHeader w:val="off"/>
        </w:trPr>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Ingeniería de software (Sommerville, 2005)</w:t>
            </w:r>
          </w:p>
        </w:tc>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Marco general del ciclo de desarrollo</w:t>
            </w:r>
          </w:p>
        </w:tc>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Texto no consultado</w:t>
            </w:r>
          </w:p>
        </w:tc>
        <w:tc>
          <w:tcPr>
            <w:tcW w:type="dxa" w:w="202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Marco de referencia</w:t>
            </w:r>
          </w:p>
        </w:tc>
      </w:tr>
      <w:tr>
        <w:trPr>
          <w:cantSplit/>
          <w:tblHeader w:val="off"/>
        </w:trPr>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Arquitectura (Bass et al., 2003)</w:t>
            </w:r>
          </w:p>
        </w:tc>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Fundamento de decisiones arquitectónicas</w:t>
            </w:r>
          </w:p>
        </w:tc>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Texto no consultado</w:t>
            </w:r>
          </w:p>
        </w:tc>
        <w:tc>
          <w:tcPr>
            <w:tcW w:type="dxa" w:w="202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Alta, por el Objetivo 2</w:t>
            </w:r>
          </w:p>
        </w:tc>
      </w:tr>
      <w:tr>
        <w:trPr>
          <w:cantSplit/>
          <w:tblHeader w:val="off"/>
        </w:trPr>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Ágil y Scrum (Beck et al., 2001; Schwaber &amp; Sutherland, 2020)</w:t>
            </w:r>
          </w:p>
        </w:tc>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Iteración, software funcionando, cambio</w:t>
            </w:r>
          </w:p>
        </w:tc>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Scrum presupone equipo y roles que no existieron</w:t>
            </w:r>
          </w:p>
        </w:tc>
        <w:tc>
          <w:tcPr>
            <w:tcW w:type="dxa" w:w="202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Principios sí; marco completo no</w:t>
            </w:r>
          </w:p>
        </w:tc>
      </w:tr>
      <w:tr>
        <w:trPr>
          <w:cantSplit/>
          <w:tblHeader w:val="off"/>
        </w:trPr>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Design Thinking (Parizi et al., 2022)</w:t>
            </w:r>
          </w:p>
        </w:tc>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Definir y prototipar a partir de usuarios</w:t>
            </w:r>
          </w:p>
        </w:tc>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Requiere usuarios reales; muchas técnicas</w:t>
            </w:r>
          </w:p>
        </w:tc>
        <w:tc>
          <w:tcPr>
            <w:tcW w:type="dxa" w:w="202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Parcial</w:t>
            </w:r>
          </w:p>
        </w:tc>
      </w:tr>
      <w:tr>
        <w:trPr>
          <w:cantSplit/>
          <w:tblHeader w:val="off"/>
        </w:trPr>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Modelo C4 (Brown, s. f.)</w:t>
            </w:r>
          </w:p>
        </w:tc>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Comunicar arquitectura por niveles</w:t>
            </w:r>
          </w:p>
        </w:tc>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Poca evidencia empírica en el pool</w:t>
            </w:r>
          </w:p>
        </w:tc>
        <w:tc>
          <w:tcPr>
            <w:tcW w:type="dxa" w:w="202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Alta, para comunicar</w:t>
            </w:r>
          </w:p>
        </w:tc>
      </w:tr>
      <w:tr>
        <w:trPr>
          <w:cantSplit/>
          <w:tblHeader w:val="off"/>
        </w:trPr>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ISO/IEC/IEEE 29148 (2018)</w:t>
            </w:r>
          </w:p>
        </w:tc>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Estructura de requisitos</w:t>
            </w:r>
          </w:p>
        </w:tc>
        <w:tc>
          <w:tcPr>
            <w:tcW w:type="dxa" w:w="2446"/>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Norma de pago no leída</w:t>
            </w:r>
          </w:p>
        </w:tc>
        <w:tc>
          <w:tcPr>
            <w:tcW w:type="dxa" w:w="202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Alta, como guía de contenido</w:t>
            </w:r>
          </w:p>
        </w:tc>
      </w:tr>
    </w:tbl>
    <w:p>
      <w:pPr>
        <w:spacing w:after="0" w:line="100" w:lineRule="exact"/>
      </w:pPr>
    </w:p>
    <w:p>
      <w:pPr>
        <w:spacing w:after="140" w:before="40" w:line="240"/>
        <w:jc w:val="left"/>
      </w:pPr>
      <w:r>
        <w:rPr>
          <w:rFonts w:ascii="Arial" w:cs="Arial" w:eastAsia="Arial" w:hAnsi="Arial"/>
          <w:i/>
          <w:iCs/>
          <w:sz w:val="20"/>
          <w:szCs w:val="20"/>
        </w:rPr>
        <w:t xml:space="preserve">Nota.</w:t>
      </w:r>
      <w:r>
        <w:rPr>
          <w:rFonts w:ascii="Arial" w:cs="Arial" w:eastAsia="Arial" w:hAnsi="Arial"/>
          <w:sz w:val="20"/>
          <w:szCs w:val="20"/>
        </w:rPr>
        <w:t xml:space="preserve"> Fuente: Elaboración propia a partir de las fuentes citadas.</w:t>
      </w:r>
    </w:p>
    <w:p>
      <w:r>
        <w:rPr>
          <w:rFonts w:ascii="Arial" w:cs="Arial" w:eastAsia="Arial" w:hAnsi="Arial"/>
          <w:sz w:val="22"/>
          <w:szCs w:val="22"/>
        </w:rPr>
        <w:t xml:space="preserve">El subtítulo respalda los Objetivos 2 y 4 y anticipa la justificación de la Metodología: un desarrollo incremental por prototipos con iteraciones de inspiración ágil, sin Scrum completo.</w:t>
      </w:r>
    </w:p>
    <w:p>
      <w:pPr>
        <w:pStyle w:val="Heading2"/>
        <w:keepNext/>
      </w:pPr>
      <w:r>
        <w:t xml:space="preserve">4.10 Síntesis y vacíos identificados</w:t>
      </w:r>
    </w:p>
    <w:p>
      <w:r>
        <w:rPr>
          <w:rFonts w:ascii="Arial" w:cs="Arial" w:eastAsia="Arial" w:hAnsi="Arial"/>
          <w:sz w:val="22"/>
          <w:szCs w:val="22"/>
        </w:rPr>
        <w:t xml:space="preserve">La teoría revisada converge en tres argumentos que sostienen el diseño de CMEDriver. Primero, la última milla es un problema de coordinación y de información además de logístico (Mohammad et al., 2023; Restrepo-Betancur et al., 2026), por lo que una plataforma integrada puede mejorar la visibilidad, no la informalidad estructural. Segundo, una arquitectura modular orientada a API con comunicación en tiempo real es coherente con el principio API-first y las reglas de diseño REST (Beaulieu et al., 2022; Bogner et al., 2023), con el monolito modular para un sistema pequeño (Al-Qora’n &amp; Al-Said Ahmad, 2025) y con WebSocket para la comunicación bidireccional (Gracia Orejuela et al., 2024), siempre que la autorización por rol y por objeto resida en el backend (OWASP API Security Project, 2023). Tercero, los datos de ubicación, firma, foto y chat convierten la privacidad y la evidencia en requisitos de diseño (Randerath &amp; Friedrich, 2025; Madhwal et al., 2022; Ley 1581 de 2012).</w:t>
      </w:r>
    </w:p>
    <w:p>
      <w:r>
        <w:rPr>
          <w:rFonts w:ascii="Arial" w:cs="Arial" w:eastAsia="Arial" w:hAnsi="Arial"/>
          <w:sz w:val="22"/>
          <w:szCs w:val="22"/>
        </w:rPr>
        <w:t xml:space="preserve">Con la literatura revisada no se resuelven, y por eso se declaran como vacíos, los siguientes puntos. No hay cifras colombianas de entregas fallidas ni del costo de la última milla por envío. No hay evidencia sobre el efecto de la foto y la firma de entrega ni sobre el valor probatorio de la firma capturada en pantalla. Falta comparación empírica entre monolito modular y microservicios en sistemas pequeños, entre aplicaciones híbridas y nativas en logística y entre alternativas de comunicación en tiempo real en redes móviles. No se halló evidencia sobre la calidad de la geocodificación abierta en direcciones colombianas ni sobre heurísticas simples en ruteo de mensajería (Jazemi et al., 2023; Pérez &amp; Aybar, 2024, aportan solo el contexto y un caso europeo). Tampoco hay estudios sobre el efecto de un chat directo entre cliente y mensajero en la coordinación de la entrega ni sobre la disposición de los clientes colombianos a agendar sus recolecciones (Souza et al., 2022, aporta solo un caso brasileño).</w:t>
      </w:r>
    </w:p>
    <w:p>
      <w:r>
        <w:rPr>
          <w:rFonts w:ascii="Arial" w:cs="Arial" w:eastAsia="Arial" w:hAnsi="Arial"/>
          <w:sz w:val="22"/>
          <w:szCs w:val="22"/>
        </w:rPr>
        <w:t xml:space="preserve">Estos vacíos orientan el Objetivo 4: el protocolo de validación deberá medir en el campo lo que aquí solo es supuesto, con criterios de seguridad, privacidad, usabilidad y rendimiento y con usuarios reales de los cuatro roles de Logytech Mobile, sujeto a su autorización.</w:t>
      </w:r>
    </w:p>
    <w:p>
      <w:pPr>
        <w:pStyle w:val="Heading1"/>
        <w:keepNext/>
        <w:pageBreakBefore/>
      </w:pPr>
      <w:r>
        <w:t xml:space="preserve">5. Metodología</w:t>
      </w:r>
    </w:p>
    <w:p>
      <w:r>
        <w:rPr>
          <w:rFonts w:ascii="Arial" w:cs="Arial" w:eastAsia="Arial" w:hAnsi="Arial"/>
          <w:sz w:val="22"/>
          <w:szCs w:val="22"/>
        </w:rPr>
        <w:t xml:space="preserve">Este capítulo retoma, sin replantearlos, el problema, la pregunta y los cuatro objetivos específicos de la sección 3.3 y explica cómo se estudió y construyó CMEDriver, distinguiendo lo implementado, lo simulado y lo planificado para Trabajo de Grado, donde Logytech Mobile es la organización de aplicación.</w:t>
      </w:r>
    </w:p>
    <w:p>
      <w:pPr>
        <w:pStyle w:val="Heading2"/>
        <w:keepNext/>
      </w:pPr>
      <w:r>
        <w:t xml:space="preserve">5.1 Enfoque, tipo y diseño de la investigación</w:t>
      </w:r>
    </w:p>
    <w:p>
      <w:r>
        <w:rPr>
          <w:rFonts w:ascii="Arial" w:cs="Arial" w:eastAsia="Arial" w:hAnsi="Arial"/>
          <w:sz w:val="22"/>
          <w:szCs w:val="22"/>
        </w:rPr>
        <w:t xml:space="preserve">La pregunta de investigación es de diseño y no de medición: indaga cómo integrar, en una plataforma orientada a API, la operación de mensajería, el seguimiento en tiempo real, la evidencia digital y el chat entre cliente y mensajero. Por eso el estudio es </w:t>
      </w:r>
      <w:r>
        <w:rPr>
          <w:rFonts w:ascii="Arial" w:cs="Arial" w:eastAsia="Arial" w:hAnsi="Arial"/>
          <w:b/>
          <w:bCs/>
          <w:sz w:val="22"/>
          <w:szCs w:val="22"/>
        </w:rPr>
        <w:t xml:space="preserve">investigación aplicada de desarrollo tecnológico</w:t>
      </w:r>
      <w:r>
        <w:rPr>
          <w:rFonts w:ascii="Arial" w:cs="Arial" w:eastAsia="Arial" w:hAnsi="Arial"/>
          <w:sz w:val="22"/>
          <w:szCs w:val="22"/>
        </w:rPr>
        <w:t xml:space="preserve">, guiada por Design Science Research (DSR), que genera conocimiento al construir un artefacto (Peffers et al., 2007): el problema y los requisitos corresponden al Objetivo 1; el diseño y el desarrollo, a los Objetivos 2 y 3; la demostración, a pruebas automatizadas y recorridos con roles simulados, que no son evaluación empírica; la evaluación, solo al protocolo del Objetivo 4, aún sin ejecutar; y la comunicación, a este documento.</w:t>
      </w:r>
    </w:p>
    <w:p>
      <w:r>
        <w:rPr>
          <w:rFonts w:ascii="Arial" w:cs="Arial" w:eastAsia="Arial" w:hAnsi="Arial"/>
          <w:sz w:val="22"/>
          <w:szCs w:val="22"/>
        </w:rPr>
        <w:t xml:space="preserve">El enfoque es </w:t>
      </w:r>
      <w:r>
        <w:rPr>
          <w:rFonts w:ascii="Arial" w:cs="Arial" w:eastAsia="Arial" w:hAnsi="Arial"/>
          <w:b/>
          <w:bCs/>
          <w:sz w:val="22"/>
          <w:szCs w:val="22"/>
        </w:rPr>
        <w:t xml:space="preserve">cualitativo-descriptivo en esta etapa</w:t>
      </w:r>
      <w:r>
        <w:rPr>
          <w:rFonts w:ascii="Arial" w:cs="Arial" w:eastAsia="Arial" w:hAnsi="Arial"/>
          <w:sz w:val="22"/>
          <w:szCs w:val="22"/>
        </w:rPr>
        <w:t xml:space="preserve">. Siguiendo la postura pragmática de Hernández-Sampieri y Mendoza Torres (2018), el problema determina el método: sin datos de usuarios reales no hay variables que medir ni hipótesis causales, y afirmar mejoras sería infundado, por lo que se descarta por ahora la ruta cuantitativa. La ruta será </w:t>
      </w:r>
      <w:r>
        <w:rPr>
          <w:rFonts w:ascii="Arial" w:cs="Arial" w:eastAsia="Arial" w:hAnsi="Arial"/>
          <w:b/>
          <w:bCs/>
          <w:sz w:val="22"/>
          <w:szCs w:val="22"/>
        </w:rPr>
        <w:t xml:space="preserve">mixta</w:t>
      </w:r>
      <w:r>
        <w:rPr>
          <w:rFonts w:ascii="Arial" w:cs="Arial" w:eastAsia="Arial" w:hAnsi="Arial"/>
          <w:sz w:val="22"/>
          <w:szCs w:val="22"/>
        </w:rPr>
        <w:t xml:space="preserve"> en Trabajo de Grado (entrevistas y observación; listas de chequeo y escalas de percepción). La </w:t>
      </w:r>
      <w:r>
        <w:rPr>
          <w:rFonts w:ascii="Arial" w:cs="Arial" w:eastAsia="Arial" w:hAnsi="Arial"/>
          <w:b/>
          <w:bCs/>
          <w:sz w:val="22"/>
          <w:szCs w:val="22"/>
        </w:rPr>
        <w:t xml:space="preserve">naturaleza</w:t>
      </w:r>
      <w:r>
        <w:rPr>
          <w:rFonts w:ascii="Arial" w:cs="Arial" w:eastAsia="Arial" w:hAnsi="Arial"/>
          <w:sz w:val="22"/>
          <w:szCs w:val="22"/>
        </w:rPr>
        <w:t xml:space="preserve"> es descriptiva y de desarrollo, y el </w:t>
      </w:r>
      <w:r>
        <w:rPr>
          <w:rFonts w:ascii="Arial" w:cs="Arial" w:eastAsia="Arial" w:hAnsi="Arial"/>
          <w:b/>
          <w:bCs/>
          <w:sz w:val="22"/>
          <w:szCs w:val="22"/>
        </w:rPr>
        <w:t xml:space="preserve">diseño</w:t>
      </w:r>
      <w:r>
        <w:rPr>
          <w:rFonts w:ascii="Arial" w:cs="Arial" w:eastAsia="Arial" w:hAnsi="Arial"/>
          <w:sz w:val="22"/>
          <w:szCs w:val="22"/>
        </w:rPr>
        <w:t xml:space="preserve">, de ciclos iterativos de construcción con evaluación diferida, sin alcance para comprobar causalidad.</w:t>
      </w:r>
    </w:p>
    <w:p>
      <w:pPr>
        <w:pStyle w:val="Heading2"/>
        <w:keepNext/>
      </w:pPr>
      <w:r>
        <w:t xml:space="preserve">5.2 Población, usuarios, técnicas e instrumentos</w:t>
      </w:r>
    </w:p>
    <w:p>
      <w:r>
        <w:rPr>
          <w:rFonts w:ascii="Arial" w:cs="Arial" w:eastAsia="Arial" w:hAnsi="Arial"/>
          <w:sz w:val="22"/>
          <w:szCs w:val="22"/>
        </w:rPr>
        <w:t xml:space="preserve">En esta etapa no hay población ni muestra: la unidad de análisis es el </w:t>
      </w:r>
      <w:r>
        <w:rPr>
          <w:rFonts w:ascii="Arial" w:cs="Arial" w:eastAsia="Arial" w:hAnsi="Arial"/>
          <w:b/>
          <w:bCs/>
          <w:sz w:val="22"/>
          <w:szCs w:val="22"/>
        </w:rPr>
        <w:t xml:space="preserve">proceso de un servicio de mensajería</w:t>
      </w:r>
      <w:r>
        <w:rPr>
          <w:rFonts w:ascii="Arial" w:cs="Arial" w:eastAsia="Arial" w:hAnsi="Arial"/>
          <w:sz w:val="22"/>
          <w:szCs w:val="22"/>
        </w:rPr>
        <w:t xml:space="preserve">, las fuentes son la literatura y el análisis del dominio, y los cuatro roles fueron </w:t>
      </w:r>
      <w:r>
        <w:rPr>
          <w:rFonts w:ascii="Arial" w:cs="Arial" w:eastAsia="Arial" w:hAnsi="Arial"/>
          <w:b/>
          <w:bCs/>
          <w:sz w:val="22"/>
          <w:szCs w:val="22"/>
        </w:rPr>
        <w:t xml:space="preserve">simulados</w:t>
      </w:r>
      <w:r>
        <w:rPr>
          <w:rFonts w:ascii="Arial" w:cs="Arial" w:eastAsia="Arial" w:hAnsi="Arial"/>
          <w:sz w:val="22"/>
          <w:szCs w:val="22"/>
        </w:rPr>
        <w:t xml:space="preserve">. Para Trabajo de Grado se </w:t>
      </w:r>
      <w:r>
        <w:rPr>
          <w:rFonts w:ascii="Arial" w:cs="Arial" w:eastAsia="Arial" w:hAnsi="Arial"/>
          <w:b/>
          <w:bCs/>
          <w:sz w:val="22"/>
          <w:szCs w:val="22"/>
        </w:rPr>
        <w:t xml:space="preserve">diseña y planifica</w:t>
      </w:r>
      <w:r>
        <w:rPr>
          <w:rFonts w:ascii="Arial" w:cs="Arial" w:eastAsia="Arial" w:hAnsi="Arial"/>
          <w:sz w:val="22"/>
          <w:szCs w:val="22"/>
        </w:rPr>
        <w:t xml:space="preserve"> una población de personal administrativo y de alistamiento, motorizados y clientes de Logytech Mobile, sujeta a su autorización y con muestreo por conveniencia (resultados no generalizables); el número de participantes y el criterio de selección se definirán con la organización. La Tabla 4 separa los instrumentos usados de los planificados; </w:t>
      </w:r>
      <w:r>
        <w:rPr>
          <w:rFonts w:ascii="Arial" w:cs="Arial" w:eastAsia="Arial" w:hAnsi="Arial"/>
          <w:b/>
          <w:bCs/>
          <w:sz w:val="22"/>
          <w:szCs w:val="22"/>
        </w:rPr>
        <w:t xml:space="preserve">ninguno de los segundos se ha aplicado.</w:t>
      </w:r>
    </w:p>
    <w:p>
      <w:pPr>
        <w:keepNext/>
        <w:spacing w:after="0" w:before="120"/>
        <w:jc w:val="left"/>
      </w:pPr>
      <w:r>
        <w:rPr>
          <w:rFonts w:ascii="Arial" w:cs="Arial" w:eastAsia="Arial" w:hAnsi="Arial"/>
          <w:b/>
          <w:bCs/>
          <w:sz w:val="22"/>
          <w:szCs w:val="22"/>
        </w:rPr>
        <w:t xml:space="preserve">Tabla 4</w:t>
      </w:r>
    </w:p>
    <w:p>
      <w:pPr>
        <w:keepNext/>
        <w:spacing w:after="60"/>
        <w:jc w:val="left"/>
      </w:pPr>
      <w:r>
        <w:rPr>
          <w:rFonts w:ascii="Arial" w:cs="Arial" w:eastAsia="Arial" w:hAnsi="Arial"/>
          <w:i/>
          <w:iCs/>
          <w:sz w:val="22"/>
          <w:szCs w:val="22"/>
        </w:rPr>
        <w:t xml:space="preserve">Técnicas e instrumentos: usados y planificados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3"/>
        <w:gridCol w:w="2242"/>
        <w:gridCol w:w="2242"/>
        <w:gridCol w:w="2242"/>
        <w:gridCol w:w="831"/>
      </w:tblGrid>
      <w:tr>
        <w:trPr>
          <w:cantSplit/>
          <w:tblHeader/>
        </w:trPr>
        <w:tc>
          <w:tcPr>
            <w:tcW w:type="dxa" w:w="1803"/>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Técnica</w:t>
            </w:r>
          </w:p>
        </w:tc>
        <w:tc>
          <w:tcPr>
            <w:tcW w:type="dxa" w:w="2242"/>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Instrumento</w:t>
            </w:r>
          </w:p>
        </w:tc>
        <w:tc>
          <w:tcPr>
            <w:tcW w:type="dxa" w:w="2242"/>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Para qué sirve</w:t>
            </w:r>
          </w:p>
        </w:tc>
        <w:tc>
          <w:tcPr>
            <w:tcW w:type="dxa" w:w="2242"/>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Aplicado a</w:t>
            </w:r>
          </w:p>
        </w:tc>
        <w:tc>
          <w:tcPr>
            <w:tcW w:type="dxa" w:w="831"/>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Estado</w:t>
            </w:r>
          </w:p>
        </w:tc>
      </w:tr>
      <w:tr>
        <w:trPr>
          <w:cantSplit/>
          <w:tblHeader w:val="off"/>
        </w:trPr>
        <w:tc>
          <w:tcPr>
            <w:tcW w:type="dxa" w:w="180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Revisión documental</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Matriz de fuentes; fichas RF/RNF</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Caracterizar el problema y derivar requisitos</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Literatura y dominio</w:t>
            </w:r>
          </w:p>
        </w:tc>
        <w:tc>
          <w:tcPr>
            <w:tcW w:type="dxa" w:w="831"/>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Usado</w:t>
            </w:r>
          </w:p>
        </w:tc>
      </w:tr>
      <w:tr>
        <w:trPr>
          <w:cantSplit/>
          <w:tblHeader w:val="off"/>
        </w:trPr>
        <w:tc>
          <w:tcPr>
            <w:tcW w:type="dxa" w:w="180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Modelado, prototipado y pruebas</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Casos de uso, ER, C4, mockups; 72 pruebas automatizadas</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Documentar, hacer tangibles y verificar los requisitos</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Artefacto y código</w:t>
            </w:r>
          </w:p>
        </w:tc>
        <w:tc>
          <w:tcPr>
            <w:tcW w:type="dxa" w:w="831"/>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Usado</w:t>
            </w:r>
          </w:p>
        </w:tc>
      </w:tr>
      <w:tr>
        <w:trPr>
          <w:cantSplit/>
          <w:tblHeader w:val="off"/>
        </w:trPr>
        <w:tc>
          <w:tcPr>
            <w:tcW w:type="dxa" w:w="180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Entrevista y observación</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Guion semiestructurado; pauta de observación</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Validar requisitos y contrastar el flujo con la práctica</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Personal y motorizados de Logytech Mobile</w:t>
            </w:r>
          </w:p>
        </w:tc>
        <w:tc>
          <w:tcPr>
            <w:tcW w:type="dxa" w:w="831"/>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Planificado</w:t>
            </w:r>
          </w:p>
        </w:tc>
      </w:tr>
      <w:tr>
        <w:trPr>
          <w:cantSplit/>
          <w:tblHeader w:val="off"/>
        </w:trPr>
        <w:tc>
          <w:tcPr>
            <w:tcW w:type="dxa" w:w="180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Encuesta</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Cuestionario con escala de usabilidad</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Medir la percepción del seguimiento y del chat</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Clientes de Logytech Mobile</w:t>
            </w:r>
          </w:p>
        </w:tc>
        <w:tc>
          <w:tcPr>
            <w:tcW w:type="dxa" w:w="831"/>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Planificado</w:t>
            </w:r>
          </w:p>
        </w:tc>
      </w:tr>
      <w:tr>
        <w:trPr>
          <w:cantSplit/>
          <w:tblHeader w:val="off"/>
        </w:trPr>
        <w:tc>
          <w:tcPr>
            <w:tcW w:type="dxa" w:w="180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Prueba piloto</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Lista de chequeo de flujos centrales</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Verificar que cada flujo se completa con usuarios reales</w:t>
            </w:r>
          </w:p>
        </w:tc>
        <w:tc>
          <w:tcPr>
            <w:tcW w:type="dxa" w:w="2242"/>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Los cuatro roles</w:t>
            </w:r>
          </w:p>
        </w:tc>
        <w:tc>
          <w:tcPr>
            <w:tcW w:type="dxa" w:w="831"/>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Planificado</w:t>
            </w:r>
          </w:p>
        </w:tc>
      </w:tr>
    </w:tbl>
    <w:p>
      <w:pPr>
        <w:spacing w:after="0" w:line="100" w:lineRule="exact"/>
      </w:pPr>
    </w:p>
    <w:p>
      <w:pPr>
        <w:spacing w:after="140" w:before="40" w:line="240"/>
        <w:jc w:val="left"/>
      </w:pPr>
      <w:r>
        <w:rPr>
          <w:rFonts w:ascii="Arial" w:cs="Arial" w:eastAsia="Arial" w:hAnsi="Arial"/>
          <w:i/>
          <w:iCs/>
          <w:sz w:val="20"/>
          <w:szCs w:val="20"/>
        </w:rPr>
        <w:t xml:space="preserve">Nota.</w:t>
      </w:r>
      <w:r>
        <w:rPr>
          <w:rFonts w:ascii="Arial" w:cs="Arial" w:eastAsia="Arial" w:hAnsi="Arial"/>
          <w:sz w:val="20"/>
          <w:szCs w:val="20"/>
        </w:rPr>
        <w:t xml:space="preserve"> Fuente: Elaboración propia.</w:t>
      </w:r>
    </w:p>
    <w:p>
      <w:pPr>
        <w:pStyle w:val="Heading2"/>
        <w:keepNext/>
      </w:pPr>
      <w:r>
        <w:t xml:space="preserve">5.3 Herramientas, proceso de selección y arquitectura</w:t>
      </w:r>
    </w:p>
    <w:p>
      <w:r>
        <w:rPr>
          <w:rFonts w:ascii="Arial" w:cs="Arial" w:eastAsia="Arial" w:hAnsi="Arial"/>
          <w:sz w:val="22"/>
          <w:szCs w:val="22"/>
        </w:rPr>
        <w:t xml:space="preserve">La selección siguió cuatro pasos: listar las capacidades que exigen los objetivos, identificar alternativas, puntuarlas con criterios explícitos (costo cero y sin credenciales, rapidez, soporte de los requisitos, evolución a producción y madurez) y registrar la decisión y la alternativa descartada (Tabla 5). Provienen de la documentación técnica del proyecto (Anexo A) y no de un estudio comparativo formal, lo que se reconoce como limitación.</w:t>
      </w:r>
    </w:p>
    <w:p>
      <w:pPr>
        <w:keepNext/>
        <w:spacing w:after="0" w:before="120"/>
        <w:jc w:val="left"/>
      </w:pPr>
      <w:r>
        <w:rPr>
          <w:rFonts w:ascii="Arial" w:cs="Arial" w:eastAsia="Arial" w:hAnsi="Arial"/>
          <w:b/>
          <w:bCs/>
          <w:sz w:val="22"/>
          <w:szCs w:val="22"/>
        </w:rPr>
        <w:t xml:space="preserve">Tabla 5</w:t>
      </w:r>
    </w:p>
    <w:p>
      <w:pPr>
        <w:keepNext/>
        <w:spacing w:after="60"/>
        <w:jc w:val="left"/>
      </w:pPr>
      <w:r>
        <w:rPr>
          <w:rFonts w:ascii="Arial" w:cs="Arial" w:eastAsia="Arial" w:hAnsi="Arial"/>
          <w:i/>
          <w:iCs/>
          <w:sz w:val="22"/>
          <w:szCs w:val="22"/>
        </w:rPr>
        <w:t xml:space="preserve">Selección de herramientas y tecnologías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1"/>
        <w:gridCol w:w="2777"/>
        <w:gridCol w:w="2053"/>
        <w:gridCol w:w="2779"/>
      </w:tblGrid>
      <w:tr>
        <w:trPr>
          <w:cantSplit/>
          <w:tblHeader/>
        </w:trPr>
        <w:tc>
          <w:tcPr>
            <w:tcW w:type="dxa" w:w="1751"/>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Capa</w:t>
            </w:r>
          </w:p>
        </w:tc>
        <w:tc>
          <w:tcPr>
            <w:tcW w:type="dxa" w:w="2777"/>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Seleccionada</w:t>
            </w:r>
          </w:p>
        </w:tc>
        <w:tc>
          <w:tcPr>
            <w:tcW w:type="dxa" w:w="2053"/>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Alternativa considerada</w:t>
            </w:r>
          </w:p>
        </w:tc>
        <w:tc>
          <w:tcPr>
            <w:tcW w:type="dxa" w:w="2779"/>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Criterio decisivo</w:t>
            </w:r>
          </w:p>
        </w:tc>
      </w:tr>
      <w:tr>
        <w:trPr>
          <w:cantSplit/>
          <w:tblHeader w:val="off"/>
        </w:trPr>
        <w:tc>
          <w:tcPr>
            <w:tcW w:type="dxa" w:w="1751"/>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Backend y autenticación</w:t>
            </w:r>
          </w:p>
        </w:tc>
        <w:tc>
          <w:tcPr>
            <w:tcW w:type="dxa" w:w="2777"/>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Django y DRF; JWT y API Key propia</w:t>
            </w:r>
          </w:p>
        </w:tc>
        <w:tc>
          <w:tcPr>
            <w:tcW w:type="dxa" w:w="205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FastAPI; OAuth2 completo</w:t>
            </w:r>
          </w:p>
        </w:tc>
        <w:tc>
          <w:tcPr>
            <w:tcW w:type="dxa" w:w="277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ORM, administración y autenticación integrados</w:t>
            </w:r>
          </w:p>
        </w:tc>
      </w:tr>
      <w:tr>
        <w:trPr>
          <w:cantSplit/>
          <w:tblHeader w:val="off"/>
        </w:trPr>
        <w:tc>
          <w:tcPr>
            <w:tcW w:type="dxa" w:w="1751"/>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Tiempo real</w:t>
            </w:r>
          </w:p>
        </w:tc>
        <w:tc>
          <w:tcPr>
            <w:tcW w:type="dxa" w:w="2777"/>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Channels y Daphne, con respaldo a sondeo</w:t>
            </w:r>
          </w:p>
        </w:tc>
        <w:tc>
          <w:tcPr>
            <w:tcW w:type="dxa" w:w="205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Solo sondeo</w:t>
            </w:r>
          </w:p>
        </w:tc>
        <w:tc>
          <w:tcPr>
            <w:tcW w:type="dxa" w:w="277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Difusión push de GPS y chat; el respaldo da resiliencia</w:t>
            </w:r>
          </w:p>
        </w:tc>
      </w:tr>
      <w:tr>
        <w:trPr>
          <w:cantSplit/>
          <w:tblHeader w:val="off"/>
        </w:trPr>
        <w:tc>
          <w:tcPr>
            <w:tcW w:type="dxa" w:w="1751"/>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Base de datos</w:t>
            </w:r>
          </w:p>
        </w:tc>
        <w:tc>
          <w:tcPr>
            <w:tcW w:type="dxa" w:w="2777"/>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SQLite (desarrollo); PostgreSQL (propuesta)</w:t>
            </w:r>
          </w:p>
        </w:tc>
        <w:tc>
          <w:tcPr>
            <w:tcW w:type="dxa" w:w="205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PostgreSQL desde el inicio</w:t>
            </w:r>
          </w:p>
        </w:tc>
        <w:tc>
          <w:tcPr>
            <w:tcW w:type="dxa" w:w="277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Cero configuración; mismo ORM después</w:t>
            </w:r>
          </w:p>
        </w:tc>
      </w:tr>
      <w:tr>
        <w:trPr>
          <w:cantSplit/>
          <w:tblHeader w:val="off"/>
        </w:trPr>
        <w:tc>
          <w:tcPr>
            <w:tcW w:type="dxa" w:w="1751"/>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Frontend y empaquetado</w:t>
            </w:r>
          </w:p>
        </w:tc>
        <w:tc>
          <w:tcPr>
            <w:tcW w:type="dxa" w:w="2777"/>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Angular e Ionic; Capacitor</w:t>
            </w:r>
          </w:p>
        </w:tc>
        <w:tc>
          <w:tcPr>
            <w:tcW w:type="dxa" w:w="205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Aplicaciones por rol; nativo</w:t>
            </w:r>
          </w:p>
        </w:tc>
        <w:tc>
          <w:tcPr>
            <w:tcW w:type="dxa" w:w="277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Un código para cuatro roles; Android sin verificar</w:t>
            </w:r>
          </w:p>
        </w:tc>
      </w:tr>
      <w:tr>
        <w:trPr>
          <w:cantSplit/>
          <w:tblHeader w:val="off"/>
        </w:trPr>
        <w:tc>
          <w:tcPr>
            <w:tcW w:type="dxa" w:w="1751"/>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Mapas y geocodificación</w:t>
            </w:r>
          </w:p>
        </w:tc>
        <w:tc>
          <w:tcPr>
            <w:tcW w:type="dxa" w:w="2777"/>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Leaflet, OpenStreetMap y Nominatim</w:t>
            </w:r>
          </w:p>
        </w:tc>
        <w:tc>
          <w:tcPr>
            <w:tcW w:type="dxa" w:w="205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Google Maps Platform</w:t>
            </w:r>
          </w:p>
        </w:tc>
        <w:tc>
          <w:tcPr>
            <w:tcW w:type="dxa" w:w="277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Sin llave ni facturación; una solicitud por segundo</w:t>
            </w:r>
          </w:p>
        </w:tc>
      </w:tr>
      <w:tr>
        <w:trPr>
          <w:cantSplit/>
          <w:tblHeader w:val="off"/>
        </w:trPr>
        <w:tc>
          <w:tcPr>
            <w:tcW w:type="dxa" w:w="1751"/>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Correo</w:t>
            </w:r>
          </w:p>
        </w:tc>
        <w:tc>
          <w:tcPr>
            <w:tcW w:type="dxa" w:w="2777"/>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Backend de consola de Django (</w:t>
            </w:r>
            <w:r>
              <w:rPr>
                <w:rFonts w:ascii="Arial" w:cs="Arial" w:eastAsia="Arial" w:hAnsi="Arial"/>
                <w:b/>
                <w:bCs/>
                <w:sz w:val="18"/>
                <w:szCs w:val="18"/>
              </w:rPr>
              <w:t xml:space="preserve">simulado</w:t>
            </w:r>
            <w:r>
              <w:rPr>
                <w:rFonts w:ascii="Arial" w:cs="Arial" w:eastAsia="Arial" w:hAnsi="Arial"/>
                <w:b w:val="false"/>
                <w:bCs w:val="false"/>
                <w:sz w:val="18"/>
                <w:szCs w:val="18"/>
              </w:rPr>
              <w:t xml:space="preserve">)</w:t>
            </w:r>
          </w:p>
        </w:tc>
        <w:tc>
          <w:tcPr>
            <w:tcW w:type="dxa" w:w="2053"/>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Proveedor transaccional</w:t>
            </w:r>
          </w:p>
        </w:tc>
        <w:tc>
          <w:tcPr>
            <w:tcW w:type="dxa" w:w="2779"/>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Sin cuenta ni credenciales</w:t>
            </w:r>
          </w:p>
        </w:tc>
      </w:tr>
    </w:tbl>
    <w:p>
      <w:pPr>
        <w:spacing w:after="0" w:line="100" w:lineRule="exact"/>
      </w:pPr>
    </w:p>
    <w:p>
      <w:pPr>
        <w:spacing w:after="140" w:before="40" w:line="240"/>
        <w:jc w:val="left"/>
      </w:pPr>
      <w:r>
        <w:rPr>
          <w:rFonts w:ascii="Arial" w:cs="Arial" w:eastAsia="Arial" w:hAnsi="Arial"/>
          <w:i/>
          <w:iCs/>
          <w:sz w:val="20"/>
          <w:szCs w:val="20"/>
        </w:rPr>
        <w:t xml:space="preserve">Nota.</w:t>
      </w:r>
      <w:r>
        <w:rPr>
          <w:rFonts w:ascii="Arial" w:cs="Arial" w:eastAsia="Arial" w:hAnsi="Arial"/>
          <w:sz w:val="20"/>
          <w:szCs w:val="20"/>
        </w:rPr>
        <w:t xml:space="preserve"> Fuente: Elaboración propia a partir de la documentación técnica del proyecto (Anexo A).</w:t>
      </w:r>
    </w:p>
    <w:p>
      <w:r>
        <w:rPr>
          <w:rFonts w:ascii="Arial" w:cs="Arial" w:eastAsia="Arial" w:hAnsi="Arial"/>
          <w:sz w:val="22"/>
          <w:szCs w:val="22"/>
        </w:rPr>
        <w:t xml:space="preserve">La arquitectura es </w:t>
      </w:r>
      <w:r>
        <w:rPr>
          <w:rFonts w:ascii="Arial" w:cs="Arial" w:eastAsia="Arial" w:hAnsi="Arial"/>
          <w:b/>
          <w:bCs/>
          <w:sz w:val="22"/>
          <w:szCs w:val="22"/>
        </w:rPr>
        <w:t xml:space="preserve">modular y orientada a API</w:t>
      </w:r>
      <w:r>
        <w:rPr>
          <w:rFonts w:ascii="Arial" w:cs="Arial" w:eastAsia="Arial" w:hAnsi="Arial"/>
          <w:sz w:val="22"/>
          <w:szCs w:val="22"/>
        </w:rPr>
        <w:t xml:space="preserve">: seis aplicaciones de dominio (cuentas, cobertura, servicios, seguimiento, optimización e integraciones) en un backend único con 12 entidades, documentada con el modelo C4 (Brown, s. f.); la Figura 1 resume el nivel de contenedores. La aplicación Ionic y Angular consume la API REST con JWT y recibe posiciones y mensajes por WebSocket; el chat admite solo al cliente propietario del servicio y al motorizado asignado, lo que verifican pruebas automatizadas. Los sistemas externos usan API Key y reciben webhooks firmados con HMAC.</w:t>
      </w:r>
    </w:p>
    <w:p>
      <w:pPr>
        <w:keepNext/>
        <w:spacing w:after="0" w:before="120"/>
        <w:jc w:val="left"/>
      </w:pPr>
      <w:r>
        <w:rPr>
          <w:rFonts w:ascii="Arial" w:cs="Arial" w:eastAsia="Arial" w:hAnsi="Arial"/>
          <w:b/>
          <w:bCs/>
          <w:sz w:val="22"/>
          <w:szCs w:val="22"/>
        </w:rPr>
        <w:t xml:space="preserve">Figura 1</w:t>
      </w:r>
    </w:p>
    <w:p>
      <w:pPr>
        <w:keepNext/>
        <w:spacing w:after="60"/>
        <w:jc w:val="left"/>
      </w:pPr>
      <w:r>
        <w:rPr>
          <w:rFonts w:ascii="Arial" w:cs="Arial" w:eastAsia="Arial" w:hAnsi="Arial"/>
          <w:i/>
          <w:iCs/>
          <w:sz w:val="22"/>
          <w:szCs w:val="22"/>
        </w:rPr>
        <w:t xml:space="preserve">Diagrama C4 resumido, nivel de contenedores de CMEDriver</w:t>
      </w:r>
    </w:p>
    <w:p>
      <w:pPr>
        <w:spacing w:line="240"/>
        <w:jc w:val="center"/>
      </w:pPr>
      <w:r>
        <w:drawing>
          <wp:inline distT="0" distB="0" distL="0" distR="0">
            <wp:extent cx="5143500" cy="1800225"/>
            <wp:effectExtent t="0" r="0" b="0" l="0"/>
            <wp:docPr id="1" name="fig" descr="Diagrama C4 resumido de contenedores de CMEDriver: usuarios, aplicación Ionic y Angular, API REST Django y servicio de tiempo real en el servidor Daphne, base de datos, almacenamiento de evidencias y sistemas externo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800225"/>
                    </a:xfrm>
                    <a:prstGeom prst="rect">
                      <a:avLst/>
                    </a:prstGeom>
                  </pic:spPr>
                </pic:pic>
              </a:graphicData>
            </a:graphic>
          </wp:inline>
        </w:drawing>
      </w:r>
    </w:p>
    <w:p>
      <w:pPr>
        <w:spacing w:after="140" w:before="40" w:line="240"/>
        <w:jc w:val="left"/>
      </w:pPr>
      <w:r>
        <w:rPr>
          <w:rFonts w:ascii="Arial" w:cs="Arial" w:eastAsia="Arial" w:hAnsi="Arial"/>
          <w:i/>
          <w:iCs/>
          <w:sz w:val="20"/>
          <w:szCs w:val="20"/>
        </w:rPr>
        <w:t xml:space="preserve">Nota.</w:t>
      </w:r>
      <w:r>
        <w:rPr>
          <w:rFonts w:ascii="Arial" w:cs="Arial" w:eastAsia="Arial" w:hAnsi="Arial"/>
          <w:sz w:val="20"/>
          <w:szCs w:val="20"/>
        </w:rPr>
        <w:t xml:space="preserve"> Fuente: Elaboración propia. El diagrama completo y los demás niveles están en el Anexo A.</w:t>
      </w:r>
    </w:p>
    <w:p>
      <w:r>
        <w:rPr>
          <w:rFonts w:ascii="Arial" w:cs="Arial" w:eastAsia="Arial" w:hAnsi="Arial"/>
          <w:b/>
          <w:bCs/>
          <w:sz w:val="22"/>
          <w:szCs w:val="22"/>
        </w:rPr>
        <w:t xml:space="preserve">Lo que se simula</w:t>
      </w:r>
      <w:r>
        <w:rPr>
          <w:rFonts w:ascii="Arial" w:cs="Arial" w:eastAsia="Arial" w:hAnsi="Arial"/>
          <w:sz w:val="22"/>
          <w:szCs w:val="22"/>
        </w:rPr>
        <w:t xml:space="preserve"> es poco: los usuarios, de prueba, y, en desarrollo, el correo de restablecimiento, que se imprime en consola. Lo demás se ejecuta de verdad, pero en desarrollo: el sistema no está desplegado.</w:t>
      </w:r>
    </w:p>
    <w:p>
      <w:pPr>
        <w:pStyle w:val="Heading2"/>
        <w:keepNext/>
      </w:pPr>
      <w:r>
        <w:t xml:space="preserve">5.4 Metodología de desarrollo</w:t>
      </w:r>
    </w:p>
    <w:p>
      <w:r>
        <w:rPr>
          <w:rFonts w:ascii="Arial" w:cs="Arial" w:eastAsia="Arial" w:hAnsi="Arial"/>
          <w:sz w:val="22"/>
          <w:szCs w:val="22"/>
        </w:rPr>
        <w:t xml:space="preserve">Frente a las tres familias de procesos de la guía de la asignatura, la cascada se descartó porque los requisitos cambian y no hay un cliente real que los fije; Scrum exige roles y equipo (Schwaber &amp; Sutherland, 2020) y trabajó una persona con asesoría docente, por lo que se adoptaron sus prácticas pero no el marco; y se eligió el desarrollo </w:t>
      </w:r>
      <w:r>
        <w:rPr>
          <w:rFonts w:ascii="Arial" w:cs="Arial" w:eastAsia="Arial" w:hAnsi="Arial"/>
          <w:b/>
          <w:bCs/>
          <w:sz w:val="22"/>
          <w:szCs w:val="22"/>
        </w:rPr>
        <w:t xml:space="preserve">por prototipos</w:t>
      </w:r>
      <w:r>
        <w:rPr>
          <w:rFonts w:ascii="Arial" w:cs="Arial" w:eastAsia="Arial" w:hAnsi="Arial"/>
          <w:sz w:val="22"/>
          <w:szCs w:val="22"/>
        </w:rPr>
        <w:t xml:space="preserve">, con documentación en paralelo para mitigar su riesgo de documentación escasa.</w:t>
      </w:r>
    </w:p>
    <w:p>
      <w:r>
        <w:rPr>
          <w:rFonts w:ascii="Arial" w:cs="Arial" w:eastAsia="Arial" w:hAnsi="Arial"/>
          <w:sz w:val="22"/>
          <w:szCs w:val="22"/>
        </w:rPr>
        <w:t xml:space="preserve">El desarrollo fue </w:t>
      </w:r>
      <w:r>
        <w:rPr>
          <w:rFonts w:ascii="Arial" w:cs="Arial" w:eastAsia="Arial" w:hAnsi="Arial"/>
          <w:b/>
          <w:bCs/>
          <w:sz w:val="22"/>
          <w:szCs w:val="22"/>
        </w:rPr>
        <w:t xml:space="preserve">incremental por prototipos, con iteraciones de inspiración ágil</w:t>
      </w:r>
      <w:r>
        <w:rPr>
          <w:rFonts w:ascii="Arial" w:cs="Arial" w:eastAsia="Arial" w:hAnsi="Arial"/>
          <w:sz w:val="22"/>
          <w:szCs w:val="22"/>
        </w:rPr>
        <w:t xml:space="preserve">: se entregó software funcionando por fases (núcleo con roles, servicios y evidencia; tiempo real y planificación de recolecciones; optimización de rutas, claves de API y webhooks) y se aceptaron cambios entre fases, como el ajuste de alcance de octubre de 2026 (sección 3.5). </w:t>
      </w:r>
      <w:r>
        <w:rPr>
          <w:rFonts w:ascii="Arial" w:cs="Arial" w:eastAsia="Arial" w:hAnsi="Arial"/>
          <w:b/>
          <w:bCs/>
          <w:sz w:val="22"/>
          <w:szCs w:val="22"/>
        </w:rPr>
        <w:t xml:space="preserve">No se aplicó Scrum completo</w:t>
      </w:r>
      <w:r>
        <w:rPr>
          <w:rFonts w:ascii="Arial" w:cs="Arial" w:eastAsia="Arial" w:hAnsi="Arial"/>
          <w:sz w:val="22"/>
          <w:szCs w:val="22"/>
        </w:rPr>
        <w:t xml:space="preserve">: no hubo roles diferenciados ni sprints formales. Las etapas son MVP y versión 2 (realizadas), Entrega 3 con avance de resultados y, en Trabajo de Grado, validación con usuarios, pruebas definitivas y despliegue.</w:t>
      </w:r>
    </w:p>
    <w:p>
      <w:pPr>
        <w:pStyle w:val="Heading2"/>
        <w:keepNext/>
      </w:pPr>
      <w:r>
        <w:t xml:space="preserve">5.5 Actividad 3: síntesis metodológica</w:t>
      </w:r>
    </w:p>
    <w:p>
      <w:pPr>
        <w:keepNext/>
        <w:spacing w:after="0" w:before="120"/>
        <w:jc w:val="left"/>
      </w:pPr>
      <w:r>
        <w:rPr>
          <w:rFonts w:ascii="Arial" w:cs="Arial" w:eastAsia="Arial" w:hAnsi="Arial"/>
          <w:b/>
          <w:bCs/>
          <w:sz w:val="22"/>
          <w:szCs w:val="22"/>
        </w:rPr>
        <w:t xml:space="preserve">Tabla 6</w:t>
      </w:r>
    </w:p>
    <w:p>
      <w:pPr>
        <w:keepNext/>
        <w:spacing w:after="60"/>
        <w:jc w:val="left"/>
      </w:pPr>
      <w:r>
        <w:rPr>
          <w:rFonts w:ascii="Arial" w:cs="Arial" w:eastAsia="Arial" w:hAnsi="Arial"/>
          <w:i/>
          <w:iCs/>
          <w:sz w:val="22"/>
          <w:szCs w:val="22"/>
        </w:rPr>
        <w:t xml:space="preserve">Tipo de investigación, metodología, herramientas y arquitectura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Tipo de investigación</w:t>
            </w:r>
          </w:p>
        </w:tc>
        <w:tc>
          <w:tcPr>
            <w:tcW w:type="dxa" w:w="234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Metodología de desarrollo</w:t>
            </w:r>
          </w:p>
        </w:tc>
        <w:tc>
          <w:tcPr>
            <w:tcW w:type="dxa" w:w="234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Herramientas y tecnologías</w:t>
            </w:r>
          </w:p>
        </w:tc>
        <w:tc>
          <w:tcPr>
            <w:tcW w:type="dxa" w:w="234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Arquitectura propuesta</w:t>
            </w:r>
          </w:p>
        </w:tc>
      </w:tr>
      <w:tr>
        <w:trPr>
          <w:cantSplit/>
          <w:tblHeader w:val="off"/>
        </w:trPr>
        <w:tc>
          <w:tcPr>
            <w:tcW w:type="dxa" w:w="234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Aplicada (DSR), cualitativo-descriptivo; mixta en Trabajo de Grado</w:t>
            </w:r>
          </w:p>
        </w:tc>
        <w:tc>
          <w:tcPr>
            <w:tcW w:type="dxa" w:w="234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Incremental por prototipos con iteraciones de inspiración ágil</w:t>
            </w:r>
          </w:p>
        </w:tc>
        <w:tc>
          <w:tcPr>
            <w:tcW w:type="dxa" w:w="234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Django y DRF, Channels, Angular e Ionic, SQLite y PostgreSQL, Leaflet y Nominatim</w:t>
            </w:r>
          </w:p>
        </w:tc>
        <w:tc>
          <w:tcPr>
            <w:tcW w:type="dxa" w:w="234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Modular orientada a API (REST, WebSocket y webhooks), documentada con C4</w:t>
            </w:r>
          </w:p>
        </w:tc>
      </w:tr>
    </w:tbl>
    <w:p>
      <w:pPr>
        <w:spacing w:after="0" w:line="100" w:lineRule="exact"/>
      </w:pPr>
    </w:p>
    <w:p>
      <w:pPr>
        <w:spacing w:after="140" w:before="40" w:line="240"/>
        <w:jc w:val="left"/>
      </w:pPr>
      <w:r>
        <w:rPr>
          <w:rFonts w:ascii="Arial" w:cs="Arial" w:eastAsia="Arial" w:hAnsi="Arial"/>
          <w:i/>
          <w:iCs/>
          <w:sz w:val="20"/>
          <w:szCs w:val="20"/>
        </w:rPr>
        <w:t xml:space="preserve">Nota.</w:t>
      </w:r>
      <w:r>
        <w:rPr>
          <w:rFonts w:ascii="Arial" w:cs="Arial" w:eastAsia="Arial" w:hAnsi="Arial"/>
          <w:sz w:val="20"/>
          <w:szCs w:val="20"/>
        </w:rPr>
        <w:t xml:space="preserve"> Fuente: Elaboración propia.</w:t>
      </w:r>
    </w:p>
    <w:p>
      <w:pPr>
        <w:pStyle w:val="Heading2"/>
        <w:keepNext/>
      </w:pPr>
      <w:r>
        <w:t xml:space="preserve">5.6 Coherencia con la Entrega 1</w:t>
      </w:r>
    </w:p>
    <w:p>
      <w:pPr>
        <w:keepNext/>
        <w:spacing w:after="0" w:before="120"/>
        <w:jc w:val="left"/>
      </w:pPr>
      <w:r>
        <w:rPr>
          <w:rFonts w:ascii="Arial" w:cs="Arial" w:eastAsia="Arial" w:hAnsi="Arial"/>
          <w:b/>
          <w:bCs/>
          <w:sz w:val="22"/>
          <w:szCs w:val="22"/>
        </w:rPr>
        <w:t xml:space="preserve">Tabla 7</w:t>
      </w:r>
    </w:p>
    <w:p>
      <w:pPr>
        <w:keepNext/>
        <w:spacing w:after="60"/>
        <w:jc w:val="left"/>
      </w:pPr>
      <w:r>
        <w:rPr>
          <w:rFonts w:ascii="Arial" w:cs="Arial" w:eastAsia="Arial" w:hAnsi="Arial"/>
          <w:i/>
          <w:iCs/>
          <w:sz w:val="22"/>
          <w:szCs w:val="22"/>
        </w:rPr>
        <w:t xml:space="preserve">Coherencia: objetivos específicos y decisiones que los respaldan (¿se logran?)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Objetivo específico (sección 3.3)</w:t>
            </w:r>
          </w:p>
        </w:tc>
        <w:tc>
          <w:tcPr>
            <w:tcW w:type="dxa" w:w="312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Decisión metodológica o arquitectónica</w:t>
            </w:r>
          </w:p>
        </w:tc>
        <w:tc>
          <w:tcPr>
            <w:tcW w:type="dxa" w:w="3120"/>
            <w:tcBorders>
              <w:top w:val="single" w:color="808080" w:sz="4"/>
              <w:left w:val="single" w:color="808080" w:sz="4"/>
              <w:bottom w:val="single" w:color="808080" w:sz="4"/>
              <w:right w:val="single" w:color="808080" w:sz="4"/>
            </w:tcBorders>
            <w:shd w:fill="D9D9D9" w:color="auto" w:val="clear"/>
            <w:tcMar>
              <w:top w:type="dxa" w:w="30"/>
              <w:left w:type="dxa" w:w="90"/>
              <w:bottom w:type="dxa" w:w="30"/>
              <w:right w:type="dxa" w:w="90"/>
            </w:tcMar>
          </w:tcPr>
          <w:p>
            <w:pPr>
              <w:spacing w:after="0" w:line="240"/>
              <w:jc w:val="left"/>
            </w:pPr>
            <w:r>
              <w:rPr>
                <w:rFonts w:ascii="Arial" w:cs="Arial" w:eastAsia="Arial" w:hAnsi="Arial"/>
                <w:b/>
                <w:bCs/>
                <w:sz w:val="18"/>
                <w:szCs w:val="18"/>
              </w:rPr>
              <w:t xml:space="preserve">¿Se logra?</w:t>
            </w:r>
          </w:p>
        </w:tc>
      </w:tr>
      <w:tr>
        <w:trPr>
          <w:cantSplit/>
          <w:tblHeader w:val="off"/>
        </w:trPr>
        <w:tc>
          <w:tcPr>
            <w:tcW w:type="dxa" w:w="312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1. Identificar problemas y derivar requerimientos</w:t>
            </w:r>
          </w:p>
        </w:tc>
        <w:tc>
          <w:tcPr>
            <w:tcW w:type="dxa" w:w="312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Enfoque cualitativo; revisión documental y fichas RF/RNF</w:t>
            </w:r>
          </w:p>
        </w:tc>
        <w:tc>
          <w:tcPr>
            <w:tcW w:type="dxa" w:w="312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Sí, con fuentes secundarias; contraste en Trabajo de Grado</w:t>
            </w:r>
          </w:p>
        </w:tc>
      </w:tr>
      <w:tr>
        <w:trPr>
          <w:cantSplit/>
          <w:tblHeader w:val="off"/>
        </w:trPr>
        <w:tc>
          <w:tcPr>
            <w:tcW w:type="dxa" w:w="312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2. Diseñar y documentar la arquitectura y modelarla</w:t>
            </w:r>
          </w:p>
        </w:tc>
        <w:tc>
          <w:tcPr>
            <w:tcW w:type="dxa" w:w="312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Seis aplicaciones y 12 entidades; REST, WebSocket y webhooks; UML, ER, C4 y mockups</w:t>
            </w:r>
          </w:p>
        </w:tc>
        <w:tc>
          <w:tcPr>
            <w:tcW w:type="dxa" w:w="312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Sí</w:t>
            </w:r>
          </w:p>
        </w:tc>
      </w:tr>
      <w:tr>
        <w:trPr>
          <w:cantSplit/>
          <w:tblHeader w:val="off"/>
        </w:trPr>
        <w:tc>
          <w:tcPr>
            <w:tcW w:type="dxa" w:w="312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3. Implementar el prototipo funcional temprano</w:t>
            </w:r>
          </w:p>
        </w:tc>
        <w:tc>
          <w:tcPr>
            <w:tcW w:type="dxa" w:w="312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Incremental por prototipos; herramientas de la Tabla 5</w:t>
            </w:r>
          </w:p>
        </w:tc>
        <w:tc>
          <w:tcPr>
            <w:tcW w:type="dxa" w:w="312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Sí, con 72 pruebas, usuarios simulados y Android sin verificar</w:t>
            </w:r>
          </w:p>
        </w:tc>
      </w:tr>
      <w:tr>
        <w:trPr>
          <w:cantSplit/>
          <w:tblHeader w:val="off"/>
        </w:trPr>
        <w:tc>
          <w:tcPr>
            <w:tcW w:type="dxa" w:w="312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4. Formular el protocolo de validación</w:t>
            </w:r>
          </w:p>
        </w:tc>
        <w:tc>
          <w:tcPr>
            <w:tcW w:type="dxa" w:w="312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Instrumentos de la Tabla 4; ruta mixta</w:t>
            </w:r>
          </w:p>
        </w:tc>
        <w:tc>
          <w:tcPr>
            <w:tcW w:type="dxa" w:w="312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after="0" w:line="240"/>
              <w:jc w:val="left"/>
            </w:pPr>
            <w:r>
              <w:rPr>
                <w:rFonts w:ascii="Arial" w:cs="Arial" w:eastAsia="Arial" w:hAnsi="Arial"/>
                <w:b w:val="false"/>
                <w:bCs w:val="false"/>
                <w:sz w:val="18"/>
                <w:szCs w:val="18"/>
              </w:rPr>
              <w:t xml:space="preserve">Se formula; se ejecuta en Trabajo de Grado</w:t>
            </w:r>
          </w:p>
        </w:tc>
      </w:tr>
    </w:tbl>
    <w:p>
      <w:pPr>
        <w:spacing w:after="0" w:line="100" w:lineRule="exact"/>
      </w:pPr>
    </w:p>
    <w:p>
      <w:pPr>
        <w:spacing w:after="140" w:before="40" w:line="240"/>
        <w:jc w:val="left"/>
      </w:pPr>
      <w:r>
        <w:rPr>
          <w:rFonts w:ascii="Arial" w:cs="Arial" w:eastAsia="Arial" w:hAnsi="Arial"/>
          <w:i/>
          <w:iCs/>
          <w:sz w:val="20"/>
          <w:szCs w:val="20"/>
        </w:rPr>
        <w:t xml:space="preserve">Nota.</w:t>
      </w:r>
      <w:r>
        <w:rPr>
          <w:rFonts w:ascii="Arial" w:cs="Arial" w:eastAsia="Arial" w:hAnsi="Arial"/>
          <w:sz w:val="20"/>
          <w:szCs w:val="20"/>
        </w:rPr>
        <w:t xml:space="preserve"> Fuente: Elaboración propia.</w:t>
      </w:r>
    </w:p>
    <w:p>
      <w:pPr>
        <w:pStyle w:val="Heading2"/>
        <w:keepNext/>
      </w:pPr>
      <w:r>
        <w:t xml:space="preserve">5.7 Consideraciones éticas y declaración de uso de inteligencia artificial</w:t>
      </w:r>
    </w:p>
    <w:p>
      <w:r>
        <w:rPr>
          <w:rFonts w:ascii="Arial" w:cs="Arial" w:eastAsia="Arial" w:hAnsi="Arial"/>
          <w:sz w:val="22"/>
          <w:szCs w:val="22"/>
        </w:rPr>
        <w:t xml:space="preserve">CMEDriver trata datos personales (nombres, teléfonos, direcciones, GPS, fotos, firmas y chats), sujetos a la Ley 1581 de 2012. Hoy son datos de prueba; con personas reales se requerirán autorización informada, finalidad definida y medidas de seguridad. El software no se registrará ante la Dirección Nacional de Derecho de Autor en esta etapa, por ser un desarrollo para Logytech Mobile, con quien se definirá su titularidad (sección 4.8).</w:t>
      </w:r>
    </w:p>
    <w:p>
      <w:r>
        <w:rPr>
          <w:rFonts w:ascii="Arial" w:cs="Arial" w:eastAsia="Arial" w:hAnsi="Arial"/>
          <w:b/>
          <w:bCs/>
          <w:sz w:val="22"/>
          <w:szCs w:val="22"/>
        </w:rPr>
        <w:t xml:space="preserve">Declaración de uso de IA.</w:t>
      </w:r>
      <w:r>
        <w:rPr>
          <w:rFonts w:ascii="Arial" w:cs="Arial" w:eastAsia="Arial" w:hAnsi="Arial"/>
          <w:sz w:val="22"/>
          <w:szCs w:val="22"/>
        </w:rPr>
        <w:t xml:space="preserve"> Se empleó Claude (Anthropic, 2026) como asistente en cuatro actividades: borradores de este documento, búsqueda y verificación inicial de fuentes, documentación y diagramas técnicos, y modificación y prueba del código. El estudiante supervisó, editó y verificó el contenido y las fuentes; el asistente no sustituye su autoría ni su responsabilidad. El prototipo no incorpora ningún modelo de lenguaje en su ejecución.</w:t>
      </w:r>
    </w:p>
    <w:p>
      <w:pPr>
        <w:pStyle w:val="Heading1"/>
        <w:pageBreakBefore/>
      </w:pPr>
      <w:r>
        <w:t xml:space="preserve">7. Referencias</w:t>
      </w:r>
    </w:p>
    <w:p>
      <w:pPr>
        <w:spacing w:after="0"/>
        <w:ind w:left="720" w:hanging="720"/>
        <w:jc w:val="left"/>
      </w:pPr>
      <w:r>
        <w:rPr>
          <w:rFonts w:ascii="Arial" w:cs="Arial" w:eastAsia="Arial" w:hAnsi="Arial"/>
          <w:sz w:val="22"/>
          <w:szCs w:val="22"/>
        </w:rPr>
        <w:t xml:space="preserve">Al-Qora’n, L. F., &amp; Al-Said Ahmad, A. (2025). Modular monolith architecture in cloud environments: A systematic literature review. </w:t>
      </w:r>
      <w:r>
        <w:rPr>
          <w:rFonts w:ascii="Arial" w:cs="Arial" w:eastAsia="Arial" w:hAnsi="Arial"/>
          <w:i/>
          <w:iCs/>
          <w:sz w:val="22"/>
          <w:szCs w:val="22"/>
        </w:rPr>
        <w:t xml:space="preserve">Future Internet, 17</w:t>
      </w:r>
      <w:r>
        <w:rPr>
          <w:rFonts w:ascii="Arial" w:cs="Arial" w:eastAsia="Arial" w:hAnsi="Arial"/>
          <w:sz w:val="22"/>
          <w:szCs w:val="22"/>
        </w:rPr>
        <w:t xml:space="preserve">(11), Article 496. https://doi.org/10.3390/fi17110496</w:t>
      </w:r>
    </w:p>
    <w:p>
      <w:pPr>
        <w:spacing w:after="0"/>
        <w:ind w:left="720" w:hanging="720"/>
        <w:jc w:val="left"/>
      </w:pPr>
      <w:r>
        <w:rPr>
          <w:rFonts w:ascii="Arial" w:cs="Arial" w:eastAsia="Arial" w:hAnsi="Arial"/>
          <w:sz w:val="22"/>
          <w:szCs w:val="22"/>
        </w:rPr>
        <w:t xml:space="preserve">Anthropic. (2026). </w:t>
      </w:r>
      <w:r>
        <w:rPr>
          <w:rFonts w:ascii="Arial" w:cs="Arial" w:eastAsia="Arial" w:hAnsi="Arial"/>
          <w:i/>
          <w:iCs/>
          <w:sz w:val="22"/>
          <w:szCs w:val="22"/>
        </w:rPr>
        <w:t xml:space="preserve">Claude</w:t>
      </w:r>
      <w:r>
        <w:rPr>
          <w:rFonts w:ascii="Arial" w:cs="Arial" w:eastAsia="Arial" w:hAnsi="Arial"/>
          <w:sz w:val="22"/>
          <w:szCs w:val="22"/>
        </w:rPr>
        <w:t xml:space="preserve"> [Modelo de lenguaje grande]. https://claude.ai/</w:t>
      </w:r>
    </w:p>
    <w:p>
      <w:pPr>
        <w:spacing w:after="0"/>
        <w:ind w:left="720" w:hanging="720"/>
        <w:jc w:val="left"/>
      </w:pPr>
      <w:r>
        <w:rPr>
          <w:rFonts w:ascii="Arial" w:cs="Arial" w:eastAsia="Arial" w:hAnsi="Arial"/>
          <w:sz w:val="22"/>
          <w:szCs w:val="22"/>
        </w:rPr>
        <w:t xml:space="preserve">Bass, L., Clements, P., &amp; Kazman, R. (2003). </w:t>
      </w:r>
      <w:r>
        <w:rPr>
          <w:rFonts w:ascii="Arial" w:cs="Arial" w:eastAsia="Arial" w:hAnsi="Arial"/>
          <w:i/>
          <w:iCs/>
          <w:sz w:val="22"/>
          <w:szCs w:val="22"/>
        </w:rPr>
        <w:t xml:space="preserve">Software architecture in practice</w:t>
      </w:r>
      <w:r>
        <w:rPr>
          <w:rFonts w:ascii="Arial" w:cs="Arial" w:eastAsia="Arial" w:hAnsi="Arial"/>
          <w:sz w:val="22"/>
          <w:szCs w:val="22"/>
        </w:rPr>
        <w:t xml:space="preserve"> (2.ª ed.). Addison-Wesley.</w:t>
      </w:r>
    </w:p>
    <w:p>
      <w:pPr>
        <w:spacing w:after="0"/>
        <w:ind w:left="720" w:hanging="720"/>
        <w:jc w:val="left"/>
      </w:pPr>
      <w:r>
        <w:rPr>
          <w:rFonts w:ascii="Arial" w:cs="Arial" w:eastAsia="Arial" w:hAnsi="Arial"/>
          <w:sz w:val="22"/>
          <w:szCs w:val="22"/>
        </w:rPr>
        <w:t xml:space="preserve">Beaulieu, N., Dascalu, S. M., &amp; Hand, E. (2022). API-first design: A survey of the state of academia and industry. En S. Latifi (Ed.), </w:t>
      </w:r>
      <w:r>
        <w:rPr>
          <w:rFonts w:ascii="Arial" w:cs="Arial" w:eastAsia="Arial" w:hAnsi="Arial"/>
          <w:i/>
          <w:iCs/>
          <w:sz w:val="22"/>
          <w:szCs w:val="22"/>
        </w:rPr>
        <w:t xml:space="preserve">ITNG 2022 19th International Conference on Information Technology-New Generations</w:t>
      </w:r>
      <w:r>
        <w:rPr>
          <w:rFonts w:ascii="Arial" w:cs="Arial" w:eastAsia="Arial" w:hAnsi="Arial"/>
          <w:sz w:val="22"/>
          <w:szCs w:val="22"/>
        </w:rPr>
        <w:t xml:space="preserve"> (pp. 73–79). Springer. https://doi.org/10.1007/978-3-030-97652-1_10</w:t>
      </w:r>
    </w:p>
    <w:p>
      <w:pPr>
        <w:spacing w:after="0"/>
        <w:ind w:left="720" w:hanging="720"/>
        <w:jc w:val="left"/>
      </w:pPr>
      <w:r>
        <w:rPr>
          <w:rFonts w:ascii="Arial" w:cs="Arial" w:eastAsia="Arial" w:hAnsi="Arial"/>
          <w:sz w:val="22"/>
          <w:szCs w:val="22"/>
        </w:rPr>
        <w:t xml:space="preserve">Beck, K., Beedle, M., van Bennekum, A., Cockburn, A., Cunningham, W., Fowler, M., Grenning, J., Highsmith, J., Hunt, A., Jeffries, R., Kern, J., Marick, B., Martin, R. C., Mellor, S., Schwaber, K., Sutherland, J., &amp; Thomas, D. (2001). </w:t>
      </w:r>
      <w:r>
        <w:rPr>
          <w:rFonts w:ascii="Arial" w:cs="Arial" w:eastAsia="Arial" w:hAnsi="Arial"/>
          <w:i/>
          <w:iCs/>
          <w:sz w:val="22"/>
          <w:szCs w:val="22"/>
        </w:rPr>
        <w:t xml:space="preserve">Manifiesto por el Desarrollo Ágil de Software</w:t>
      </w:r>
      <w:r>
        <w:rPr>
          <w:rFonts w:ascii="Arial" w:cs="Arial" w:eastAsia="Arial" w:hAnsi="Arial"/>
          <w:sz w:val="22"/>
          <w:szCs w:val="22"/>
        </w:rPr>
        <w:t xml:space="preserve">. https://agilemanifesto.org/iso/es/manifesto.html</w:t>
      </w:r>
    </w:p>
    <w:p>
      <w:pPr>
        <w:spacing w:after="0"/>
        <w:ind w:left="720" w:hanging="720"/>
        <w:jc w:val="left"/>
      </w:pPr>
      <w:r>
        <w:rPr>
          <w:rFonts w:ascii="Arial" w:cs="Arial" w:eastAsia="Arial" w:hAnsi="Arial"/>
          <w:sz w:val="22"/>
          <w:szCs w:val="22"/>
        </w:rPr>
        <w:t xml:space="preserve">Bogner, J., Kotstein, S., &amp; Pfaff, T. (2023). Do RESTful API design rules have an impact on the understandability of Web APIs? </w:t>
      </w:r>
      <w:r>
        <w:rPr>
          <w:rFonts w:ascii="Arial" w:cs="Arial" w:eastAsia="Arial" w:hAnsi="Arial"/>
          <w:i/>
          <w:iCs/>
          <w:sz w:val="22"/>
          <w:szCs w:val="22"/>
        </w:rPr>
        <w:t xml:space="preserve">Empirical Software Engineering, 28</w:t>
      </w:r>
      <w:r>
        <w:rPr>
          <w:rFonts w:ascii="Arial" w:cs="Arial" w:eastAsia="Arial" w:hAnsi="Arial"/>
          <w:sz w:val="22"/>
          <w:szCs w:val="22"/>
        </w:rPr>
        <w:t xml:space="preserve">(6), Article 132. https://doi.org/10.1007/s10664-023-10367-y</w:t>
      </w:r>
    </w:p>
    <w:p>
      <w:pPr>
        <w:spacing w:after="0"/>
        <w:ind w:left="720" w:hanging="720"/>
        <w:jc w:val="left"/>
      </w:pPr>
      <w:r>
        <w:rPr>
          <w:rFonts w:ascii="Arial" w:cs="Arial" w:eastAsia="Arial" w:hAnsi="Arial"/>
          <w:sz w:val="22"/>
          <w:szCs w:val="22"/>
        </w:rPr>
        <w:t xml:space="preserve">Brown, S. (s. f.). </w:t>
      </w:r>
      <w:r>
        <w:rPr>
          <w:rFonts w:ascii="Arial" w:cs="Arial" w:eastAsia="Arial" w:hAnsi="Arial"/>
          <w:i/>
          <w:iCs/>
          <w:sz w:val="22"/>
          <w:szCs w:val="22"/>
        </w:rPr>
        <w:t xml:space="preserve">The C4 model</w:t>
      </w:r>
      <w:r>
        <w:rPr>
          <w:rFonts w:ascii="Arial" w:cs="Arial" w:eastAsia="Arial" w:hAnsi="Arial"/>
          <w:sz w:val="22"/>
          <w:szCs w:val="22"/>
        </w:rPr>
        <w:t xml:space="preserve">. https://c4model.com/</w:t>
      </w:r>
    </w:p>
    <w:p>
      <w:pPr>
        <w:spacing w:after="0"/>
        <w:ind w:left="720" w:hanging="720"/>
        <w:jc w:val="left"/>
      </w:pPr>
      <w:r>
        <w:rPr>
          <w:rFonts w:ascii="Arial" w:cs="Arial" w:eastAsia="Arial" w:hAnsi="Arial"/>
          <w:sz w:val="22"/>
          <w:szCs w:val="22"/>
        </w:rPr>
        <w:t xml:space="preserve">Comisión del Acuerdo de Cartagena. (1993, 17 de diciembre). Decisión 351: Régimen común sobre derecho de autor y derechos conexos. Gaceta Oficial del Acuerdo de Cartagena No. 145. https://normograma.dian.gov.co/dian/compilacion/docs/decision_comisioncandina_dec351.htm</w:t>
      </w:r>
    </w:p>
    <w:p>
      <w:pPr>
        <w:spacing w:after="0"/>
        <w:ind w:left="720" w:hanging="720"/>
        <w:jc w:val="left"/>
      </w:pPr>
      <w:r>
        <w:rPr>
          <w:rFonts w:ascii="Arial" w:cs="Arial" w:eastAsia="Arial" w:hAnsi="Arial"/>
          <w:sz w:val="22"/>
          <w:szCs w:val="22"/>
        </w:rPr>
        <w:t xml:space="preserve">Dirección Nacional de Derecho de Autor. (s. f.). </w:t>
      </w:r>
      <w:r>
        <w:rPr>
          <w:rFonts w:ascii="Arial" w:cs="Arial" w:eastAsia="Arial" w:hAnsi="Arial"/>
          <w:i/>
          <w:iCs/>
          <w:sz w:val="22"/>
          <w:szCs w:val="22"/>
        </w:rPr>
        <w:t xml:space="preserve">Registro de software</w:t>
      </w:r>
      <w:r>
        <w:rPr>
          <w:rFonts w:ascii="Arial" w:cs="Arial" w:eastAsia="Arial" w:hAnsi="Arial"/>
          <w:sz w:val="22"/>
          <w:szCs w:val="22"/>
        </w:rPr>
        <w:t xml:space="preserve">. https://www.derechodeautor.gov.co/es/atencion-y-servicios-a-la-ciudadania/registro-de-obras/registro-de-software/registro-de-software</w:t>
      </w:r>
    </w:p>
    <w:p>
      <w:pPr>
        <w:spacing w:after="0"/>
        <w:ind w:left="720" w:hanging="720"/>
        <w:jc w:val="left"/>
      </w:pPr>
      <w:r>
        <w:rPr>
          <w:rFonts w:ascii="Arial" w:cs="Arial" w:eastAsia="Arial" w:hAnsi="Arial"/>
          <w:sz w:val="22"/>
          <w:szCs w:val="22"/>
        </w:rPr>
        <w:t xml:space="preserve">Gracia Orejuela, K. J., Gorozabel Bazurto, M. B., &amp; Chango Sailema, W. G. (2024). Long polling, websockets y server-sent events: Comunicación para el envío de datos en tiempo real. </w:t>
      </w:r>
      <w:r>
        <w:rPr>
          <w:rFonts w:ascii="Arial" w:cs="Arial" w:eastAsia="Arial" w:hAnsi="Arial"/>
          <w:i/>
          <w:iCs/>
          <w:sz w:val="22"/>
          <w:szCs w:val="22"/>
        </w:rPr>
        <w:t xml:space="preserve">Mikarimin. Revista Científica Multidisciplinaria, 10</w:t>
      </w:r>
      <w:r>
        <w:rPr>
          <w:rFonts w:ascii="Arial" w:cs="Arial" w:eastAsia="Arial" w:hAnsi="Arial"/>
          <w:sz w:val="22"/>
          <w:szCs w:val="22"/>
        </w:rPr>
        <w:t xml:space="preserve">(3), 101–120. https://doi.org/10.61154/mrcm.v10i3.3272</w:t>
      </w:r>
    </w:p>
    <w:p>
      <w:pPr>
        <w:spacing w:after="0"/>
        <w:ind w:left="720" w:hanging="720"/>
        <w:jc w:val="left"/>
      </w:pPr>
      <w:r>
        <w:rPr>
          <w:rFonts w:ascii="Arial" w:cs="Arial" w:eastAsia="Arial" w:hAnsi="Arial"/>
          <w:sz w:val="22"/>
          <w:szCs w:val="22"/>
        </w:rPr>
        <w:t xml:space="preserve">Hernández-Sampieri, R., &amp; Mendoza Torres, C. P. (2018). </w:t>
      </w:r>
      <w:r>
        <w:rPr>
          <w:rFonts w:ascii="Arial" w:cs="Arial" w:eastAsia="Arial" w:hAnsi="Arial"/>
          <w:i/>
          <w:iCs/>
          <w:sz w:val="22"/>
          <w:szCs w:val="22"/>
        </w:rPr>
        <w:t xml:space="preserve">Metodología de la investigación: Las rutas cuantitativa, cualitativa y mixta</w:t>
      </w:r>
      <w:r>
        <w:rPr>
          <w:rFonts w:ascii="Arial" w:cs="Arial" w:eastAsia="Arial" w:hAnsi="Arial"/>
          <w:sz w:val="22"/>
          <w:szCs w:val="22"/>
        </w:rPr>
        <w:t xml:space="preserve">. McGraw-Hill Interamericana.</w:t>
      </w:r>
    </w:p>
    <w:p>
      <w:pPr>
        <w:spacing w:after="0"/>
        <w:ind w:left="720" w:hanging="720"/>
        <w:jc w:val="left"/>
      </w:pPr>
      <w:r>
        <w:rPr>
          <w:rFonts w:ascii="Arial" w:cs="Arial" w:eastAsia="Arial" w:hAnsi="Arial"/>
          <w:sz w:val="22"/>
          <w:szCs w:val="22"/>
        </w:rPr>
        <w:t xml:space="preserve">ISO/IEC/IEEE. (2018). </w:t>
      </w:r>
      <w:r>
        <w:rPr>
          <w:rFonts w:ascii="Arial" w:cs="Arial" w:eastAsia="Arial" w:hAnsi="Arial"/>
          <w:i/>
          <w:iCs/>
          <w:sz w:val="22"/>
          <w:szCs w:val="22"/>
        </w:rPr>
        <w:t xml:space="preserve">Systems and software engineering — Life cycle processes — Requirements engineering</w:t>
      </w:r>
      <w:r>
        <w:rPr>
          <w:rFonts w:ascii="Arial" w:cs="Arial" w:eastAsia="Arial" w:hAnsi="Arial"/>
          <w:sz w:val="22"/>
          <w:szCs w:val="22"/>
        </w:rPr>
        <w:t xml:space="preserve"> (ISO/IEC/IEEE 29148:2018, 2.ª ed.). https://www.iso.org/standard/72089.html</w:t>
      </w:r>
    </w:p>
    <w:p>
      <w:pPr>
        <w:spacing w:after="0"/>
        <w:ind w:left="720" w:hanging="720"/>
        <w:jc w:val="left"/>
      </w:pPr>
      <w:r>
        <w:rPr>
          <w:rFonts w:ascii="Arial" w:cs="Arial" w:eastAsia="Arial" w:hAnsi="Arial"/>
          <w:sz w:val="22"/>
          <w:szCs w:val="22"/>
        </w:rPr>
        <w:t xml:space="preserve">Jazemi, R., Alidadiani, E., Ahn, K., &amp; Jang, J. (2023). A review of literature on vehicle routing problems of last-mile delivery in urban areas. </w:t>
      </w:r>
      <w:r>
        <w:rPr>
          <w:rFonts w:ascii="Arial" w:cs="Arial" w:eastAsia="Arial" w:hAnsi="Arial"/>
          <w:i/>
          <w:iCs/>
          <w:sz w:val="22"/>
          <w:szCs w:val="22"/>
        </w:rPr>
        <w:t xml:space="preserve">Applied Sciences, 13</w:t>
      </w:r>
      <w:r>
        <w:rPr>
          <w:rFonts w:ascii="Arial" w:cs="Arial" w:eastAsia="Arial" w:hAnsi="Arial"/>
          <w:sz w:val="22"/>
          <w:szCs w:val="22"/>
        </w:rPr>
        <w:t xml:space="preserve">(24), Article 13015. https://doi.org/10.3390/app132413015</w:t>
      </w:r>
    </w:p>
    <w:p>
      <w:pPr>
        <w:spacing w:after="0"/>
        <w:ind w:left="720" w:hanging="720"/>
        <w:jc w:val="left"/>
      </w:pPr>
      <w:r>
        <w:rPr>
          <w:rFonts w:ascii="Arial" w:cs="Arial" w:eastAsia="Arial" w:hAnsi="Arial"/>
          <w:sz w:val="22"/>
          <w:szCs w:val="22"/>
        </w:rPr>
        <w:t xml:space="preserve">Kuhrmann, M., Tell, P., Hebig, R., Klunder, J., Munch, J., Linssen, O., Pfahl, D., Felderer, M., Prause, C. R., MacDonell, S. G., Nakatumba-Nabende, J., Raffo, D., Beecham, S., Tuzun, E., Lopez, G., Paez, N., Fontdevila, D., Licorish, S. A., Kupper, S., . . . Richardson, I. (2022). What makes agile software development agile? </w:t>
      </w:r>
      <w:r>
        <w:rPr>
          <w:rFonts w:ascii="Arial" w:cs="Arial" w:eastAsia="Arial" w:hAnsi="Arial"/>
          <w:i/>
          <w:iCs/>
          <w:sz w:val="22"/>
          <w:szCs w:val="22"/>
        </w:rPr>
        <w:t xml:space="preserve">IEEE Transactions on Software Engineering, 48</w:t>
      </w:r>
      <w:r>
        <w:rPr>
          <w:rFonts w:ascii="Arial" w:cs="Arial" w:eastAsia="Arial" w:hAnsi="Arial"/>
          <w:sz w:val="22"/>
          <w:szCs w:val="22"/>
        </w:rPr>
        <w:t xml:space="preserve">(9), 3523–3539. https://doi.org/10.1109/TSE.2021.3099532</w:t>
      </w:r>
    </w:p>
    <w:p>
      <w:pPr>
        <w:spacing w:after="0"/>
        <w:ind w:left="720" w:hanging="720"/>
        <w:jc w:val="left"/>
      </w:pPr>
      <w:r>
        <w:rPr>
          <w:rFonts w:ascii="Arial" w:cs="Arial" w:eastAsia="Arial" w:hAnsi="Arial"/>
          <w:sz w:val="22"/>
          <w:szCs w:val="22"/>
        </w:rPr>
        <w:t xml:space="preserve">Ley 1581 de 2012. (2012, 17 de octubre). Por la cual se dictan disposiciones generales para la protección de datos personales. Diario Oficial No. 48.587. http://www.secretariasenado.gov.co/senado/basedoc/ley_1581_2012.html</w:t>
      </w:r>
    </w:p>
    <w:p>
      <w:pPr>
        <w:spacing w:after="0"/>
        <w:ind w:left="720" w:hanging="720"/>
        <w:jc w:val="left"/>
      </w:pPr>
      <w:r>
        <w:rPr>
          <w:rFonts w:ascii="Arial" w:cs="Arial" w:eastAsia="Arial" w:hAnsi="Arial"/>
          <w:sz w:val="22"/>
          <w:szCs w:val="22"/>
        </w:rPr>
        <w:t xml:space="preserve">Ley 23 de 1982. (1982, 19 de febrero). Sobre derechos de autor. Diario Oficial No. 35.949. https://normativa.colpensiones.gov.co/compilacion/docs/ley_0023_1982.htm</w:t>
      </w:r>
    </w:p>
    <w:p>
      <w:pPr>
        <w:spacing w:after="0"/>
        <w:ind w:left="720" w:hanging="720"/>
        <w:jc w:val="left"/>
      </w:pPr>
      <w:r>
        <w:rPr>
          <w:rFonts w:ascii="Arial" w:cs="Arial" w:eastAsia="Arial" w:hAnsi="Arial"/>
          <w:sz w:val="22"/>
          <w:szCs w:val="22"/>
        </w:rPr>
        <w:t xml:space="preserve">Madhwal, Y., Borbon-Galvez, Y., Etemadi, N., Yanovich, Y., &amp; Creazza, A. (2022). Proof of delivery smart contract for performance measurements. </w:t>
      </w:r>
      <w:r>
        <w:rPr>
          <w:rFonts w:ascii="Arial" w:cs="Arial" w:eastAsia="Arial" w:hAnsi="Arial"/>
          <w:i/>
          <w:iCs/>
          <w:sz w:val="22"/>
          <w:szCs w:val="22"/>
        </w:rPr>
        <w:t xml:space="preserve">IEEE Access, 10</w:t>
      </w:r>
      <w:r>
        <w:rPr>
          <w:rFonts w:ascii="Arial" w:cs="Arial" w:eastAsia="Arial" w:hAnsi="Arial"/>
          <w:sz w:val="22"/>
          <w:szCs w:val="22"/>
        </w:rPr>
        <w:t xml:space="preserve">, 69147–69159. https://doi.org/10.1109/access.2022.3185634</w:t>
      </w:r>
    </w:p>
    <w:p>
      <w:pPr>
        <w:spacing w:after="0"/>
        <w:ind w:left="720" w:hanging="720"/>
        <w:jc w:val="left"/>
      </w:pPr>
      <w:r>
        <w:rPr>
          <w:rFonts w:ascii="Arial" w:cs="Arial" w:eastAsia="Arial" w:hAnsi="Arial"/>
          <w:sz w:val="22"/>
          <w:szCs w:val="22"/>
        </w:rPr>
        <w:t xml:space="preserve">Mogire, E., Kilbourn, P. J., &amp; Luke, R. (2023). Customer satisfaction with last-mile delivery in Kenya: An online customer perspective. </w:t>
      </w:r>
      <w:r>
        <w:rPr>
          <w:rFonts w:ascii="Arial" w:cs="Arial" w:eastAsia="Arial" w:hAnsi="Arial"/>
          <w:i/>
          <w:iCs/>
          <w:sz w:val="22"/>
          <w:szCs w:val="22"/>
        </w:rPr>
        <w:t xml:space="preserve">Journal of Transport and Supply Chain Management, 17</w:t>
      </w:r>
      <w:r>
        <w:rPr>
          <w:rFonts w:ascii="Arial" w:cs="Arial" w:eastAsia="Arial" w:hAnsi="Arial"/>
          <w:sz w:val="22"/>
          <w:szCs w:val="22"/>
        </w:rPr>
        <w:t xml:space="preserve">. https://doi.org/10.4102/jtscm.v17i0.844</w:t>
      </w:r>
    </w:p>
    <w:p>
      <w:pPr>
        <w:spacing w:after="0"/>
        <w:ind w:left="720" w:hanging="720"/>
        <w:jc w:val="left"/>
      </w:pPr>
      <w:r>
        <w:rPr>
          <w:rFonts w:ascii="Arial" w:cs="Arial" w:eastAsia="Arial" w:hAnsi="Arial"/>
          <w:sz w:val="22"/>
          <w:szCs w:val="22"/>
        </w:rPr>
        <w:t xml:space="preserve">Mohammad, W. A. M., Nazih Diab, Y., Elomri, A., &amp; Triki, C. (2023). Innovative solutions in last mile delivery: Concepts, practices, challenges, and future directions. </w:t>
      </w:r>
      <w:r>
        <w:rPr>
          <w:rFonts w:ascii="Arial" w:cs="Arial" w:eastAsia="Arial" w:hAnsi="Arial"/>
          <w:i/>
          <w:iCs/>
          <w:sz w:val="22"/>
          <w:szCs w:val="22"/>
        </w:rPr>
        <w:t xml:space="preserve">Supply Chain Forum: An International Journal, 24</w:t>
      </w:r>
      <w:r>
        <w:rPr>
          <w:rFonts w:ascii="Arial" w:cs="Arial" w:eastAsia="Arial" w:hAnsi="Arial"/>
          <w:sz w:val="22"/>
          <w:szCs w:val="22"/>
        </w:rPr>
        <w:t xml:space="preserve">(2), 151–169. https://doi.org/10.1080/16258312.2023.2173488</w:t>
      </w:r>
    </w:p>
    <w:p>
      <w:pPr>
        <w:spacing w:after="0"/>
        <w:ind w:left="720" w:hanging="720"/>
        <w:jc w:val="left"/>
      </w:pPr>
      <w:r>
        <w:rPr>
          <w:rFonts w:ascii="Arial" w:cs="Arial" w:eastAsia="Arial" w:hAnsi="Arial"/>
          <w:sz w:val="22"/>
          <w:szCs w:val="22"/>
        </w:rPr>
        <w:t xml:space="preserve">OWASP API Security Project. (2023). </w:t>
      </w:r>
      <w:r>
        <w:rPr>
          <w:rFonts w:ascii="Arial" w:cs="Arial" w:eastAsia="Arial" w:hAnsi="Arial"/>
          <w:i/>
          <w:iCs/>
          <w:sz w:val="22"/>
          <w:szCs w:val="22"/>
        </w:rPr>
        <w:t xml:space="preserve">OWASP API security top 10 – 2023</w:t>
      </w:r>
      <w:r>
        <w:rPr>
          <w:rFonts w:ascii="Arial" w:cs="Arial" w:eastAsia="Arial" w:hAnsi="Arial"/>
          <w:sz w:val="22"/>
          <w:szCs w:val="22"/>
        </w:rPr>
        <w:t xml:space="preserve">. OWASP Foundation. https://api-security.owasp.org/editions/2023/en/0x11-t10/</w:t>
      </w:r>
    </w:p>
    <w:p>
      <w:pPr>
        <w:spacing w:after="0"/>
        <w:ind w:left="720" w:hanging="720"/>
        <w:jc w:val="left"/>
      </w:pPr>
      <w:r>
        <w:rPr>
          <w:rFonts w:ascii="Arial" w:cs="Arial" w:eastAsia="Arial" w:hAnsi="Arial"/>
          <w:sz w:val="22"/>
          <w:szCs w:val="22"/>
        </w:rPr>
        <w:t xml:space="preserve">Parizi, R., Prestes, M., Marczak, S., &amp; Conte, T. (2022). How has design thinking being used and integrated into software development activities? A systematic mapping. </w:t>
      </w:r>
      <w:r>
        <w:rPr>
          <w:rFonts w:ascii="Arial" w:cs="Arial" w:eastAsia="Arial" w:hAnsi="Arial"/>
          <w:i/>
          <w:iCs/>
          <w:sz w:val="22"/>
          <w:szCs w:val="22"/>
        </w:rPr>
        <w:t xml:space="preserve">Journal of Systems and Software, 187</w:t>
      </w:r>
      <w:r>
        <w:rPr>
          <w:rFonts w:ascii="Arial" w:cs="Arial" w:eastAsia="Arial" w:hAnsi="Arial"/>
          <w:sz w:val="22"/>
          <w:szCs w:val="22"/>
        </w:rPr>
        <w:t xml:space="preserve">, Artículo 111217. https://doi.org/10.1016/j.jss.2022.111217</w:t>
      </w:r>
    </w:p>
    <w:p>
      <w:pPr>
        <w:spacing w:after="0"/>
        <w:ind w:left="720" w:hanging="720"/>
        <w:jc w:val="left"/>
      </w:pPr>
      <w:r>
        <w:rPr>
          <w:rFonts w:ascii="Arial" w:cs="Arial" w:eastAsia="Arial" w:hAnsi="Arial"/>
          <w:sz w:val="22"/>
          <w:szCs w:val="22"/>
        </w:rPr>
        <w:t xml:space="preserve">Peffers, K., Tuunanen, T., Rothenberger, M. A., &amp; Chatterjee, S. (2007). A design science research methodology for information systems research. </w:t>
      </w:r>
      <w:r>
        <w:rPr>
          <w:rFonts w:ascii="Arial" w:cs="Arial" w:eastAsia="Arial" w:hAnsi="Arial"/>
          <w:i/>
          <w:iCs/>
          <w:sz w:val="22"/>
          <w:szCs w:val="22"/>
        </w:rPr>
        <w:t xml:space="preserve">Journal of Management Information Systems, 24</w:t>
      </w:r>
      <w:r>
        <w:rPr>
          <w:rFonts w:ascii="Arial" w:cs="Arial" w:eastAsia="Arial" w:hAnsi="Arial"/>
          <w:sz w:val="22"/>
          <w:szCs w:val="22"/>
        </w:rPr>
        <w:t xml:space="preserve">(3), 45–77. https://doi.org/10.2753/MIS0742-1222240302</w:t>
      </w:r>
    </w:p>
    <w:p>
      <w:pPr>
        <w:spacing w:after="0"/>
        <w:ind w:left="720" w:hanging="720"/>
        <w:jc w:val="left"/>
      </w:pPr>
      <w:r>
        <w:rPr>
          <w:rFonts w:ascii="Arial" w:cs="Arial" w:eastAsia="Arial" w:hAnsi="Arial"/>
          <w:sz w:val="22"/>
          <w:szCs w:val="22"/>
        </w:rPr>
        <w:t xml:space="preserve">Pérez, V., &amp; Aybar, C. (2024). Challenges in geocoding: An analysis of R packages and web scraping approaches. </w:t>
      </w:r>
      <w:r>
        <w:rPr>
          <w:rFonts w:ascii="Arial" w:cs="Arial" w:eastAsia="Arial" w:hAnsi="Arial"/>
          <w:i/>
          <w:iCs/>
          <w:sz w:val="22"/>
          <w:szCs w:val="22"/>
        </w:rPr>
        <w:t xml:space="preserve">ISPRS International Journal of Geo-Information, 13</w:t>
      </w:r>
      <w:r>
        <w:rPr>
          <w:rFonts w:ascii="Arial" w:cs="Arial" w:eastAsia="Arial" w:hAnsi="Arial"/>
          <w:sz w:val="22"/>
          <w:szCs w:val="22"/>
        </w:rPr>
        <w:t xml:space="preserve">(6), Article 170. https://doi.org/10.3390/ijgi13060170</w:t>
      </w:r>
    </w:p>
    <w:p>
      <w:pPr>
        <w:spacing w:after="0"/>
        <w:ind w:left="720" w:hanging="720"/>
        <w:jc w:val="left"/>
      </w:pPr>
      <w:r>
        <w:rPr>
          <w:rFonts w:ascii="Arial" w:cs="Arial" w:eastAsia="Arial" w:hAnsi="Arial"/>
          <w:sz w:val="22"/>
          <w:szCs w:val="22"/>
        </w:rPr>
        <w:t xml:space="preserve">Randerath, S., &amp; Friedrich, K. (2025). Off-grid? Resistant media operations by delivery gig workers in response to app-based tracking. </w:t>
      </w:r>
      <w:r>
        <w:rPr>
          <w:rFonts w:ascii="Arial" w:cs="Arial" w:eastAsia="Arial" w:hAnsi="Arial"/>
          <w:i/>
          <w:iCs/>
          <w:sz w:val="22"/>
          <w:szCs w:val="22"/>
        </w:rPr>
        <w:t xml:space="preserve">Mobile Media &amp; Communication, 13</w:t>
      </w:r>
      <w:r>
        <w:rPr>
          <w:rFonts w:ascii="Arial" w:cs="Arial" w:eastAsia="Arial" w:hAnsi="Arial"/>
          <w:sz w:val="22"/>
          <w:szCs w:val="22"/>
        </w:rPr>
        <w:t xml:space="preserve">(1), 214–233. https://doi.org/10.1177/20501579241270785</w:t>
      </w:r>
    </w:p>
    <w:p>
      <w:pPr>
        <w:spacing w:after="0"/>
        <w:ind w:left="720" w:hanging="720"/>
        <w:jc w:val="left"/>
      </w:pPr>
      <w:r>
        <w:rPr>
          <w:rFonts w:ascii="Arial" w:cs="Arial" w:eastAsia="Arial" w:hAnsi="Arial"/>
          <w:sz w:val="22"/>
          <w:szCs w:val="22"/>
        </w:rPr>
        <w:t xml:space="preserve">Restrepo-Betancur, B., Sanchez-Diaz, I., &amp; Gonzalez-Calderon, C. A. (2026). How e-commerce influences last-mile practices that foster informality. </w:t>
      </w:r>
      <w:r>
        <w:rPr>
          <w:rFonts w:ascii="Arial" w:cs="Arial" w:eastAsia="Arial" w:hAnsi="Arial"/>
          <w:i/>
          <w:iCs/>
          <w:sz w:val="22"/>
          <w:szCs w:val="22"/>
        </w:rPr>
        <w:t xml:space="preserve">Transportation Research Interdisciplinary Perspectives, 39</w:t>
      </w:r>
      <w:r>
        <w:rPr>
          <w:rFonts w:ascii="Arial" w:cs="Arial" w:eastAsia="Arial" w:hAnsi="Arial"/>
          <w:sz w:val="22"/>
          <w:szCs w:val="22"/>
        </w:rPr>
        <w:t xml:space="preserve">, Article 102181. https://doi.org/10.1016/j.trip.2026.102181</w:t>
      </w:r>
    </w:p>
    <w:p>
      <w:pPr>
        <w:spacing w:after="0"/>
        <w:ind w:left="720" w:hanging="720"/>
        <w:jc w:val="left"/>
      </w:pPr>
      <w:r>
        <w:rPr>
          <w:rFonts w:ascii="Arial" w:cs="Arial" w:eastAsia="Arial" w:hAnsi="Arial"/>
          <w:sz w:val="22"/>
          <w:szCs w:val="22"/>
        </w:rPr>
        <w:t xml:space="preserve">Schwaber, K., &amp; Sutherland, J. (2020). </w:t>
      </w:r>
      <w:r>
        <w:rPr>
          <w:rFonts w:ascii="Arial" w:cs="Arial" w:eastAsia="Arial" w:hAnsi="Arial"/>
          <w:i/>
          <w:iCs/>
          <w:sz w:val="22"/>
          <w:szCs w:val="22"/>
        </w:rPr>
        <w:t xml:space="preserve">The Scrum Guide: The definitive guide to Scrum: The rules of the game</w:t>
      </w:r>
      <w:r>
        <w:rPr>
          <w:rFonts w:ascii="Arial" w:cs="Arial" w:eastAsia="Arial" w:hAnsi="Arial"/>
          <w:sz w:val="22"/>
          <w:szCs w:val="22"/>
        </w:rPr>
        <w:t xml:space="preserve">. Scrum Guides. https://scrumguides.org/scrum-guide.html</w:t>
      </w:r>
    </w:p>
    <w:p>
      <w:pPr>
        <w:spacing w:after="0"/>
        <w:ind w:left="720" w:hanging="720"/>
        <w:jc w:val="left"/>
      </w:pPr>
      <w:r>
        <w:rPr>
          <w:rFonts w:ascii="Arial" w:cs="Arial" w:eastAsia="Arial" w:hAnsi="Arial"/>
          <w:sz w:val="22"/>
          <w:szCs w:val="22"/>
        </w:rPr>
        <w:t xml:space="preserve">Sommerville, I. (2005). </w:t>
      </w:r>
      <w:r>
        <w:rPr>
          <w:rFonts w:ascii="Arial" w:cs="Arial" w:eastAsia="Arial" w:hAnsi="Arial"/>
          <w:i/>
          <w:iCs/>
          <w:sz w:val="22"/>
          <w:szCs w:val="22"/>
        </w:rPr>
        <w:t xml:space="preserve">Ingeniería del software</w:t>
      </w:r>
      <w:r>
        <w:rPr>
          <w:rFonts w:ascii="Arial" w:cs="Arial" w:eastAsia="Arial" w:hAnsi="Arial"/>
          <w:sz w:val="22"/>
          <w:szCs w:val="22"/>
        </w:rPr>
        <w:t xml:space="preserve"> (7.ª ed.). Pearson Educación.</w:t>
      </w:r>
    </w:p>
    <w:p>
      <w:pPr>
        <w:spacing w:after="0"/>
        <w:ind w:left="720" w:hanging="720"/>
        <w:jc w:val="left"/>
      </w:pPr>
      <w:r>
        <w:rPr>
          <w:rFonts w:ascii="Arial" w:cs="Arial" w:eastAsia="Arial" w:hAnsi="Arial"/>
          <w:sz w:val="22"/>
          <w:szCs w:val="22"/>
        </w:rPr>
        <w:t xml:space="preserve">Souza, N. L. S. de, Stradioto Neto, L. A., Fettermann, D. de C., &amp; Frazzon, E. M. (2022). Evaluation of the customer requirements for last mile delivery in Brazil. </w:t>
      </w:r>
      <w:r>
        <w:rPr>
          <w:rFonts w:ascii="Arial" w:cs="Arial" w:eastAsia="Arial" w:hAnsi="Arial"/>
          <w:i/>
          <w:iCs/>
          <w:sz w:val="22"/>
          <w:szCs w:val="22"/>
        </w:rPr>
        <w:t xml:space="preserve">Brazilian Journal of Operations &amp; Production Management, 19</w:t>
      </w:r>
      <w:r>
        <w:rPr>
          <w:rFonts w:ascii="Arial" w:cs="Arial" w:eastAsia="Arial" w:hAnsi="Arial"/>
          <w:sz w:val="22"/>
          <w:szCs w:val="22"/>
        </w:rPr>
        <w:t xml:space="preserve">(3), 1–12. https://doi.org/10.14488/bjopm.2022.1360</w:t>
      </w:r>
    </w:p>
    <w:sectPr>
      <w:headerReference w:type="default" r:id="rId6"/>
      <w:pgSz w:w="12240" w:h="15840"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2"/>
        <w:szCs w:val="2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0" w:line="360"/>
        <w:jc w:val="both"/>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360"/>
      <w:jc w:val="left"/>
      <w:outlineLvl w:val="0"/>
    </w:pPr>
    <w:rPr>
      <w:rFonts w:ascii="Arial" w:cs="Arial" w:eastAsia="Arial" w:hAnsi="Arial"/>
      <w:b/>
      <w:bCs/>
      <w:color w:val="000000"/>
      <w:sz w:val="26"/>
      <w:szCs w:val="26"/>
    </w:rPr>
  </w:style>
  <w:style w:type="paragraph" w:styleId="Heading2">
    <w:name w:val="Heading 2"/>
    <w:basedOn w:val="Normal"/>
    <w:next w:val="Normal"/>
    <w:qFormat/>
    <w:pPr>
      <w:spacing w:after="120" w:before="240" w:line="360"/>
      <w:jc w:val="left"/>
      <w:outlineLvl w:val="1"/>
    </w:pPr>
    <w:rPr>
      <w:rFonts w:ascii="Arial" w:cs="Arial" w:eastAsia="Arial" w:hAnsi="Arial"/>
      <w:b/>
      <w:bCs/>
      <w:color w:val="000000"/>
      <w:sz w:val="24"/>
      <w:szCs w:val="24"/>
    </w:rPr>
  </w:style>
  <w:style w:type="paragraph" w:styleId="Heading3">
    <w:name w:val="Heading 3"/>
    <w:basedOn w:val="Normal"/>
    <w:next w:val="Normal"/>
    <w:qFormat/>
    <w:pPr>
      <w:spacing w:after="120" w:before="240" w:line="360"/>
      <w:jc w:val="left"/>
      <w:outlineLvl w:val="2"/>
    </w:pPr>
    <w:rPr>
      <w:rFonts w:ascii="Arial" w:cs="Arial" w:eastAsia="Arial" w:hAnsi="Arial"/>
      <w:b/>
      <w:bCs/>
      <w:i/>
      <w:iCs/>
      <w:color w:val="00000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41eeb33101bfa9598a9f1059f1627cf3684ac97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CMEDriver: plataforma orientada a API para la gestión, trazabilidad en tiempo real y comunicación directa cliente-mensajero en servicios de mensajería en Colombia</dc:title>
  <dc:creator>Estudiante</dc:creator>
  <cp:lastModifiedBy>Un-named</cp:lastModifiedBy>
  <cp:revision>1</cp:revision>
  <dcterms:created xsi:type="dcterms:W3CDTF">2026-10-14T01:32:34.849Z</dcterms:created>
  <dcterms:modified xsi:type="dcterms:W3CDTF">2026-10-14T01:32:34.852Z</dcterms:modified>
</cp:coreProperties>
</file>

<file path=docProps/custom.xml><?xml version="1.0" encoding="utf-8"?>
<Properties xmlns="http://schemas.openxmlformats.org/officeDocument/2006/custom-properties" xmlns:vt="http://schemas.openxmlformats.org/officeDocument/2006/docPropsVTypes"/>
</file>