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1528" w14:textId="77777777" w:rsidR="00302310" w:rsidRDefault="00000000">
      <w:pPr>
        <w:jc w:val="center"/>
      </w:pPr>
      <w:r>
        <w:rPr>
          <w:b/>
          <w:bCs/>
          <w:sz w:val="26"/>
          <w:szCs w:val="26"/>
        </w:rPr>
        <w:t>UNINPAHU</w:t>
      </w:r>
    </w:p>
    <w:p w14:paraId="72D7838F" w14:textId="77777777" w:rsidR="00302310" w:rsidRDefault="00000000">
      <w:pPr>
        <w:jc w:val="center"/>
      </w:pPr>
      <w:r>
        <w:t>Facultad de Ingeniería y Tecnologías de la Información</w:t>
      </w:r>
    </w:p>
    <w:p w14:paraId="50DEF198" w14:textId="77777777" w:rsidR="00302310" w:rsidRDefault="00000000">
      <w:pPr>
        <w:spacing w:after="1400"/>
        <w:jc w:val="center"/>
      </w:pPr>
      <w:r>
        <w:t>Programa de Ingeniería de Software</w:t>
      </w:r>
    </w:p>
    <w:p w14:paraId="13E73CBF" w14:textId="77777777" w:rsidR="00302310" w:rsidRDefault="00000000">
      <w:pPr>
        <w:spacing w:after="1400" w:line="400" w:lineRule="auto"/>
        <w:jc w:val="center"/>
      </w:pPr>
      <w:r>
        <w:rPr>
          <w:b/>
          <w:bCs/>
          <w:sz w:val="28"/>
          <w:szCs w:val="28"/>
        </w:rPr>
        <w:t>CMEDriver: plataforma orientada a API para la gestión, trazabilidad en tiempo real y comunicación directa cliente-mensajero en servicios de mensajería en Colombia</w:t>
      </w:r>
    </w:p>
    <w:p w14:paraId="29122DC6" w14:textId="77777777" w:rsidR="00302310" w:rsidRDefault="00000000">
      <w:pPr>
        <w:jc w:val="center"/>
      </w:pPr>
      <w:r>
        <w:t>Proyecto (Ingeniería de Software)</w:t>
      </w:r>
    </w:p>
    <w:p w14:paraId="3972DC39" w14:textId="77777777" w:rsidR="00302310" w:rsidRDefault="00000000">
      <w:pPr>
        <w:spacing w:after="1000"/>
        <w:jc w:val="center"/>
      </w:pPr>
      <w:r>
        <w:rPr>
          <w:i/>
          <w:iCs/>
        </w:rPr>
        <w:t>Entregas 1 y 2: Resumen, Introducción, Marco Teórico y Metodología</w:t>
      </w:r>
    </w:p>
    <w:p w14:paraId="067741A4" w14:textId="77777777" w:rsidR="00302310" w:rsidRDefault="00000000">
      <w:pPr>
        <w:jc w:val="center"/>
      </w:pPr>
      <w:r>
        <w:rPr>
          <w:b/>
          <w:bCs/>
        </w:rPr>
        <w:t>Estudiante</w:t>
      </w:r>
    </w:p>
    <w:p w14:paraId="281DD645" w14:textId="77777777" w:rsidR="00302310" w:rsidRDefault="00000000">
      <w:pPr>
        <w:spacing w:after="300"/>
        <w:jc w:val="center"/>
      </w:pPr>
      <w:r>
        <w:t>Javier Esteban Mora Osorio</w:t>
      </w:r>
    </w:p>
    <w:p w14:paraId="1BB1D68E" w14:textId="77777777" w:rsidR="00302310" w:rsidRDefault="00000000">
      <w:pPr>
        <w:jc w:val="center"/>
      </w:pPr>
      <w:r>
        <w:rPr>
          <w:b/>
          <w:bCs/>
        </w:rPr>
        <w:t>Docente asesora</w:t>
      </w:r>
    </w:p>
    <w:p w14:paraId="1080D5FD" w14:textId="77777777" w:rsidR="00302310" w:rsidRDefault="00000000">
      <w:pPr>
        <w:spacing w:after="1000"/>
        <w:jc w:val="center"/>
      </w:pPr>
      <w:r>
        <w:t>Luisa Fernanda Loza Muñetón</w:t>
      </w:r>
    </w:p>
    <w:p w14:paraId="399DFA91" w14:textId="77777777" w:rsidR="00302310" w:rsidRDefault="00000000">
      <w:pPr>
        <w:jc w:val="center"/>
      </w:pPr>
      <w:r>
        <w:t>Bogotá</w:t>
      </w:r>
    </w:p>
    <w:p w14:paraId="7CA2543B" w14:textId="77777777" w:rsidR="00302310" w:rsidRDefault="00000000">
      <w:pPr>
        <w:jc w:val="center"/>
      </w:pPr>
      <w:r>
        <w:t>Octubre de 2026</w:t>
      </w:r>
    </w:p>
    <w:p w14:paraId="7A86472D" w14:textId="77777777" w:rsidR="00302310" w:rsidRDefault="00000000">
      <w:pPr>
        <w:pageBreakBefore/>
        <w:spacing w:before="2800"/>
        <w:jc w:val="center"/>
      </w:pPr>
      <w:r>
        <w:rPr>
          <w:b/>
          <w:bCs/>
          <w:sz w:val="26"/>
          <w:szCs w:val="26"/>
        </w:rPr>
        <w:lastRenderedPageBreak/>
        <w:t>CMEDriver: plataforma orientada a API para la gestión, trazabilidad en tiempo real y comunicación directa cliente-mensajero en servicios de mensajería en Colombia</w:t>
      </w:r>
    </w:p>
    <w:p w14:paraId="0C659159" w14:textId="77777777" w:rsidR="00302310" w:rsidRDefault="00000000">
      <w:pPr>
        <w:spacing w:before="600"/>
        <w:jc w:val="center"/>
      </w:pPr>
      <w:r>
        <w:t>Autor: Javier Esteban Mora Osorio</w:t>
      </w:r>
    </w:p>
    <w:p w14:paraId="2F85AA85" w14:textId="77777777" w:rsidR="00302310" w:rsidRDefault="00000000">
      <w:pPr>
        <w:jc w:val="center"/>
      </w:pPr>
      <w:r>
        <w:t>Asesora: Luisa Fernanda Loza Muñetón</w:t>
      </w:r>
    </w:p>
    <w:p w14:paraId="35EB8A15" w14:textId="77777777" w:rsidR="00302310" w:rsidRDefault="00000000">
      <w:pPr>
        <w:jc w:val="center"/>
      </w:pPr>
      <w:r>
        <w:t>Programa de Ingeniería de Software, UNINPAHU</w:t>
      </w:r>
    </w:p>
    <w:p w14:paraId="281D1256" w14:textId="77777777" w:rsidR="00302310" w:rsidRDefault="00000000">
      <w:pPr>
        <w:jc w:val="center"/>
      </w:pPr>
      <w:r>
        <w:t>Proyecto (Ingeniería de Software), Entregas 1 y 2</w:t>
      </w:r>
    </w:p>
    <w:p w14:paraId="7E552463" w14:textId="77777777" w:rsidR="00302310" w:rsidRDefault="00000000">
      <w:pPr>
        <w:jc w:val="center"/>
        <w:sectPr w:rsidR="00302310">
          <w:pgSz w:w="12240" w:h="15840"/>
          <w:pgMar w:top="1440" w:right="1440" w:bottom="1440" w:left="1440" w:header="708" w:footer="708" w:gutter="0"/>
          <w:cols w:space="720"/>
          <w:docGrid w:linePitch="360"/>
        </w:sectPr>
      </w:pPr>
      <w:r>
        <w:t>2026</w:t>
      </w:r>
    </w:p>
    <w:p w14:paraId="2361DE2E" w14:textId="77777777" w:rsidR="00302310" w:rsidRDefault="00000000">
      <w:pPr>
        <w:pStyle w:val="Ttulo1"/>
        <w:keepNext/>
        <w:pageBreakBefore/>
      </w:pPr>
      <w:r>
        <w:lastRenderedPageBreak/>
        <w:t>Resumen</w:t>
      </w:r>
    </w:p>
    <w:p w14:paraId="7C955A0E" w14:textId="77777777" w:rsidR="00302310" w:rsidRDefault="00000000">
      <w:r>
        <w:t>La última milla concentra buena parte de la presión logística del comercio electrónico y, mientras la demanda de envíos crece en Colombia, la literatura revisada se concentra en la optimización y trata poco la información que circula entre el operador, el mensajero y el cliente. Se plantea como problema la ausencia de una plataforma integrada y accesible que reúna la operación logística, la trazabilidad, la evidencia de entrega y la autogestión del cliente en la mensajería. Se supone, sin verificación en Colombia, que los operadores pequeños usan procesos manuales o herramientas desconectadas. La pregunta de investigación indaga cómo una plataforma orientada a API puede integrar la gestión de servicios de mensajería (entregas y recolecciones), la trazabilidad en tiempo real, la evidencia digital de entrega y la comunicación directa entre cliente y mensajero en las operaciones de Logytech Mobile, empresa multinacional de logística, en Colombia durante el segundo semestre de 2026. El objetivo general es diseñar y desarrollar, para esa organización, un prototipo funcional temprano. Cuatro objetivos específicos lo desarrollan: identificar problemas y derivar requerimientos, diseñar y modelar una arquitectura modular, implementar el prototipo y formular un protocolo de validación. Se propone una investigación aplicada de desarrollo tecnológico, guiada por Design Science Research, con enfoque cualitativo-descriptivo y ruta mixta prevista después; el desarrollo fue incremental por prototipos. Como adelanto, el prototipo CMEDriver, un backend modular en Django con seis aplicaciones, implementa y verifica con 72 pruebas automatizadas del backend la autenticación por roles, el ciclo de vida del servicio, la planificación de recolecciones, la evidencia con foto y firma, el seguimiento GPS, el chat entre cliente y motorizado y los webhooks firmados. Los usuarios son simulados, el correo opera con backend de consola en desarrollo y el empaquetado para Android no se verificó. El documento no presenta resultados empíricos ni mediciones de mejora: la validación con personal y clientes de Logytech Mobile se planea para Trabajo de Grado, sujeta a su autorización. El desarrollo contó con asistencia de inteligencia artificial.</w:t>
      </w:r>
    </w:p>
    <w:p w14:paraId="08ACD901" w14:textId="77777777" w:rsidR="00302310" w:rsidRDefault="00000000">
      <w:r>
        <w:rPr>
          <w:b/>
          <w:bCs/>
        </w:rPr>
        <w:t>Palabras clave:</w:t>
      </w:r>
      <w:r>
        <w:t xml:space="preserve"> logística de última milla; trazabilidad en tiempo real; arquitectura orientada a API; evidencia digital de entrega; ingeniería de software.</w:t>
      </w:r>
    </w:p>
    <w:p w14:paraId="6A0DB009" w14:textId="77777777" w:rsidR="00302310" w:rsidRDefault="00000000">
      <w:pPr>
        <w:pStyle w:val="Ttulo1"/>
        <w:keepNext/>
        <w:pageBreakBefore/>
      </w:pPr>
      <w:r>
        <w:lastRenderedPageBreak/>
        <w:t>3. Introducción</w:t>
      </w:r>
    </w:p>
    <w:p w14:paraId="2A273DB6" w14:textId="77777777" w:rsidR="00302310" w:rsidRDefault="00000000">
      <w:pPr>
        <w:pStyle w:val="Ttulo2"/>
        <w:keepNext/>
      </w:pPr>
      <w:r>
        <w:t>3.1 Contexto y planteamiento del problema</w:t>
      </w:r>
    </w:p>
    <w:p w14:paraId="3E772CEF" w14:textId="627EE079" w:rsidR="00302310" w:rsidRDefault="00000000">
      <w:r>
        <w:t xml:space="preserve">El crecimiento del comercio electrónico ha trasladado buena parte de la presión logística hacia el último tramo de la cadena de distribución, la denominada última milla. </w:t>
      </w:r>
      <w:sdt>
        <w:sdtPr>
          <w:tag w:val="MENDELEY_CITATION_v3_eyJjaXRhdGlvbklEIjoiTUVOREVMRVlfQ0lUQVRJT05fNDQ4ZjlmY2YtODRkNi00MjQ3LTgyNGMtMmY5NTVkZDg1NTkzIiwicHJvcGVydGllcyI6eyJub3RlSW5kZXgiOjB9LCJpc0VkaXRlZCI6ZmFsc2UsIm1hbnVhbE92ZXJyaWRlIjp7ImlzTWFudWFsbHlPdmVycmlkZGVuIjpmYWxzZSwiY2l0ZXByb2NUZXh0IjoiKE1vaGFtbWFkIGV0IGFsLiwgMjAyMykiLCJtYW51YWxPdmVycmlkZVRleHQiOiIifSwiY2l0YXRpb25JdGVtcyI6W3siaWQiOiJlZWQxZGI1OS03ZTE2LTMxMTktODQ4NC0xZTcxNzZmY2JlZjYiLCJpdGVtRGF0YSI6eyJ0eXBlIjoiYXJ0aWNsZS1qb3VybmFsIiwiaWQiOiJlZWQxZGI1OS03ZTE2LTMxMTktODQ4NC0xZTcxNzZmY2JlZjYiLCJ0aXRsZSI6Iklubm92YXRpdmUgc29sdXRpb25zIGluIGxhc3QgbWlsZSBkZWxpdmVyeTogQ29uY2VwdHMsIHByYWN0aWNlcywgY2hhbGxlbmdlcywgYW5kIGZ1dHVyZSBkaXJlY3Rpb25zIiwiYXV0aG9yIjpbeyJmYW1pbHkiOiJNb2hhbW1hZCIsImdpdmVuIjoiV2Fzc2VuIEEgTSIsInBhcnNlLW5hbWVzIjpmYWxzZSwiZHJvcHBpbmctcGFydGljbGUiOiIiLCJub24tZHJvcHBpbmctcGFydGljbGUiOiIifSx7ImZhbWlseSI6Ik5hemloIERpYWIiLCJnaXZlbiI6IllvdXNlZiIsInBhcnNlLW5hbWVzIjpmYWxzZSwiZHJvcHBpbmctcGFydGljbGUiOiIiLCJub24tZHJvcHBpbmctcGFydGljbGUiOiIifSx7ImZhbWlseSI6IkVsb21yaSIsImdpdmVuIjoiQWRlbCIsInBhcnNlLW5hbWVzIjpmYWxzZSwiZHJvcHBpbmctcGFydGljbGUiOiIiLCJub24tZHJvcHBpbmctcGFydGljbGUiOiIifSx7ImZhbWlseSI6IlRyaWtpIiwiZ2l2ZW4iOiJDaGVmaSIsInBhcnNlLW5hbWVzIjpmYWxzZSwiZHJvcHBpbmctcGFydGljbGUiOiIiLCJub24tZHJvcHBpbmctcGFydGljbGUiOiIifV0sImNvbnRhaW5lci10aXRsZSI6IlN1cHBseSBDaGFpbiBGb3J1bTogQW4gSW50ZXJuYXRpb25hbCBKb3VybmFsIiwiRE9JIjoiMTAuMTA4MC8xNjI1ODMxMi4yMDIzLjIxNzM0ODgiLCJVUkwiOiJodHRwczovL2RvaS5vcmcvMTAuMTA4MC8xNjI1ODMxMi4yMDIzLjIxNzM0ODgiLCJpc3N1ZWQiOnsiZGF0ZS1wYXJ0cyI6W1syMDIzXV19LCJwYWdlIjoiMTUxLTE2OSIsImlzc3VlIjoiMiIsInZvbHVtZSI6IjI0IiwiY29udGFpbmVyLXRpdGxlLXNob3J0IjoiIn0sImlzVGVtcG9yYXJ5IjpmYWxzZSwic3VwcHJlc3MtYXV0aG9yIjpmYWxzZSwiY29tcG9zaXRlIjpmYWxzZSwiYXV0aG9yLW9ubHkiOmZhbHNlfV19"/>
          <w:id w:val="626674291"/>
          <w:placeholder>
            <w:docPart w:val="DefaultPlaceholder_-1854013440"/>
          </w:placeholder>
        </w:sdtPr>
        <w:sdtContent>
          <w:r w:rsidR="00385D2F" w:rsidRPr="00385D2F">
            <w:rPr>
              <w:color w:val="000000"/>
            </w:rPr>
            <w:t>(Mohammad et al., 2023)</w:t>
          </w:r>
        </w:sdtContent>
      </w:sdt>
      <w:r w:rsidR="00385D2F">
        <w:t xml:space="preserve"> </w:t>
      </w:r>
      <w:r>
        <w:t xml:space="preserve">vinculan ese crecimiento, acelerado por la pandemia, con retos críticos en la entrega final y sostienen que el reparto domiciliario tradicional, basado en vehículos de carga, llegó a su límite en las áreas metropolitanas. </w:t>
      </w:r>
      <w:sdt>
        <w:sdtPr>
          <w:tag w:val="MENDELEY_CITATION_v3_eyJjaXRhdGlvbklEIjoiTUVOREVMRVlfQ0lUQVRJT05fNTA3MGU5YzItYTc2Ny00MjIwLWJkZDQtODRkN2RmZDgzYTUxIiwicHJvcGVydGllcyI6eyJub3RlSW5kZXgiOjB9LCJpc0VkaXRlZCI6ZmFsc2UsIm1hbnVhbE92ZXJyaWRlIjp7ImlzTWFudWFsbHlPdmVycmlkZGVuIjpmYWxzZSwiY2l0ZXByb2NUZXh0IjoiKEphbmluaG9mZiBldCBhbC4sIDIwMjQpIiwibWFudWFsT3ZlcnJpZGVUZXh0IjoiIn0sImNpdGF0aW9uSXRlbXMiOlt7ImlkIjoiYmY4MzQzM2EtZWVlMi0zODExLTlhZmUtMThhM2FjZjZhZDIzIiwiaXRlbURhdGEiOnsidHlwZSI6ImFydGljbGUtam91cm5hbCIsImlkIjoiYmY4MzQzM2EtZWVlMi0zODExLTlhZmUtMThhM2FjZjZhZDIzIiwidGl0bGUiOiJPdXQtb2YtaG9tZSBkZWxpdmVyeSBpbiBsYXN0LW1pbGUgbG9naXN0aWNzOiBBIHJldmlldyIsImF1dGhvciI6W3siZmFtaWx5IjoiSmFuaW5ob2ZmIiwiZ2l2ZW4iOiJMdWthcyIsInBhcnNlLW5hbWVzIjpmYWxzZSwiZHJvcHBpbmctcGFydGljbGUiOiIiLCJub24tZHJvcHBpbmctcGFydGljbGUiOiIifSx7ImZhbWlseSI6IktsZWluIiwiZ2l2ZW4iOiJSb2JlcnQiLCJwYXJzZS1uYW1lcyI6ZmFsc2UsImRyb3BwaW5nLXBhcnRpY2xlIjoiIiwibm9uLWRyb3BwaW5nLXBhcnRpY2xlIjoiIn0seyJmYW1pbHkiOiJTYWlsZXIiLCJnaXZlbiI6IkRhbmllbGEiLCJwYXJzZS1uYW1lcyI6ZmFsc2UsImRyb3BwaW5nLXBhcnRpY2xlIjoiIiwibm9uLWRyb3BwaW5nLXBhcnRpY2xlIjoiIn0seyJmYW1pbHkiOiJTY2hvcHBhIiwiZ2l2ZW4iOiJKaW0gTW9ydGVuIiwicGFyc2UtbmFtZXMiOmZhbHNlLCJkcm9wcGluZy1wYXJ0aWNsZSI6IiIsIm5vbi1kcm9wcGluZy1wYXJ0aWNsZSI6IiJ9XSwiY29udGFpbmVyLXRpdGxlIjoiQ29tcHV0ZXJzICYgT3BlcmF0aW9ucyBSZXNlYXJjaCIsImNvbnRhaW5lci10aXRsZS1zaG9ydCI6IkNvbXB1dC4gT3Blci4gUmVzLiIsIkRPSSI6IjEwLjEwMTYvai5jb3IuMjAyNC4xMDY2ODYiLCJVUkwiOiJodHRwczovL2RvaS5vcmcvMTAuMTAxNi9qLmNvci4yMDI0LjEwNjY4NiIsImlzc3VlZCI6eyJkYXRlLXBhcnRzIjpbWzIwMjRdXX0sInBhZ2UiOiIxMDY2ODYiLCJ2b2x1bWUiOiIxNjgifSwiaXNUZW1wb3JhcnkiOmZhbHNlfV19"/>
          <w:id w:val="-705570667"/>
          <w:placeholder>
            <w:docPart w:val="DefaultPlaceholder_-1854013440"/>
          </w:placeholder>
        </w:sdtPr>
        <w:sdtContent>
          <w:r w:rsidR="00385D2F" w:rsidRPr="00385D2F">
            <w:rPr>
              <w:color w:val="000000"/>
            </w:rPr>
            <w:t>(Janinhoff et al., 2024)</w:t>
          </w:r>
        </w:sdtContent>
      </w:sdt>
      <w:r w:rsidR="00385D2F">
        <w:t xml:space="preserve"> </w:t>
      </w:r>
      <w:r>
        <w:t>añaden que los proveedores de este tramo enfrentan escasez de mano de obra, aumento del costo del combustible y márgenes reducidos, lo que los obliga a innovar. Esa misma revisión, sin embargo, se concentra en problemas de optimización (ubicación de instalaciones y ruteo) y no aborda la comunicación con el cliente ni la evidencia de entrega, dos dimensiones que determinan cómo se experimenta el servicio.</w:t>
      </w:r>
    </w:p>
    <w:p w14:paraId="7D03A10A" w14:textId="34EF34F1" w:rsidR="00302310" w:rsidRDefault="00000000">
      <w:r>
        <w:t xml:space="preserve">En Colombia el fenómeno es medible. La Cámara Colombiana de Comercio Electrónico </w:t>
      </w:r>
      <w:sdt>
        <w:sdtPr>
          <w:tag w:val="MENDELEY_CITATION_v3_eyJjaXRhdGlvbklEIjoiTUVOREVMRVlfQ0lUQVRJT05fODNlMzE3ODYtNzlmMi00ZGI3LTllMjktNGQ0NGNjOGMzNzlmIiwicHJvcGVydGllcyI6eyJub3RlSW5kZXgiOjB9LCJpc0VkaXRlZCI6ZmFsc2UsIm1hbnVhbE92ZXJyaWRlIjp7ImlzTWFudWFsbHlPdmVycmlkZGVuIjp0cnVlLCJjaXRlcHJvY1RleHQiOiIoRWxlY3Ryw7NuaWNvLCAyMDI1KSIsIm1hbnVhbE92ZXJyaWRlVGV4dCI6IihDQ0NFLCAyMDI1KSJ9LCJjaXRhdGlvbkl0ZW1zIjpbeyJpZCI6IjE5MzI2NzQyLTc0ZDItMzg2Yi1hOWJjLWZkNTU0MDNiNDkxZSIsIml0ZW1EYXRhIjp7InR5cGUiOiJyZXBvcnQiLCJpZCI6IjE5MzI2NzQyLTc0ZDItMzg2Yi1hOWJjLWZkNTU0MDNiNDkxZSIsInRpdGxlIjoiSW5mb3JtZSBkZSBjaWVycmUgZGVsIGNvbWVyY2lvIGVsZWN0csOzbmljbyBlbiBDb2xvbWJpYSDigJMgMjAyNSIsImF1dGhvciI6W3siZmFtaWx5IjoiRWxlY3Ryw7NuaWNvIiwiZ2l2ZW4iOiJDw6FtYXJhIENvbG9tYmlhbmEgZGUgQ29tZXJjaW8iLCJwYXJzZS1uYW1lcyI6ZmFsc2UsImRyb3BwaW5nLXBhcnRpY2xlIjoiIiwibm9uLWRyb3BwaW5nLXBhcnRpY2xlIjoiIn1dLCJVUkwiOiJodHRwczovL2NjY2Uub3JnLmNvL3dwLWNvbnRlbnQvdXBsb2Fkcy8yMDE3LzA2L1YyLTEtUFVCTElDTy1JTkZPUk1FLURFLUNJRVJSRS0yMDI1LnBkZiIsImlzc3VlZCI6eyJkYXRlLXBhcnRzIjpbWzIwMjVdXX0sImNvbnRhaW5lci10aXRsZS1zaG9ydCI6IiJ9LCJpc1RlbXBvcmFyeSI6ZmFsc2UsInN1cHByZXNzLWF1dGhvciI6ZmFsc2UsImNvbXBvc2l0ZSI6ZmFsc2UsImF1dGhvci1vbmx5IjpmYWxzZX1dfQ=="/>
          <w:id w:val="-404073022"/>
          <w:placeholder>
            <w:docPart w:val="DefaultPlaceholder_-1854013440"/>
          </w:placeholder>
        </w:sdtPr>
        <w:sdtContent>
          <w:r w:rsidR="00BE2C1E" w:rsidRPr="00BE2C1E">
            <w:rPr>
              <w:color w:val="000000"/>
            </w:rPr>
            <w:t>(CCCE, 2025)</w:t>
          </w:r>
        </w:sdtContent>
      </w:sdt>
      <w:r w:rsidR="004A3559">
        <w:t xml:space="preserve"> </w:t>
      </w:r>
      <w:r>
        <w:t xml:space="preserve"> registró 684,6 millones de transacciones en 2025, 19,9 % más que en 2024, con ventas en línea de 145,4 billones de pesos. Por su parte, el Ministerio de Tecnologías de la Información y las Comunicaciones </w:t>
      </w:r>
      <w:sdt>
        <w:sdtPr>
          <w:tag w:val="MENDELEY_CITATION_v3_eyJjaXRhdGlvbklEIjoiTUVOREVMRVlfQ0lUQVRJT05fMTMzZjEzMmYtMjkzYS00YmYxLWJhYzctMjkzZTlhZGZiZmFmIiwicHJvcGVydGllcyI6eyJub3RlSW5kZXgiOjB9LCJpc0VkaXRlZCI6ZmFsc2UsIm1hbnVhbE92ZXJyaWRlIjp7ImlzTWFudWFsbHlPdmVycmlkZGVuIjp0cnVlLCJjaXRlcHJvY1RleHQiOiIoQ29tdW5pY2FjaW9uZXMsIDIwMjY7IFBsYW5lYWNpw7NuLCAyMDIzKSIsIm1hbnVhbE92ZXJyaWRlVGV4dCI6IihNaW5UaWMsIDIwMjYpIn0sImNpdGF0aW9uSXRlbXMiOlt7ImlkIjoiOWYxYTU5YjktMmZhMy0zYjAyLWI0MDgtODgwZTJjZjAwYzEzIiwiaXRlbURhdGEiOnsidHlwZSI6InJlcG9ydCIsImlkIjoiOWYxYTU5YjktMmZhMy0zYjAyLWI0MDgtODgwZTJjZjAwYzEzIiwidGl0bGUiOiJCb2xldMOtbiB0cmltZXN0cmFsIGRlbCBzZWN0b3IgcG9zdGFsOiBDdWFydG8gdHJpbWVzdHJlIGRlIDIwMjUiLCJhdXRob3IiOlt7ImZhbWlseSI6IkNvbXVuaWNhY2lvbmVzIiwiZ2l2ZW4iOiJNaW5pc3RlcmlvIGRlIFRlY25vbG9nw61hcyBkZSBsYSBJbmZvcm1hY2nDs24geSIsInBhcnNlLW5hbWVzIjpmYWxzZSwiZHJvcHBpbmctcGFydGljbGUiOiJsYXMiLCJub24tZHJvcHBpbmctcGFydGljbGUiOiIifV0sIlVSTCI6Imh0dHBzOi8vY29sb21iaWF0aWMubWludGljLmdvdi5jby82NzkvYXJ0aWNsZXMtNDI4NDUzX3ByZXNlbnRhY2lvbl9jaWZyYXMucGRmIiwiaXNzdWVkIjp7ImRhdGUtcGFydHMiOltbMjAyNl1dfSwicHVibGlzaGVyIjoiQ29sb21iaWEgVElDIiwiY29udGFpbmVyLXRpdGxlLXNob3J0IjoiIn0sImlzVGVtcG9yYXJ5IjpmYWxzZSwic3VwcHJlc3MtYXV0aG9yIjpmYWxzZSwiY29tcG9zaXRlIjpmYWxzZSwiYXV0aG9yLW9ubHkiOmZhbHNlfSx7ImlkIjoiMGVlYTBhZGYtNGVlZC0zNjc3LThlOTQtYjUzMWQwZmEwZDBjIiwiaXRlbURhdGEiOnsidHlwZSI6ImFydGljbGUiLCJpZCI6IjBlZWEwYWRmLTRlZWQtMzY3Ny04ZTk0LWI1MzFkMGZhMGQwYyIsInRpdGxlIjoiRWwgRE5QIHJldmVsw7MgcXVlIGVsIGNvc3RvIGxvZ8Otc3RpY28gbmFjaW9uYWwgc2UgdWJpY8OzIGVuIDE3LDklLCA1IHAucC4gcG9yIGVuY2ltYSBkZSBsYSBtZXRhIGRlIDEyLDklIiwiYXV0aG9yIjpbeyJmYW1pbHkiOiJQbGFuZWFjacOzbiIsImdpdmVuIjoiRGVwYXJ0YW1lbnRvIE5hY2lvbmFsIiwicGFyc2UtbmFtZXMiOmZhbHNlLCJkcm9wcGluZy1wYXJ0aWNsZSI6ImRlIiwibm9uLWRyb3BwaW5nLXBhcnRpY2xlIjoiIn1dLCJVUkwiOiJodHRwczovL3d3dy5kbnAuZ292LmNvL1ByZW5zYV8vTm90aWNpYXMvUGFnaW5hcy9lbC1kbnAtcmV2ZWxvLXF1ZS1lbC1jb3N0by1sb2dpc3RpY28tbmFjaW9uYWwtc2UtdWJpY28tZW4tMTctOS01LXAtcC1wb3ItZW5jaW1hLWRlLWxhLW1ldGEtZGUtMTItOS5hc3B4IiwiaXNzdWVkIjp7ImRhdGUtcGFydHMiOltbMjAyM11dfX0sImlzVGVtcG9yYXJ5IjpmYWxzZX1dfQ=="/>
          <w:id w:val="66312601"/>
          <w:placeholder>
            <w:docPart w:val="DefaultPlaceholder_-1854013440"/>
          </w:placeholder>
        </w:sdtPr>
        <w:sdtContent>
          <w:r w:rsidR="00BE2C1E" w:rsidRPr="00BE2C1E">
            <w:rPr>
              <w:color w:val="000000"/>
            </w:rPr>
            <w:t>(MinT</w:t>
          </w:r>
          <w:r w:rsidR="009A3889">
            <w:rPr>
              <w:color w:val="000000"/>
            </w:rPr>
            <w:t>IC</w:t>
          </w:r>
          <w:r w:rsidR="00BE2C1E" w:rsidRPr="00BE2C1E">
            <w:rPr>
              <w:color w:val="000000"/>
            </w:rPr>
            <w:t>, 2026)</w:t>
          </w:r>
        </w:sdtContent>
      </w:sdt>
      <w:r w:rsidR="00BE2C1E">
        <w:t xml:space="preserve"> </w:t>
      </w:r>
      <w:r>
        <w:t>reportó, para el cuarto trimestre de 2025, 86,2 millones de envíos del servicio de mensajería expresa e ingresos de 785.786 millones de pesos, 12 % más que en igual periodo de 2024. Estas cifras describen la demanda, con una limitación: la CCCE mide compras y no entregas, y el boletín del MinTIC solo detalla a las diez mayores empresas, sin caracterizar a las mensajerías pequeñas.</w:t>
      </w:r>
    </w:p>
    <w:p w14:paraId="0F460322" w14:textId="1A4BA3BA" w:rsidR="00302310" w:rsidRDefault="00000000">
      <w:r>
        <w:t>La eficiencia logística nacional ofrece un indicio adicional. La Encuesta Nacional Logística 2022 halló un costo logístico de 17,9 % de las ventas, cinco puntos porcentuales por encima de la meta de la Política Nacional Logística, con un peso mayor en las pequeñas (24,3 %) y microempresas (21,9 %) que en las grandes (12,1 %). Entre las barreras reportadas figuraron los altos costos de transporte y la complejidad de la distribución urbana</w:t>
      </w:r>
      <w:sdt>
        <w:sdtPr>
          <w:tag w:val="MENDELEY_CITATION_v3_eyJjaXRhdGlvbklEIjoiTUVOREVMRVlfQ0lUQVRJT05fZjliMmNkNDAtMTI3Zi00OGVlLTk2OTYtZWI0ZmQyMmUzZjlkIiwicHJvcGVydGllcyI6eyJub3RlSW5kZXgiOjB9LCJpc0VkaXRlZCI6ZmFsc2UsIm1hbnVhbE92ZXJyaWRlIjp7ImlzTWFudWFsbHlPdmVycmlkZGVuIjp0cnVlLCJjaXRlcHJvY1RleHQiOiIoUGxhbmVhY2nDs24sIDIwMjMpIiwibWFudWFsT3ZlcnJpZGVUZXh0IjoiKERQTiwgMjAyMykifSwiY2l0YXRpb25JdGVtcyI6W3siaWQiOiIwZWVhMGFkZi00ZWVkLTM2NzctOGU5NC1iNTMxZDBmYTBkMGMiLCJpdGVtRGF0YSI6eyJ0eXBlIjoiYXJ0aWNsZSIsImlkIjoiMGVlYTBhZGYtNGVlZC0zNjc3LThlOTQtYjUzMWQwZmEwZDBjIiwidGl0bGUiOiJFbCBETlAgcmV2ZWzDsyBxdWUgZWwgY29zdG8gbG9nw61zdGljbyBuYWNpb25hbCBzZSB1Ymljw7MgZW4gMTcsOSUsIDUgcC5wLiBwb3IgZW5jaW1hIGRlIGxhIG1ldGEgZGUgMTIsOSUiLCJhdXRob3IiOlt7ImZhbWlseSI6IlBsYW5lYWNpw7NuIiwiZ2l2ZW4iOiJEZXBhcnRhbWVudG8gTmFjaW9uYWwiLCJwYXJzZS1uYW1lcyI6ZmFsc2UsImRyb3BwaW5nLXBhcnRpY2xlIjoiZGUiLCJub24tZHJvcHBpbmctcGFydGljbGUiOiIifV0sIlVSTCI6Imh0dHBzOi8vd3d3LmRucC5nb3YuY28vUHJlbnNhXy9Ob3RpY2lhcy9QYWdpbmFzL2VsLWRucC1yZXZlbG8tcXVlLWVsLWNvc3RvLWxvZ2lzdGljby1uYWNpb25hbC1zZS11Ymljby1lbi0xNy05LTUtcC1wLXBvci1lbmNpbWEtZGUtbGEtbWV0YS1kZS0xMi05LmFzcHgiLCJpc3N1ZWQiOnsiZGF0ZS1wYXJ0cyI6W1syMDIzXV19LCJjb250YWluZXItdGl0bGUtc2hvcnQiOiIifSwiaXNUZW1wb3JhcnkiOmZhbHNlLCJzdXBwcmVzcy1hdXRob3IiOmZhbHNlLCJjb21wb3NpdGUiOmZhbHNlLCJhdXRob3Itb25seSI6ZmFsc2V9XX0="/>
          <w:id w:val="423233878"/>
          <w:placeholder>
            <w:docPart w:val="DefaultPlaceholder_-1854013440"/>
          </w:placeholder>
        </w:sdtPr>
        <w:sdtContent>
          <w:r w:rsidR="00BE2C1E" w:rsidRPr="00BE2C1E">
            <w:rPr>
              <w:color w:val="000000"/>
            </w:rPr>
            <w:t>(DN</w:t>
          </w:r>
          <w:r w:rsidR="009A3889">
            <w:rPr>
              <w:color w:val="000000"/>
            </w:rPr>
            <w:t>P</w:t>
          </w:r>
          <w:r w:rsidR="00BE2C1E" w:rsidRPr="00BE2C1E">
            <w:rPr>
              <w:color w:val="000000"/>
            </w:rPr>
            <w:t>, 2023)</w:t>
          </w:r>
        </w:sdtContent>
      </w:sdt>
      <w:r>
        <w:t xml:space="preserve">. La edición 2024 redujo el costo a 15,6 % y destacó una mayor incorporación de herramientas digitales, con 23,4 % de las empresas que usa rastreo y seguimiento de pedidos, aunque el comunicado no precisa el universo de ese porcentaje </w:t>
      </w:r>
      <w:sdt>
        <w:sdtPr>
          <w:tag w:val="MENDELEY_CITATION_v3_eyJjaXRhdGlvbklEIjoiTUVOREVMRVlfQ0lUQVRJT05fNzhkMDIzOTMtOTA3NS00ZWRkLTg0M2UtNDQ3ZjZkM2ZmN2RmIiwicHJvcGVydGllcyI6eyJub3RlSW5kZXgiOjB9LCJpc0VkaXRlZCI6ZmFsc2UsIm1hbnVhbE92ZXJyaWRlIjp7ImlzTWFudWFsbHlPdmVycmlkZGVuIjpmYWxzZSwiY2l0ZXByb2NUZXh0IjoiKFBsYW5lYWNpw7NuLCAyMDI1KSIsIm1hbnVhbE92ZXJyaWRlVGV4dCI6IiJ9LCJjaXRhdGlvbkl0ZW1zIjpbeyJpZCI6IjBhMDVjNTQxLWE5N2QtMzVlNy1hOTUxLWI0NzgxMmZkOWVlNyIsIml0ZW1EYXRhIjp7InR5cGUiOiJhcnRpY2xlIiwiaWQiOiIwYTA1YzU0MS1hOTdkLTM1ZTctYTk1MS1iNDc4MTJmZDllZTciLCJ0aXRsZSI6IkxhIGxvZ8Otc3RpY2EgZGVsIHBhw61zIGF2YW56YSBpbXB1bHNhZGEgcG9yIGxhcyByZWdpb25lczogTWVub3JlcyBjb3N0b3MgeSBsYSBsb2fDrXN0aWNhIHZlcmRlIHNlIGRlc3RhY2FuIGVuIGxhIEVOTCAyMDI0IChFbmN1ZXN0YSBOYWNpb25hbCBMb2fDrXN0aWNhKSIsImF1dGhvciI6W3siZmFtaWx5IjoiUGxhbmVhY2nDs24iLCJnaXZlbiI6IkRlcGFydGFtZW50byBOYWNpb25hbCIsInBhcnNlLW5hbWVzIjpmYWxzZSwiZHJvcHBpbmctcGFydGljbGUiOiJkZSIsIm5vbi1kcm9wcGluZy1wYXJ0aWNsZSI6IiJ9XSwiVVJMIjoiaHR0cHM6Ly9kbnAuZ292LmNvL1ByZW5zYV8vTm90aWNpYXMvUGFnaW5hcy9MYS1sb2dpc3RpY2EtZGVsLXBhaXMtYXZhbnphLWltcHVsc2FkYS1wb3ItcmVnaW9uZXMtbWVub3Jlcy1jb3N0b3MtZW5jdWVzdGEtbmFjaW9uYWwtbG9naXN0aWNhLmFzcHgiLCJpc3N1ZWQiOnsiZGF0ZS1wYXJ0cyI6W1syMDI1XV19LCJjb250YWluZXItdGl0bGUtc2hvcnQiOiIifSwiaXNUZW1wb3JhcnkiOmZhbHNlLCJzdXBwcmVzcy1hdXRob3IiOmZhbHNlLCJjb21wb3NpdGUiOmZhbHNlLCJhdXRob3Itb25seSI6ZmFsc2V9XX0="/>
          <w:id w:val="1210001005"/>
          <w:placeholder>
            <w:docPart w:val="DefaultPlaceholder_-1854013440"/>
          </w:placeholder>
        </w:sdtPr>
        <w:sdtContent>
          <w:r w:rsidR="00BE2C1E" w:rsidRPr="00BE2C1E">
            <w:rPr>
              <w:color w:val="000000"/>
            </w:rPr>
            <w:t>(</w:t>
          </w:r>
          <w:r w:rsidR="00BE2C1E">
            <w:rPr>
              <w:color w:val="000000"/>
            </w:rPr>
            <w:t>DN</w:t>
          </w:r>
          <w:r w:rsidR="009A3889">
            <w:rPr>
              <w:color w:val="000000"/>
            </w:rPr>
            <w:t>P</w:t>
          </w:r>
          <w:r w:rsidR="00BE2C1E" w:rsidRPr="00BE2C1E">
            <w:rPr>
              <w:color w:val="000000"/>
            </w:rPr>
            <w:t>, 2025)</w:t>
          </w:r>
        </w:sdtContent>
      </w:sdt>
      <w:r w:rsidR="00BE2C1E">
        <w:t xml:space="preserve"> </w:t>
      </w:r>
      <w:r>
        <w:t>. Ambas encuestas describen la logística empresarial y no la mensajería; con esa cautela, sugieren que el costo pesa más en los actores pequeños y que la digitalización del seguimiento avanza de forma parcial.</w:t>
      </w:r>
    </w:p>
    <w:p w14:paraId="0BF2E4A1" w14:textId="1688248E" w:rsidR="00302310" w:rsidRDefault="00000000">
      <w:r>
        <w:t xml:space="preserve">Los estudios sobre ciudades latinoamericanas refuerzan que el problema no es solo técnico. </w:t>
      </w:r>
      <w:sdt>
        <w:sdtPr>
          <w:tag w:val="MENDELEY_CITATION_v3_eyJjaXRhdGlvbklEIjoiTUVOREVMRVlfQ0lUQVRJT05fMGJkYTU3NDItNjViYS00NDhkLWI0YjMtOTA5MzEzMGQwOWMxIiwicHJvcGVydGllcyI6eyJub3RlSW5kZXgiOjB9LCJpc0VkaXRlZCI6ZmFsc2UsIm1hbnVhbE92ZXJyaWRlIjp7ImlzTWFudWFsbHlPdmVycmlkZGVuIjp0cnVlLCJjaXRlcHJvY1RleHQiOiIoR3V0aWVycmV6LUZyYW5jbyBldCBhbC4sIDIwMjEpIiwibWFudWFsT3ZlcnJpZGVUZXh0IjoiKEd1dGnDqXJyZXotRnJhbmNvIGV0IGFsLiwgMjAyMSkifSwiY2l0YXRpb25JdGVtcyI6W3siaWQiOiIzN2Y4NGY5Yy0yMTg2LTMzODAtOWMzNC00MTFiYzQ4YjJiMGUiLCJpdGVtRGF0YSI6eyJ0eXBlIjoiYXJ0aWNsZS1qb3VybmFsIiwiaWQiOiIzN2Y4NGY5Yy0yMTg2LTMzODAtOWMzNC00MTFiYzQ4YjJiMGUiLCJ0aXRsZSI6IkRhdGEtZHJpdmVuIG1ldGhvZG9sb2d5IHRvIHN1cHBvcnQgbG9uZy1sYXN0aW5nIGxvZ2lzdGljcyBhbmQgZGVjaXNpb24gbWFraW5nIGZvciB1cmJhbiBsYXN0LW1pbGUgb3BlcmF0aW9ucyIsImF1dGhvciI6W3siZmFtaWx5IjoiR3V0aWVycmV6LUZyYW5jbyIsImdpdmVuIjoiRWRnYXIiLCJwYXJzZS1uYW1lcyI6ZmFsc2UsImRyb3BwaW5nLXBhcnRpY2xlIjoiIiwibm9uLWRyb3BwaW5nLXBhcnRpY2xlIjoiIn0seyJmYW1pbHkiOiJNZWppYS1Bcmd1ZXRhIiwiZ2l2ZW4iOiJDaHJpc3RvcGhlciIsInBhcnNlLW5hbWVzIjpmYWxzZSwiZHJvcHBpbmctcGFydGljbGUiOiIiLCJub24tZHJvcHBpbmctcGFydGljbGUiOiIifSx7ImZhbWlseSI6IlJhYmVsbyIsImdpdmVuIjoiTHVpcyIsInBhcnNlLW5hbWVzIjpmYWxzZSwiZHJvcHBpbmctcGFydGljbGUiOiIiLCJub24tZHJvcHBpbmctcGFydGljbGUiOiIifV0sImNvbnRhaW5lci10aXRsZSI6IlN1c3RhaW5hYmlsaXR5IiwiY29udGFpbmVyLXRpdGxlLXNob3J0IjoiU3VzdGFpbmFiaWxpdHkiLCJET0kiOiIxMC4zMzkwL3N1MTMxMTYyMzAiLCJVUkwiOiJodHRwczovL2RvaS5vcmcvMTAuMzM5MC9zdTEzMTE2MjMwIiwiaXNzdWVkIjp7ImRhdGUtcGFydHMiOltbMjAyMV1dfSwicGFnZSI6IjYyMzAiLCJpc3N1ZSI6IjExIiwidm9sdW1lIjoiMTMifSwiaXNUZW1wb3JhcnkiOmZhbHNlfV19"/>
          <w:id w:val="871342624"/>
          <w:placeholder>
            <w:docPart w:val="DefaultPlaceholder_-1854013440"/>
          </w:placeholder>
        </w:sdtPr>
        <w:sdtContent>
          <w:r w:rsidR="00385D2F" w:rsidRPr="00385D2F">
            <w:rPr>
              <w:color w:val="000000"/>
            </w:rPr>
            <w:t>(Gutiérrez-Franco et al., 2021)</w:t>
          </w:r>
        </w:sdtContent>
      </w:sdt>
      <w:r w:rsidR="00385D2F">
        <w:t xml:space="preserve"> </w:t>
      </w:r>
      <w:r>
        <w:t xml:space="preserve">señalan que las operaciones de última milla concentran buena parte de los costos, las emisiones y los tiempos de las cadenas de suministro, y que en Bogotá la congestión y la fragmentación logística exigen decisiones apoyadas en datos, aunque su </w:t>
      </w:r>
      <w:r>
        <w:lastRenderedPageBreak/>
        <w:t>resultado es un análisis preliminar.</w:t>
      </w:r>
      <w:sdt>
        <w:sdtPr>
          <w:tag w:val="MENDELEY_CITATION_v3_eyJjaXRhdGlvbklEIjoiTUVOREVMRVlfQ0lUQVRJT05fNzQ0MTY5MmYtMzY5MS00NDBlLThlZDAtNDIzZmM3NDI4M2IwIiwicHJvcGVydGllcyI6eyJub3RlSW5kZXgiOjB9LCJpc0VkaXRlZCI6ZmFsc2UsIm1hbnVhbE92ZXJyaWRlIjp7ImlzTWFudWFsbHlPdmVycmlkZGVuIjpmYWxzZSwiY2l0ZXByb2NUZXh0IjoiKFJlc3RyZXBvLUJldGFuY3VyIGV0IGFsLiwgMjAyNikiLCJtYW51YWxPdmVycmlkZVRleHQiOiIifSwiY2l0YXRpb25JdGVtcyI6W3siaWQiOiI1OTFmYzUwNS1lMzE4LTM0YTQtODlkMC02ZWMwZjQ4MjZiOTMiLCJpdGVtRGF0YSI6eyJ0eXBlIjoiYXJ0aWNsZS1qb3VybmFsIiwiaWQiOiI1OTFmYzUwNS1lMzE4LTM0YTQtODlkMC02ZWMwZjQ4MjZiOTMiLCJ0aXRsZSI6IkhvdyBlLWNvbW1lcmNlIGluZmx1ZW5jZXMgbGFzdC1taWxlIHByYWN0aWNlcyB0aGF0IGZvc3RlciBpbmZvcm1hbGl0eSIsImF1dGhvciI6W3siZmFtaWx5IjoiUmVzdHJlcG8tQmV0YW5jdXIiLCJnaXZlbiI6IkJhc2lsaW8iLCJwYXJzZS1uYW1lcyI6ZmFsc2UsImRyb3BwaW5nLXBhcnRpY2xlIjoiIiwibm9uLWRyb3BwaW5nLXBhcnRpY2xlIjoiIn0seyJmYW1pbHkiOiJTYW5jaGV6LURpYXoiLCJnaXZlbiI6Ikl2YW4iLCJwYXJzZS1uYW1lcyI6ZmFsc2UsImRyb3BwaW5nLXBhcnRpY2xlIjoiIiwibm9uLWRyb3BwaW5nLXBhcnRpY2xlIjoiIn0seyJmYW1pbHkiOiJHb256YWxlei1DYWxkZXJvbiIsImdpdmVuIjoiQ2FybG9zIEEiLCJwYXJzZS1uYW1lcyI6ZmFsc2UsImRyb3BwaW5nLXBhcnRpY2xlIjoiIiwibm9uLWRyb3BwaW5nLXBhcnRpY2xlIjoiIn1dLCJjb250YWluZXItdGl0bGUiOiJUcmFuc3BvcnRhdGlvbiBSZXNlYXJjaCBJbnRlcmRpc2NpcGxpbmFyeSBQZXJzcGVjdGl2ZXMiLCJjb250YWluZXItdGl0bGUtc2hvcnQiOiJUcmFuc3AuIFJlcy4gSW50ZXJkaXNjaXAuIFBlcnNwZWN0LiIsIkRPSSI6IjEwLjEwMTYvai50cmlwLjIwMjYuMTAyMTgxIiwiVVJMIjoiaHR0cHM6Ly9kb2kub3JnLzEwLjEwMTYvai50cmlwLjIwMjYuMTAyMTgxIiwiaXNzdWVkIjp7ImRhdGUtcGFydHMiOltbMjAyNl1dfSwicGFnZSI6IjEwMjE4MSIsInZvbHVtZSI6IjM5In0sImlzVGVtcG9yYXJ5IjpmYWxzZSwic3VwcHJlc3MtYXV0aG9yIjpmYWxzZSwiY29tcG9zaXRlIjpmYWxzZSwiYXV0aG9yLW9ubHkiOmZhbHNlfV19"/>
          <w:id w:val="20825642"/>
          <w:placeholder>
            <w:docPart w:val="DefaultPlaceholder_-1854013440"/>
          </w:placeholder>
        </w:sdtPr>
        <w:sdtContent>
          <w:r w:rsidR="00385D2F" w:rsidRPr="00385D2F">
            <w:rPr>
              <w:color w:val="000000"/>
            </w:rPr>
            <w:t>(Restrepo-Betancur et al., 2026)</w:t>
          </w:r>
        </w:sdtContent>
      </w:sdt>
      <w:r>
        <w:t>, con 64 entrevistas en Medellín, encuentran que la tercerización de la última milla traslada riesgos operativos a trabajadores informales y que la escasa supervisión consolida esa informalidad.</w:t>
      </w:r>
    </w:p>
    <w:p w14:paraId="0039AD96" w14:textId="425749CE" w:rsidR="00302310" w:rsidRDefault="00000000">
      <w:r>
        <w:t>Un segundo eje es la relación con el cliente.</w:t>
      </w:r>
      <w:sdt>
        <w:sdtPr>
          <w:rPr>
            <w:color w:val="000000"/>
          </w:rPr>
          <w:tag w:val="MENDELEY_CITATION_v3_eyJjaXRhdGlvbklEIjoiTUVOREVMRVlfQ0lUQVRJT05fZjc1Yzc4OWQtZjM4Mi00M2U0LTg0NzctMTI2ZWU1Y2Y2OTBhIiwicHJvcGVydGllcyI6eyJub3RlSW5kZXgiOjB9LCJpc0VkaXRlZCI6ZmFsc2UsIm1hbnVhbE92ZXJyaWRlIjp7ImlzTWFudWFsbHlPdmVycmlkZGVuIjpmYWxzZSwiY2l0ZXByb2NUZXh0IjoiKFNlZ2hlenppICYjMzg7IE1hbmdpYXJhY2luYSwgMjAyMykiLCJtYW51YWxPdmVycmlkZVRleHQiOiIifSwiY2l0YXRpb25JdGVtcyI6W3siaWQiOiJkOTgzMzdmNi0wYjNhLTNkZTEtOTMxYS01MWJjODI5YzlhNTIiLCJpdGVtRGF0YSI6eyJ0eXBlIjoiYXJ0aWNsZS1qb3VybmFsIiwiaWQiOiJkOTgzMzdmNi0wYjNhLTNkZTEtOTMxYS01MWJjODI5YzlhNTIiLCJ0aXRsZSI6IlNtYXJ0IGhvbWUgZGV2aWNlcyBhbmQgQjJDIGUtY29tbWVyY2U6IEEgd2F5IHRvIHJlZHVjZSBmYWlsZWQgZGVsaXZlcmllcyIsImF1dGhvciI6W3siZmFtaWx5IjoiU2VnaGV6emkiLCJnaXZlbiI6IkFyaWFubmEiLCJwYXJzZS1uYW1lcyI6ZmFsc2UsImRyb3BwaW5nLXBhcnRpY2xlIjoiIiwibm9uLWRyb3BwaW5nLXBhcnRpY2xlIjoiIn0seyJmYW1pbHkiOiJNYW5naWFyYWNpbmEiLCJnaXZlbiI6IlJpY2NhcmRvIiwicGFyc2UtbmFtZXMiOmZhbHNlLCJkcm9wcGluZy1wYXJ0aWNsZSI6IiIsIm5vbi1kcm9wcGluZy1wYXJ0aWNsZSI6IiJ9XSwiY29udGFpbmVyLXRpdGxlIjoiSW5kdXN0cmlhbCBNYW5hZ2VtZW50IFxcJiBEYXRhIFN5c3RlbXMiLCJET0kiOiIxMC4xMTA4L2ltZHMtMTAtMjAyMi0wNjUxIiwiVVJMIjoiaHR0cHM6Ly9kb2kub3JnLzEwLjExMDgvaW1kcy0xMC0yMDIyLTA2NTEiLCJpc3N1ZWQiOnsiZGF0ZS1wYXJ0cyI6W1syMDIzXV19LCJwYWdlIjoiMTYyNC0xNjQ1IiwiaXNzdWUiOiI1Iiwidm9sdW1lIjoiMTIzIiwiY29udGFpbmVyLXRpdGxlLXNob3J0IjoiIn0sImlzVGVtcG9yYXJ5IjpmYWxzZX1dfQ=="/>
          <w:id w:val="1588884837"/>
          <w:placeholder>
            <w:docPart w:val="DefaultPlaceholder_-1854013440"/>
          </w:placeholder>
        </w:sdtPr>
        <w:sdtContent>
          <w:r w:rsidR="00385D2F" w:rsidRPr="00385D2F">
            <w:rPr>
              <w:rFonts w:eastAsia="Times New Roman"/>
              <w:color w:val="000000"/>
            </w:rPr>
            <w:t>(Seghezzi &amp; Mangiaracina, 2023)</w:t>
          </w:r>
        </w:sdtContent>
      </w:sdt>
      <w:r w:rsidR="00385D2F">
        <w:rPr>
          <w:color w:val="000000"/>
        </w:rPr>
        <w:t xml:space="preserve"> </w:t>
      </w:r>
      <w:r>
        <w:t>presentan las entregas fallidas por ausencia del cliente como un problema crítico de la última milla B2C, con costos altos para el comercio y efecto negativo en la satisfacción, aunque su propuesta se evaluó mediante un modelo aplicado a Milán y no en operación real. Esa evidencia es europea y no existe, en las fuentes revisadas para este trabajo, una cifra verificada de entregas fallidas ni del costo de la última milla por envío en Colombia. Por ello, la magnitud de este problema en el contexto colombiano se plantea aquí como un supuesto que debe validarse con operadores reales.</w:t>
      </w:r>
    </w:p>
    <w:p w14:paraId="3FC516B4" w14:textId="0A296436" w:rsidR="00302310" w:rsidRDefault="00000000">
      <w:r>
        <w:t xml:space="preserve">En cuanto a la adopción tecnológica de las mensajerías pequeñas, </w:t>
      </w:r>
      <w:sdt>
        <w:sdtPr>
          <w:tag w:val="MENDELEY_CITATION_v3_eyJjaXRhdGlvbklEIjoiTUVOREVMRVlfQ0lUQVRJT05fNDkzZmIxMzEtOWQ3Zi00ZmE4LWJiNTctYjViZGRhZGFiYjBhIiwicHJvcGVydGllcyI6eyJub3RlSW5kZXgiOjB9LCJpc0VkaXRlZCI6ZmFsc2UsIm1hbnVhbE92ZXJyaWRlIjp7ImlzTWFudWFsbHlPdmVycmlkZGVuIjpmYWxzZSwiY2l0ZXByb2NUZXh0IjoiKEJvb20tQ8OhcmNhbW8gZXQgYWwuLCAyMDI0KSIsIm1hbnVhbE92ZXJyaWRlVGV4dCI6IiJ9LCJjaXRhdGlvbkl0ZW1zIjpbeyJpZCI6ImRhYzc3NzMzLWMxN2YtM2NiOC1iNWIzLTIxZmNiNjY3ZDcxYiIsIml0ZW1EYXRhIjp7InR5cGUiOiJhcnRpY2xlLWpvdXJuYWwiLCJpZCI6ImRhYzc3NzMzLWMxN2YtM2NiOC1iNWIzLTIxZmNiNjY3ZDcxYiIsInRpdGxlIjoiQmFycmllcnMgYW5kIHN0cmF0ZWdpZXMgZm9yIGRpZ2l0YWwgbWFya2V0aW5nIGFuZCBzbWFydCBkZWxpdmVyeSBpbiB1cmJhbiBjb3VyaWVyIGNvbXBhbmllcyBpbiBkZXZlbG9waW5nIGNvdW50cmllcyIsImF1dGhvciI6W3siZmFtaWx5IjoiQm9vbS1Dw6FyY2FtbyIsImdpdmVuIjoiRWZyYWluIiwicGFyc2UtbmFtZXMiOmZhbHNlLCJkcm9wcGluZy1wYXJ0aWNsZSI6IiIsIm5vbi1kcm9wcGluZy1wYXJ0aWNsZSI6IiJ9LHsiZmFtaWx5IjoiTW9saW5hLVJvbWVybyIsImdpdmVuIjoiU2NobmV5ZGVyIiwicGFyc2UtbmFtZXMiOmZhbHNlLCJkcm9wcGluZy1wYXJ0aWNsZSI6IiIsIm5vbi1kcm9wcGluZy1wYXJ0aWNsZSI6IiJ9LHsiZmFtaWx5IjoiR2FsaW5kby1Bbmd1bG8iLCJnaXZlbiI6IkNlc2FyIiwicGFyc2UtbmFtZXMiOmZhbHNlLCJkcm9wcGluZy1wYXJ0aWNsZSI6IiIsIm5vbi1kcm9wcGluZy1wYXJ0aWNsZSI6IiJ9LHsiZmFtaWx5IjoiTWFyIFJlc3RyZXBvIiwiZ2l2ZW4iOiJNYXLDrWEiLCJwYXJzZS1uYW1lcyI6ZmFsc2UsImRyb3BwaW5nLXBhcnRpY2xlIjoiIiwibm9uLWRyb3BwaW5nLXBhcnRpY2xlIjoiZGVsIn1dLCJjb250YWluZXItdGl0bGUiOiJKb3VybmFsIG9mIHRoZSBLbm93bGVkZ2UgRWNvbm9teSIsIkRPSSI6IjEwLjEwMDcvczEzMTMyLTAyNC0wMTgyMy0xIiwiVVJMIjoiaHR0cHM6Ly9kb2kub3JnLzEwLjEwMDcvczEzMTMyLTAyNC0wMTgyMy0xIiwiaXNzdWVkIjp7ImRhdGUtcGFydHMiOltbMjAyNF1dfSwicGFnZSI6IjE5MjAzLTE5MjMyIiwiaXNzdWUiOiI0Iiwidm9sdW1lIjoiMTUiLCJjb250YWluZXItdGl0bGUtc2hvcnQiOiIifSwiaXNUZW1wb3JhcnkiOmZhbHNlfV19"/>
          <w:id w:val="-36589519"/>
          <w:placeholder>
            <w:docPart w:val="DefaultPlaceholder_-1854013440"/>
          </w:placeholder>
        </w:sdtPr>
        <w:sdtContent>
          <w:r w:rsidR="00385D2F" w:rsidRPr="00385D2F">
            <w:rPr>
              <w:color w:val="000000"/>
            </w:rPr>
            <w:t>(Boom-Cárcamo et al., 2024)</w:t>
          </w:r>
        </w:sdtContent>
      </w:sdt>
      <w:r w:rsidR="00385D2F">
        <w:t xml:space="preserve"> </w:t>
      </w:r>
      <w:r>
        <w:t>estudiaron empresas de mensajería urbana de Valledupar y proponen estrategias de entrega inteligente como el rastreo en tiempo real, las notificaciones personalizadas y la geolocalización, a la vez que discuten barreras como la limitación de infraestructura, los costos de adopción, la brecha de habilidades y la resistencia al cambio. Su muestra fue de 29 de 133 empresas y los propios autores advierten que no debe generalizarse. Con base en estas fuentes y en el análisis del dominio, el estudio parte de una hipótesis a validar: los centros de mensajería de menor tamaño operan con procesos manuales o con herramientas desconectadas entre sí (asignación de rutas por teléfono o mensajería instantánea), sin visibilidad del cliente sobre su pedido, sin evidencia digital de entrega o recolección, sin un canal directo de comunicación entre el cliente y el mensajero y sin que el cliente pueda agendar por sí mismo sus recolecciones. Ninguna fuente verificada mide esa situación en Colombia, de modo que su confirmación es una tarea de la etapa de validación.</w:t>
      </w:r>
    </w:p>
    <w:p w14:paraId="0704CE9D" w14:textId="77777777" w:rsidR="00302310" w:rsidRDefault="00000000">
      <w:r>
        <w:t>El problema, por tanto, es la ausencia de una plataforma que integre en un solo sistema la operación logística, la trazabilidad, la evidencia de entrega y la autogestión del cliente (agendar sus recolecciones y comunicarse con el mensajero), y que resulte accesible para un operador pequeño. De ahí surge la pregunta que orienta el trabajo.</w:t>
      </w:r>
    </w:p>
    <w:p w14:paraId="5E770904" w14:textId="536172FB" w:rsidR="00302310" w:rsidRDefault="00000000">
      <w:pPr>
        <w:pStyle w:val="Ttulo2"/>
        <w:keepNext/>
      </w:pPr>
      <w:r>
        <w:lastRenderedPageBreak/>
        <w:t>3.2 Pregunta de investigación</w:t>
      </w:r>
    </w:p>
    <w:p w14:paraId="17A1D032" w14:textId="77777777" w:rsidR="00302310" w:rsidRDefault="00000000">
      <w:pPr>
        <w:ind w:left="567" w:right="567"/>
      </w:pPr>
      <w:r>
        <w:rPr>
          <w:b/>
          <w:bCs/>
        </w:rPr>
        <w:t>¿Cómo puede una plataforma orientada a API integrar la gestión de servicios de mensajería (entregas y recolecciones), la trazabilidad en tiempo real, la evidencia digital de entrega y la comunicación directa entre cliente y mensajero en las operaciones de Logytech Mobile en Colombia durante el segundo semestre de 2026?</w:t>
      </w:r>
    </w:p>
    <w:p w14:paraId="35BCDDAA" w14:textId="77777777" w:rsidR="00302310" w:rsidRDefault="00000000">
      <w:r>
        <w:t>La pregunta y el objetivo general comparten el mismo contenido y difieren solo en el verbo: la pregunta indaga el cómo y el objetivo lo traduce en una acción verificable. Logytech Mobile, empresa multinacional de logística, es la organización de referencia para aplicar el prototipo; en esta etapa este se construye y se modela, y su validación con la operación real se plantea para Trabajo de Grado.</w:t>
      </w:r>
    </w:p>
    <w:p w14:paraId="299091E2" w14:textId="77777777" w:rsidR="00302310" w:rsidRDefault="00000000">
      <w:pPr>
        <w:pStyle w:val="Ttulo2"/>
        <w:keepNext/>
      </w:pPr>
      <w:r>
        <w:t>3.3 Objetivos</w:t>
      </w:r>
    </w:p>
    <w:p w14:paraId="2A395DC0" w14:textId="77777777" w:rsidR="00302310" w:rsidRDefault="00000000">
      <w:r>
        <w:rPr>
          <w:b/>
          <w:bCs/>
        </w:rPr>
        <w:t>Objetivo general.</w:t>
      </w:r>
      <w:r>
        <w:t xml:space="preserve"> Diseñar y desarrollar un prototipo funcional temprano de una plataforma orientada a API que integre la gestión de servicios de mensajería (entregas y recolecciones), la trazabilidad en tiempo real, la evidencia digital de entrega y el chat directo entre el cliente y el mensajero en las operaciones de Logytech Mobile en Colombia durante el segundo semestre de 2026.</w:t>
      </w:r>
    </w:p>
    <w:p w14:paraId="75CE4FA3" w14:textId="77777777" w:rsidR="00302310" w:rsidRDefault="00000000">
      <w:r>
        <w:rPr>
          <w:b/>
          <w:bCs/>
        </w:rPr>
        <w:t>Objetivos específicos.</w:t>
      </w:r>
    </w:p>
    <w:p w14:paraId="06D20599" w14:textId="77777777" w:rsidR="00302310" w:rsidRDefault="00000000">
      <w:pPr>
        <w:pStyle w:val="Prrafodelista"/>
        <w:numPr>
          <w:ilvl w:val="0"/>
          <w:numId w:val="2"/>
        </w:numPr>
      </w:pPr>
      <w:r>
        <w:t>Identificar, a partir de la literatura y del análisis del dominio, los problemas de coordinación, trazabilidad y atención al cliente en los servicios de mensajería de última milla, y derivar de ellos un conjunto priorizado de requerimientos funcionales y no funcionales.</w:t>
      </w:r>
    </w:p>
    <w:p w14:paraId="422D68EB" w14:textId="77777777" w:rsidR="00302310" w:rsidRDefault="00000000">
      <w:pPr>
        <w:pStyle w:val="Prrafodelista"/>
        <w:numPr>
          <w:ilvl w:val="0"/>
          <w:numId w:val="2"/>
        </w:numPr>
      </w:pPr>
      <w:r>
        <w:t>Diseñar y documentar una arquitectura modular orientada a API (REST, comunicación en tiempo real y webhooks) que soporte los roles de administración, alistamiento, mensajería en campo y cliente, y modelarla mediante casos de uso, diagramas de clases, modelo entidad-relación, modelo C4 y mockups.</w:t>
      </w:r>
    </w:p>
    <w:p w14:paraId="631ECAE6" w14:textId="77777777" w:rsidR="00302310" w:rsidRDefault="00000000">
      <w:pPr>
        <w:pStyle w:val="Prrafodelista"/>
        <w:numPr>
          <w:ilvl w:val="0"/>
          <w:numId w:val="2"/>
        </w:numPr>
      </w:pPr>
      <w:r>
        <w:t>Implementar un prototipo funcional temprano que cubra los flujos centrales: ciclo de vida del servicio, seguimiento GPS en tiempo real, chat cliente-motorizado y evidencia digital de recolección.</w:t>
      </w:r>
    </w:p>
    <w:p w14:paraId="2F5AB6FE" w14:textId="77777777" w:rsidR="00302310" w:rsidRDefault="00000000">
      <w:pPr>
        <w:pStyle w:val="Prrafodelista"/>
        <w:numPr>
          <w:ilvl w:val="0"/>
          <w:numId w:val="2"/>
        </w:numPr>
      </w:pPr>
      <w:r>
        <w:t>Formular un protocolo de validación para Trabajo de Grado que especifique los criterios de evaluación, los instrumentos y los usuarios participantes.</w:t>
      </w:r>
    </w:p>
    <w:p w14:paraId="462AF528" w14:textId="77777777" w:rsidR="00302310" w:rsidRDefault="00000000">
      <w:r>
        <w:t xml:space="preserve">Los cinco objetivos del planteamiento inicial se condensaron en cuatro al fusionar el diseño de la arquitectura con su modelado. En octubre de 2026 el autor acotó además el Objetivo 3, la </w:t>
      </w:r>
      <w:r>
        <w:lastRenderedPageBreak/>
        <w:t>pregunta y el objetivo general: se retiraron el inventario, los pagos y el asistente conversacional, y el chat quedó solo como canal entre el cliente y el motorizado. Cada objetivo tiene un producto comprobable: requerimientos, un modelo arquitectónico documentado, un prototipo con los flujos listados y un protocolo escrito.</w:t>
      </w:r>
    </w:p>
    <w:p w14:paraId="790BD2EC" w14:textId="77777777" w:rsidR="00302310" w:rsidRDefault="00000000">
      <w:pPr>
        <w:pStyle w:val="Ttulo2"/>
        <w:keepNext/>
      </w:pPr>
      <w:r>
        <w:t>3.4 Justificación</w:t>
      </w:r>
    </w:p>
    <w:p w14:paraId="55A7AE4E" w14:textId="67AB7BE6" w:rsidR="00302310" w:rsidRDefault="00000000">
      <w:r>
        <w:rPr>
          <w:b/>
          <w:bCs/>
        </w:rPr>
        <w:t>Justificación académica.</w:t>
      </w:r>
      <w:r>
        <w:t xml:space="preserve"> El trabajo aporta a la ingeniería de software un caso aplicado que combina tres decisiones de diseño: una arquitectura orientada a API, en la que toda interfaz consume una API REST documentada y los sistemas externos se integran con claves propias y webhooks firmados; la comunicación en tiempo real para el seguimiento y el chat entre cliente y motorizado, con respaldo a consulta periódica; y un control de acceso por roles y por propiedad en el backend, común a la aplicación, el chat y los sistemas externos. La revisión de </w:t>
      </w:r>
      <w:sdt>
        <w:sdtPr>
          <w:tag w:val="MENDELEY_CITATION_v3_eyJjaXRhdGlvbklEIjoiTUVOREVMRVlfQ0lUQVRJT05fNDljZTRmNmEtNGE2Zi00OGUxLWI4NjktODM2ZDFlNmI5ZWI3IiwicHJvcGVydGllcyI6eyJub3RlSW5kZXgiOjB9LCJpc0VkaXRlZCI6ZmFsc2UsIm1hbnVhbE92ZXJyaWRlIjp7ImlzTWFudWFsbHlPdmVycmlkZGVuIjpmYWxzZSwiY2l0ZXByb2NUZXh0IjoiKEphbmluaG9mZiBldCBhbC4sIDIwMjQpIiwibWFudWFsT3ZlcnJpZGVUZXh0IjoiIn0sImNpdGF0aW9uSXRlbXMiOlt7ImlkIjoiYmY4MzQzM2EtZWVlMi0zODExLTlhZmUtMThhM2FjZjZhZDIzIiwiaXRlbURhdGEiOnsidHlwZSI6ImFydGljbGUtam91cm5hbCIsImlkIjoiYmY4MzQzM2EtZWVlMi0zODExLTlhZmUtMThhM2FjZjZhZDIzIiwidGl0bGUiOiJPdXQtb2YtaG9tZSBkZWxpdmVyeSBpbiBsYXN0LW1pbGUgbG9naXN0aWNzOiBBIHJldmlldyIsImF1dGhvciI6W3siZmFtaWx5IjoiSmFuaW5ob2ZmIiwiZ2l2ZW4iOiJMdWthcyIsInBhcnNlLW5hbWVzIjpmYWxzZSwiZHJvcHBpbmctcGFydGljbGUiOiIiLCJub24tZHJvcHBpbmctcGFydGljbGUiOiIifSx7ImZhbWlseSI6IktsZWluIiwiZ2l2ZW4iOiJSb2JlcnQiLCJwYXJzZS1uYW1lcyI6ZmFsc2UsImRyb3BwaW5nLXBhcnRpY2xlIjoiIiwibm9uLWRyb3BwaW5nLXBhcnRpY2xlIjoiIn0seyJmYW1pbHkiOiJTYWlsZXIiLCJnaXZlbiI6IkRhbmllbGEiLCJwYXJzZS1uYW1lcyI6ZmFsc2UsImRyb3BwaW5nLXBhcnRpY2xlIjoiIiwibm9uLWRyb3BwaW5nLXBhcnRpY2xlIjoiIn0seyJmYW1pbHkiOiJTY2hvcHBhIiwiZ2l2ZW4iOiJKaW0gTW9ydGVuIiwicGFyc2UtbmFtZXMiOmZhbHNlLCJkcm9wcGluZy1wYXJ0aWNsZSI6IiIsIm5vbi1kcm9wcGluZy1wYXJ0aWNsZSI6IiJ9XSwiY29udGFpbmVyLXRpdGxlIjoiQ29tcHV0ZXJzICYgT3BlcmF0aW9ucyBSZXNlYXJjaCIsImNvbnRhaW5lci10aXRsZS1zaG9ydCI6IkNvbXB1dC4gT3Blci4gUmVzLiIsIkRPSSI6IjEwLjEwMTYvai5jb3IuMjAyNC4xMDY2ODYiLCJVUkwiOiJodHRwczovL2RvaS5vcmcvMTAuMTAxNi9qLmNvci4yMDI0LjEwNjY4NiIsImlzc3VlZCI6eyJkYXRlLXBhcnRzIjpbWzIwMjRdXX0sInBhZ2UiOiIxMDY2ODYiLCJ2b2x1bWUiOiIxNjgifSwiaXNUZW1wb3JhcnkiOmZhbHNlfV19"/>
          <w:id w:val="1463608876"/>
          <w:placeholder>
            <w:docPart w:val="DefaultPlaceholder_-1854013440"/>
          </w:placeholder>
        </w:sdtPr>
        <w:sdtContent>
          <w:r w:rsidR="004A3559" w:rsidRPr="004A3559">
            <w:rPr>
              <w:color w:val="000000"/>
            </w:rPr>
            <w:t>(Janinhoff et al., 2024)</w:t>
          </w:r>
        </w:sdtContent>
      </w:sdt>
      <w:r w:rsidR="004A3559">
        <w:t xml:space="preserve"> </w:t>
      </w:r>
      <w:r>
        <w:t>muestra que la literatura de última milla se concentra en la optimización, de modo que documentar la capa de información y de interacción con el cliente cubre un espacio menos tratado.</w:t>
      </w:r>
    </w:p>
    <w:p w14:paraId="1CD6C8DE" w14:textId="19CACF5A" w:rsidR="00302310" w:rsidRDefault="00000000">
      <w:r>
        <w:rPr>
          <w:b/>
          <w:bCs/>
        </w:rPr>
        <w:t>¿Este problema necesita una solución de software?</w:t>
      </w:r>
      <w:r>
        <w:t xml:space="preserve"> Parcialmente. La informalidad y los costos que describen </w:t>
      </w:r>
      <w:sdt>
        <w:sdtPr>
          <w:tag w:val="MENDELEY_CITATION_v3_eyJjaXRhdGlvbklEIjoiTUVOREVMRVlfQ0lUQVRJT05fNjQ4ZGYzYTAtZmMzMC00ODFhLWE0NDctMjhjNzdkYWZkYmNiIiwicHJvcGVydGllcyI6eyJub3RlSW5kZXgiOjB9LCJpc0VkaXRlZCI6ZmFsc2UsIm1hbnVhbE92ZXJyaWRlIjp7ImlzTWFudWFsbHlPdmVycmlkZGVuIjpmYWxzZSwiY2l0ZXByb2NUZXh0IjoiKFJlc3RyZXBvLUJldGFuY3VyIGV0IGFsLiwgMjAyNikiLCJtYW51YWxPdmVycmlkZVRleHQiOiIifSwiY2l0YXRpb25JdGVtcyI6W3siaWQiOiI1OTFmYzUwNS1lMzE4LTM0YTQtODlkMC02ZWMwZjQ4MjZiOTMiLCJpdGVtRGF0YSI6eyJ0eXBlIjoiYXJ0aWNsZS1qb3VybmFsIiwiaWQiOiI1OTFmYzUwNS1lMzE4LTM0YTQtODlkMC02ZWMwZjQ4MjZiOTMiLCJ0aXRsZSI6IkhvdyBlLWNvbW1lcmNlIGluZmx1ZW5jZXMgbGFzdC1taWxlIHByYWN0aWNlcyB0aGF0IGZvc3RlciBpbmZvcm1hbGl0eSIsImF1dGhvciI6W3siZmFtaWx5IjoiUmVzdHJlcG8tQmV0YW5jdXIiLCJnaXZlbiI6IkJhc2lsaW8iLCJwYXJzZS1uYW1lcyI6ZmFsc2UsImRyb3BwaW5nLXBhcnRpY2xlIjoiIiwibm9uLWRyb3BwaW5nLXBhcnRpY2xlIjoiIn0seyJmYW1pbHkiOiJTYW5jaGV6LURpYXoiLCJnaXZlbiI6Ikl2YW4iLCJwYXJzZS1uYW1lcyI6ZmFsc2UsImRyb3BwaW5nLXBhcnRpY2xlIjoiIiwibm9uLWRyb3BwaW5nLXBhcnRpY2xlIjoiIn0seyJmYW1pbHkiOiJHb256YWxlei1DYWxkZXJvbiIsImdpdmVuIjoiQ2FybG9zIEEiLCJwYXJzZS1uYW1lcyI6ZmFsc2UsImRyb3BwaW5nLXBhcnRpY2xlIjoiIiwibm9uLWRyb3BwaW5nLXBhcnRpY2xlIjoiIn1dLCJjb250YWluZXItdGl0bGUiOiJUcmFuc3BvcnRhdGlvbiBSZXNlYXJjaCBJbnRlcmRpc2NpcGxpbmFyeSBQZXJzcGVjdGl2ZXMiLCJjb250YWluZXItdGl0bGUtc2hvcnQiOiJUcmFuc3AuIFJlcy4gSW50ZXJkaXNjaXAuIFBlcnNwZWN0LiIsIkRPSSI6IjEwLjEwMTYvai50cmlwLjIwMjYuMTAyMTgxIiwiVVJMIjoiaHR0cHM6Ly9kb2kub3JnLzEwLjEwMTYvai50cmlwLjIwMjYuMTAyMTgxIiwiaXNzdWVkIjp7ImRhdGUtcGFydHMiOltbMjAyNl1dfSwicGFnZSI6IjEwMjE4MSIsInZvbHVtZSI6IjM5In0sImlzVGVtcG9yYXJ5IjpmYWxzZX1dfQ=="/>
          <w:id w:val="877436532"/>
          <w:placeholder>
            <w:docPart w:val="DefaultPlaceholder_-1854013440"/>
          </w:placeholder>
        </w:sdtPr>
        <w:sdtContent>
          <w:r w:rsidR="004A3559" w:rsidRPr="004A3559">
            <w:rPr>
              <w:color w:val="000000"/>
            </w:rPr>
            <w:t>(Restrepo-Betancur et al., 2026)</w:t>
          </w:r>
        </w:sdtContent>
      </w:sdt>
      <w:r w:rsidR="004A3559">
        <w:t xml:space="preserve"> </w:t>
      </w:r>
      <w:r>
        <w:t xml:space="preserve">y el </w:t>
      </w:r>
      <w:sdt>
        <w:sdtPr>
          <w:tag w:val="MENDELEY_CITATION_v3_eyJjaXRhdGlvbklEIjoiTUVOREVMRVlfQ0lUQVRJT05fMGUzMDcwNWEtZDI3ZS00NGVmLWI0YjQtNmRlZTE5ZDk2OWMxIiwicHJvcGVydGllcyI6eyJub3RlSW5kZXgiOjB9LCJpc0VkaXRlZCI6ZmFsc2UsIm1hbnVhbE92ZXJyaWRlIjp7ImlzTWFudWFsbHlPdmVycmlkZGVuIjpmYWxzZSwiY2l0ZXByb2NUZXh0IjoiKERlcGFydGFtZW50byBOYWNpb25hbCBkZSBQbGFuZWFjacOzbiwgMjAyMykiLCJtYW51YWxPdmVycmlkZVRleHQiOiIifSwiY2l0YXRpb25JdGVtcyI6W3siaWQiOiI5ODVhNWEyNS1iZDgyLTNkMWYtODI5My01MGYzMmY2NGVkMjIiLCJpdGVtRGF0YSI6eyJ0eXBlIjoiYXJ0aWNsZSIsImlkIjoiOTg1YTVhMjUtYmQ4Mi0zZDFmLTgyOTMtNTBmMzJmNjRlZDIyIiwidGl0bGUiOiJFbCBETlAgcmV2ZWzDsyBxdWUgZWwgY29zdG8gbG9nw61zdGljbyBuYWNpb25hbCBzZSB1Ymljw7MgZW4gMTcsOSUsIDUgcC5wLiBwb3IgZW5jaW1hIGRlIGxhIG1ldGEgZGUgMTIsOSUiLCJhdXRob3IiOlt7ImZhbWlseSI6IkRlcGFydGFtZW50byBOYWNpb25hbCBkZSBQbGFuZWFjacOzbiIsImdpdmVuIjoiIiwicGFyc2UtbmFtZXMiOmZhbHNlLCJkcm9wcGluZy1wYXJ0aWNsZSI6IiIsIm5vbi1kcm9wcGluZy1wYXJ0aWNsZSI6IiJ9XSwiVVJMIjoiaHR0cHM6Ly93d3cuZG5wLmdvdi5jby9QcmVuc2FfL05vdGljaWFzL1BhZ2luYXMvZWwtZG5wLXJldmVsby1xdWUtZWwtY29zdG8tbG9naXN0aWNvLW5hY2lvbmFsLXNlLXViaWNvLWVuLTE3LTktNS1wLXAtcG9yLWVuY2ltYS1kZS1sYS1tZXRhLWRlLTEyLTkuYXNweCIsImlzc3VlZCI6eyJkYXRlLXBhcnRzIjpbWzIwMjMsMTFdXX0sImNvbnRhaW5lci10aXRsZS1zaG9ydCI6IiJ9LCJpc1RlbXBvcmFyeSI6ZmFsc2UsInN1cHByZXNzLWF1dGhvciI6ZmFsc2UsImNvbXBvc2l0ZSI6ZmFsc2UsImF1dGhvci1vbmx5IjpmYWxzZX1dfQ=="/>
          <w:id w:val="-1318651866"/>
          <w:placeholder>
            <w:docPart w:val="DefaultPlaceholder_-1854013440"/>
          </w:placeholder>
        </w:sdtPr>
        <w:sdtContent>
          <w:r w:rsidR="004A3559" w:rsidRPr="004A3559">
            <w:rPr>
              <w:color w:val="000000"/>
            </w:rPr>
            <w:t>(</w:t>
          </w:r>
          <w:r w:rsidR="00FF0D56">
            <w:rPr>
              <w:color w:val="000000"/>
            </w:rPr>
            <w:t>DN</w:t>
          </w:r>
          <w:r w:rsidR="009A3889">
            <w:rPr>
              <w:color w:val="000000"/>
            </w:rPr>
            <w:t>P</w:t>
          </w:r>
          <w:r w:rsidR="004A3559" w:rsidRPr="004A3559">
            <w:rPr>
              <w:color w:val="000000"/>
            </w:rPr>
            <w:t>, 2023)</w:t>
          </w:r>
        </w:sdtContent>
      </w:sdt>
      <w:r w:rsidR="004A3559">
        <w:t xml:space="preserve"> </w:t>
      </w:r>
      <w:r>
        <w:t xml:space="preserve">tienen causas estructurales (regulación, tercerización, costos de transporte) que un software no resuelve. Lo que sí admite una respuesta tecnológica es la fragmentación de la información: quién tiene el pedido, dónde está, si se entregó y cómo consta. </w:t>
      </w:r>
      <w:sdt>
        <w:sdtPr>
          <w:rPr>
            <w:color w:val="000000"/>
          </w:rPr>
          <w:tag w:val="MENDELEY_CITATION_v3_eyJjaXRhdGlvbklEIjoiTUVOREVMRVlfQ0lUQVRJT05fZTRkNTc5NWMtNzM2OC00ZGM4LTkwMDItMGJlNmM2YjU3NzQ3IiwicHJvcGVydGllcyI6eyJub3RlSW5kZXgiOjB9LCJpc0VkaXRlZCI6ZmFsc2UsIm1hbnVhbE92ZXJyaWRlIjp7ImlzTWFudWFsbHlPdmVycmlkZGVuIjpmYWxzZSwiY2l0ZXByb2NUZXh0IjoiKFNlZ2hlenppICYjMzg7IE1hbmdpYXJhY2luYSwgMjAyMykiLCJtYW51YWxPdmVycmlkZVRleHQiOiIifSwiY2l0YXRpb25JdGVtcyI6W3siaWQiOiJkOTgzMzdmNi0wYjNhLTNkZTEtOTMxYS01MWJjODI5YzlhNTIiLCJpdGVtRGF0YSI6eyJ0eXBlIjoiYXJ0aWNsZS1qb3VybmFsIiwiaWQiOiJkOTgzMzdmNi0wYjNhLTNkZTEtOTMxYS01MWJjODI5YzlhNTIiLCJ0aXRsZSI6IlNtYXJ0IGhvbWUgZGV2aWNlcyBhbmQgQjJDIGUtY29tbWVyY2U6IEEgd2F5IHRvIHJlZHVjZSBmYWlsZWQgZGVsaXZlcmllcyIsImF1dGhvciI6W3siZmFtaWx5IjoiU2VnaGV6emkiLCJnaXZlbiI6IkFyaWFubmEiLCJwYXJzZS1uYW1lcyI6ZmFsc2UsImRyb3BwaW5nLXBhcnRpY2xlIjoiIiwibm9uLWRyb3BwaW5nLXBhcnRpY2xlIjoiIn0seyJmYW1pbHkiOiJNYW5naWFyYWNpbmEiLCJnaXZlbiI6IlJpY2NhcmRvIiwicGFyc2UtbmFtZXMiOmZhbHNlLCJkcm9wcGluZy1wYXJ0aWNsZSI6IiIsIm5vbi1kcm9wcGluZy1wYXJ0aWNsZSI6IiJ9XSwiY29udGFpbmVyLXRpdGxlIjoiSW5kdXN0cmlhbCBNYW5hZ2VtZW50IFxcJiBEYXRhIFN5c3RlbXMiLCJET0kiOiIxMC4xMTA4L2ltZHMtMTAtMjAyMi0wNjUxIiwiVVJMIjoiaHR0cHM6Ly9kb2kub3JnLzEwLjExMDgvaW1kcy0xMC0yMDIyLTA2NTEiLCJpc3N1ZWQiOnsiZGF0ZS1wYXJ0cyI6W1syMDIzXV19LCJwYWdlIjoiMTYyNC0xNjQ1IiwiaXNzdWUiOiI1Iiwidm9sdW1lIjoiMTIzIiwiY29udGFpbmVyLXRpdGxlLXNob3J0IjoiIn0sImlzVGVtcG9yYXJ5IjpmYWxzZX1dfQ=="/>
          <w:id w:val="440352998"/>
          <w:placeholder>
            <w:docPart w:val="DefaultPlaceholder_-1854013440"/>
          </w:placeholder>
        </w:sdtPr>
        <w:sdtContent>
          <w:r w:rsidR="004A3559" w:rsidRPr="004A3559">
            <w:rPr>
              <w:rFonts w:eastAsia="Times New Roman"/>
              <w:color w:val="000000"/>
            </w:rPr>
            <w:t>(Seghezzi &amp; Mangiaracina, 2023)</w:t>
          </w:r>
        </w:sdtContent>
      </w:sdt>
      <w:r w:rsidR="004A3559">
        <w:rPr>
          <w:color w:val="000000"/>
        </w:rPr>
        <w:t xml:space="preserve"> </w:t>
      </w:r>
      <w:r>
        <w:t xml:space="preserve">relacionan las entregas fallidas con la coordinación entre cliente y repartidor, y </w:t>
      </w:r>
      <w:sdt>
        <w:sdtPr>
          <w:tag w:val="MENDELEY_CITATION_v3_eyJjaXRhdGlvbklEIjoiTUVOREVMRVlfQ0lUQVRJT05fZTUzZmI3ZWQtOTAwMC00YjdmLTljOTQtYzJmNjNkMzIxYjdmIiwicHJvcGVydGllcyI6eyJub3RlSW5kZXgiOjB9LCJpc0VkaXRlZCI6ZmFsc2UsIm1hbnVhbE92ZXJyaWRlIjp7ImlzTWFudWFsbHlPdmVycmlkZGVuIjpmYWxzZSwiY2l0ZXByb2NUZXh0IjoiKEJvb20tQ8OhcmNhbW8gZXQgYWwuLCAyMDI0KSIsIm1hbnVhbE92ZXJyaWRlVGV4dCI6IiJ9LCJjaXRhdGlvbkl0ZW1zIjpbeyJpZCI6ImRhYzc3NzMzLWMxN2YtM2NiOC1iNWIzLTIxZmNiNjY3ZDcxYiIsIml0ZW1EYXRhIjp7InR5cGUiOiJhcnRpY2xlLWpvdXJuYWwiLCJpZCI6ImRhYzc3NzMzLWMxN2YtM2NiOC1iNWIzLTIxZmNiNjY3ZDcxYiIsInRpdGxlIjoiQmFycmllcnMgYW5kIHN0cmF0ZWdpZXMgZm9yIGRpZ2l0YWwgbWFya2V0aW5nIGFuZCBzbWFydCBkZWxpdmVyeSBpbiB1cmJhbiBjb3VyaWVyIGNvbXBhbmllcyBpbiBkZXZlbG9waW5nIGNvdW50cmllcyIsImF1dGhvciI6W3siZmFtaWx5IjoiQm9vbS1Dw6FyY2FtbyIsImdpdmVuIjoiRWZyYWluIiwicGFyc2UtbmFtZXMiOmZhbHNlLCJkcm9wcGluZy1wYXJ0aWNsZSI6IiIsIm5vbi1kcm9wcGluZy1wYXJ0aWNsZSI6IiJ9LHsiZmFtaWx5IjoiTW9saW5hLVJvbWVybyIsImdpdmVuIjoiU2NobmV5ZGVyIiwicGFyc2UtbmFtZXMiOmZhbHNlLCJkcm9wcGluZy1wYXJ0aWNsZSI6IiIsIm5vbi1kcm9wcGluZy1wYXJ0aWNsZSI6IiJ9LHsiZmFtaWx5IjoiR2FsaW5kby1Bbmd1bG8iLCJnaXZlbiI6IkNlc2FyIiwicGFyc2UtbmFtZXMiOmZhbHNlLCJkcm9wcGluZy1wYXJ0aWNsZSI6IiIsIm5vbi1kcm9wcGluZy1wYXJ0aWNsZSI6IiJ9LHsiZmFtaWx5IjoiTWFyIFJlc3RyZXBvIiwiZ2l2ZW4iOiJNYXLDrWEiLCJwYXJzZS1uYW1lcyI6ZmFsc2UsImRyb3BwaW5nLXBhcnRpY2xlIjoiIiwibm9uLWRyb3BwaW5nLXBhcnRpY2xlIjoiZGVsIn1dLCJjb250YWluZXItdGl0bGUiOiJKb3VybmFsIG9mIHRoZSBLbm93bGVkZ2UgRWNvbm9teSIsIkRPSSI6IjEwLjEwMDcvczEzMTMyLTAyNC0wMTgyMy0xIiwiVVJMIjoiaHR0cHM6Ly9kb2kub3JnLzEwLjEwMDcvczEzMTMyLTAyNC0wMTgyMy0xIiwiaXNzdWVkIjp7ImRhdGUtcGFydHMiOltbMjAyNF1dfSwicGFnZSI6IjE5MjAzLTE5MjMyIiwiaXNzdWUiOiI0Iiwidm9sdW1lIjoiMTUiLCJjb250YWluZXItdGl0bGUtc2hvcnQiOiIifSwiaXNUZW1wb3JhcnkiOmZhbHNlfV19"/>
          <w:id w:val="-333839125"/>
          <w:placeholder>
            <w:docPart w:val="DefaultPlaceholder_-1854013440"/>
          </w:placeholder>
        </w:sdtPr>
        <w:sdtContent>
          <w:r w:rsidR="004A3559" w:rsidRPr="004A3559">
            <w:rPr>
              <w:color w:val="000000"/>
            </w:rPr>
            <w:t>(Boom-Cárcamo et al., 2024)</w:t>
          </w:r>
        </w:sdtContent>
      </w:sdt>
      <w:r w:rsidR="004A3559">
        <w:t xml:space="preserve"> </w:t>
      </w:r>
      <w:r>
        <w:t>identifican el rastreo en tiempo real y las notificaciones como estrategias de la mensajería urbana; ambas fuentes tienen limitaciones de muestra o de contexto y su pertinencia para Colombia debe validarse.</w:t>
      </w:r>
    </w:p>
    <w:p w14:paraId="76E4C104" w14:textId="64A4979E" w:rsidR="00302310" w:rsidRDefault="00000000">
      <w:r>
        <w:rPr>
          <w:b/>
          <w:bCs/>
        </w:rPr>
        <w:t>¿Para quién y por qué ahora?</w:t>
      </w:r>
      <w:r>
        <w:t xml:space="preserve"> La solución beneficia a los centros de mensajería pequeños y medianos, que obtendrían una herramienta integrada para crear, asignar y controlar servicios; a los motorizados, con un flujo diferenciado por tipo de servicio y un registro propio de evidencia; a los clientes, con seguimiento, chat directo con el mensajero y agendamiento de recolecciones sin llamar; y a los integradores y tiendas en línea que necesitan conectarse mediante una API. El momento se explica por la demanda: el comercio electrónico y los envíos siguen en aumento </w:t>
      </w:r>
      <w:sdt>
        <w:sdtPr>
          <w:tag w:val="MENDELEY_CITATION_v3_eyJjaXRhdGlvbklEIjoiTUVOREVMRVlfQ0lUQVRJT05fODEwM2FkYjktMTRhNC00OTkzLWE4NzgtNDk4N2I5NzQyOTA3IiwicHJvcGVydGllcyI6eyJub3RlSW5kZXgiOjB9LCJpc0VkaXRlZCI6ZmFsc2UsIm1hbnVhbE92ZXJyaWRlIjp7ImlzTWFudWFsbHlPdmVycmlkZGVuIjpmYWxzZSwiY2l0ZXByb2NUZXh0IjoiKEVsZWN0csOzbmljbywgMjAyNSkiLCJtYW51YWxPdmVycmlkZVRleHQiOiIifSwiY2l0YXRpb25JdGVtcyI6W3siaWQiOiIxOTMyNjc0Mi03NGQyLTM4NmItYTliYy1mZDU1NDAzYjQ5MWUiLCJpdGVtRGF0YSI6eyJ0eXBlIjoicmVwb3J0IiwiaWQiOiIxOTMyNjc0Mi03NGQyLTM4NmItYTliYy1mZDU1NDAzYjQ5MWUiLCJ0aXRsZSI6IkluZm9ybWUgZGUgY2llcnJlIGRlbCBjb21lcmNpbyBlbGVjdHLDs25pY28gZW4gQ29sb21iaWEg4oCTIDIwMjUiLCJhdXRob3IiOlt7ImZhbWlseSI6IkVsZWN0csOzbmljbyIsImdpdmVuIjoiQ8OhbWFyYSBDb2xvbWJpYW5hIGRlIENvbWVyY2lvIiwicGFyc2UtbmFtZXMiOmZhbHNlLCJkcm9wcGluZy1wYXJ0aWNsZSI6IiIsIm5vbi1kcm9wcGluZy1wYXJ0aWNsZSI6IiJ9XSwiVVJMIjoiaHR0cHM6Ly9jY2NlLm9yZy5jby93cC1jb250ZW50L3VwbG9hZHMvMjAxNy8wNi9WMi0xLVBVQkxJQ08tSU5GT1JNRS1ERS1DSUVSUkUtMjAyNS5wZGYiLCJpc3N1ZWQiOnsiZGF0ZS1wYXJ0cyI6W1syMDI1XV19LCJjb250YWluZXItdGl0bGUtc2hvcnQiOiIifSwiaXNUZW1wb3JhcnkiOmZhbHNlfV19"/>
          <w:id w:val="697666080"/>
          <w:placeholder>
            <w:docPart w:val="DefaultPlaceholder_-1854013440"/>
          </w:placeholder>
        </w:sdtPr>
        <w:sdtContent>
          <w:r w:rsidR="004A3559" w:rsidRPr="004A3559">
            <w:rPr>
              <w:color w:val="000000"/>
            </w:rPr>
            <w:t>(</w:t>
          </w:r>
          <w:r w:rsidR="00FF0D56">
            <w:rPr>
              <w:color w:val="000000"/>
            </w:rPr>
            <w:t>CCCE</w:t>
          </w:r>
          <w:r w:rsidR="004A3559" w:rsidRPr="004A3559">
            <w:rPr>
              <w:color w:val="000000"/>
            </w:rPr>
            <w:t>, 2025)</w:t>
          </w:r>
        </w:sdtContent>
      </w:sdt>
      <w:r w:rsidR="004A3559">
        <w:t xml:space="preserve"> </w:t>
      </w:r>
      <w:r>
        <w:t>;</w:t>
      </w:r>
      <w:sdt>
        <w:sdtPr>
          <w:tag w:val="MENDELEY_CITATION_v3_eyJjaXRhdGlvbklEIjoiTUVOREVMRVlfQ0lUQVRJT05fNjUwNjkzMGItMTg1Mi00MGM1LWFhM2UtMWUwYTQyM2MwMjFjIiwicHJvcGVydGllcyI6eyJub3RlSW5kZXgiOjB9LCJpc0VkaXRlZCI6ZmFsc2UsIm1hbnVhbE92ZXJyaWRlIjp7ImlzTWFudWFsbHlPdmVycmlkZGVuIjp0cnVlLCJjaXRlcHJvY1RleHQiOiIoQ29tdW5pY2FjaW9uZXMsIDIwMjYpIiwibWFudWFsT3ZlcnJpZGVUZXh0IjoiKE1pblRpYywgMjAyNikifSwiY2l0YXRpb25JdGVtcyI6W3siaWQiOiI5ZjFhNTliOS0yZmEzLTNiMDItYjQwOC04ODBlMmNmMDBjMTMiLCJpdGVtRGF0YSI6eyJ0eXBlIjoicmVwb3J0IiwiaWQiOiI5ZjFhNTliOS0yZmEzLTNiMDItYjQwOC04ODBlMmNmMDBjMTMiLCJ0aXRsZSI6IkJvbGV0w61uIHRyaW1lc3RyYWwgZGVsIHNlY3RvciBwb3N0YWw6IEN1YXJ0byB0cmltZXN0cmUgZGUgMjAyNSIsImF1dGhvciI6W3siZmFtaWx5IjoiQ29tdW5pY2FjaW9uZXMiLCJnaXZlbiI6Ik1pbmlzdGVyaW8gZGUgVGVjbm9sb2fDrWFzIGRlIGxhIEluZm9ybWFjacOzbiB5IiwicGFyc2UtbmFtZXMiOmZhbHNlLCJkcm9wcGluZy1wYXJ0aWNsZSI6ImxhcyIsIm5vbi1kcm9wcGluZy1wYXJ0aWNsZSI6IiJ9XSwiVVJMIjoiaHR0cHM6Ly9jb2xvbWJpYXRpYy5taW50aWMuZ292LmNvLzY3OS9hcnRpY2xlcy00Mjg0NTNfcHJlc2VudGFjaW9uX2NpZnJhcy5wZGYiLCJpc3N1ZWQiOnsiZGF0ZS1wYXJ0cyI6W1syMDI2XV19LCJwdWJsaXNoZXIiOiJDb2xvbWJpYSBUSUMiLCJjb250YWluZXItdGl0bGUtc2hvcnQiOiIifSwiaXNUZW1wb3JhcnkiOmZhbHNlLCJzdXBwcmVzcy1hdXRob3IiOmZhbHNlLCJjb21wb3NpdGUiOmZhbHNlLCJhdXRob3Itb25seSI6ZmFsc2V9XX0="/>
          <w:id w:val="723635910"/>
          <w:placeholder>
            <w:docPart w:val="DefaultPlaceholder_-1854013440"/>
          </w:placeholder>
        </w:sdtPr>
        <w:sdtContent>
          <w:r w:rsidR="004A3559" w:rsidRPr="004A3559">
            <w:rPr>
              <w:color w:val="000000"/>
            </w:rPr>
            <w:t>(MinT</w:t>
          </w:r>
          <w:r w:rsidR="009A3889">
            <w:rPr>
              <w:color w:val="000000"/>
            </w:rPr>
            <w:t>IC</w:t>
          </w:r>
          <w:r w:rsidR="004A3559" w:rsidRPr="004A3559">
            <w:rPr>
              <w:color w:val="000000"/>
            </w:rPr>
            <w:t>, 2026)</w:t>
          </w:r>
        </w:sdtContent>
      </w:sdt>
      <w:r>
        <w:t xml:space="preserve">, mientras que la adopción de rastreo apenas despunta en la logística empresarial </w:t>
      </w:r>
      <w:sdt>
        <w:sdtPr>
          <w:tag w:val="MENDELEY_CITATION_v3_eyJjaXRhdGlvbklEIjoiTUVOREVMRVlfQ0lUQVRJT05fZGYxODQ1NmItYTY5OC00NTUwLWEwZWMtNmY1NjliZDJmNDJlIiwicHJvcGVydGllcyI6eyJub3RlSW5kZXgiOjB9LCJpc0VkaXRlZCI6ZmFsc2UsIm1hbnVhbE92ZXJyaWRlIjp7ImlzTWFudWFsbHlPdmVycmlkZGVuIjpmYWxzZSwiY2l0ZXByb2NUZXh0IjoiKERlcGFydGFtZW50byBOYWNpb25hbCBkZSBQbGFuZWFjacOzbiwgMjAyNSkiLCJtYW51YWxPdmVycmlkZVRleHQiOiIifSwiY2l0YXRpb25JdGVtcyI6W3siaWQiOiJiYmY4N2QxYy04MzAwLTNhODctYTNjMy0yMDg5MmFiZmRmOGMiLCJpdGVtRGF0YSI6eyJ0eXBlIjoiYXJ0aWNsZSIsImlkIjoiYmJmODdkMWMtODMwMC0zYTg3LWEzYzMtMjA4OTJhYmZkZjhjIiwidGl0bGUiOiJMYSBsb2fDrXN0aWNhIGRlbCBwYcOtcyBhdmFuemEgaW1wdWxzYWRhIHBvciBsYXMgcmVnaW9uZXM6IE1lbm9yZXMgY29zdG9zIHkgbGEgbG9nw61zdGljYSB2ZXJkZSBzZSBkZXN0YWNhbiBlbiBsYSBFTkwgMjAyNCAoRW5jdWVzdGEgTmFjaW9uYWwgTG9nw61zdGljYSkiLCJhdXRob3IiOlt7ImZhbWlseSI6IkRlcGFydGFtZW50byBOYWNpb25hbCBkZSBQbGFuZWFjacOzbiIsImdpdmVuIjoiIiwicGFyc2UtbmFtZXMiOmZhbHNlLCJkcm9wcGluZy1wYXJ0aWNsZSI6IiIsIm5vbi1kcm9wcGluZy1wYXJ0aWNsZSI6IiJ9XSwiVVJMIjoiaHR0cHM6Ly9kbnAuZ292LmNvL1ByZW5zYV8vTm90aWNpYXMvUGFnaW5hcy9MYS1sb2dpc3RpY2EtZGVsLXBhaXMtYXZhbnphLWltcHVsc2FkYS1wb3ItcmVnaW9uZXMtbWVub3Jlcy1jb3N0b3MtZW5jdWVzdGEtbmFjaW9uYWwtbG9naXN0aWNhLmFzcHgiLCJpc3N1ZWQiOnsiZGF0ZS1wYXJ0cyI6W1syMDI1LDExXV19LCJjb250YWluZXItdGl0bGUtc2hvcnQiOiIifSwiaXNUZW1wb3JhcnkiOmZhbHNlLCJzdXBwcmVzcy1hdXRob3IiOmZhbHNlLCJjb21wb3NpdGUiOmZhbHNlLCJhdXRob3Itb25seSI6ZmFsc2V9XX0="/>
          <w:id w:val="1732657029"/>
          <w:placeholder>
            <w:docPart w:val="DefaultPlaceholder_-1854013440"/>
          </w:placeholder>
        </w:sdtPr>
        <w:sdtContent>
          <w:r w:rsidR="004A3559" w:rsidRPr="004A3559">
            <w:rPr>
              <w:color w:val="000000"/>
            </w:rPr>
            <w:t>(</w:t>
          </w:r>
          <w:r w:rsidR="00FF0D56">
            <w:rPr>
              <w:color w:val="000000"/>
            </w:rPr>
            <w:t>DN</w:t>
          </w:r>
          <w:r w:rsidR="009A3889">
            <w:rPr>
              <w:color w:val="000000"/>
            </w:rPr>
            <w:t>P</w:t>
          </w:r>
          <w:r w:rsidR="004A3559" w:rsidRPr="004A3559">
            <w:rPr>
              <w:color w:val="000000"/>
            </w:rPr>
            <w:t>, 2025)</w:t>
          </w:r>
        </w:sdtContent>
      </w:sdt>
      <w:r w:rsidR="004A3559">
        <w:t xml:space="preserve"> </w:t>
      </w:r>
      <w:r>
        <w:t xml:space="preserve"> Son beneficiarios previstos, no demostrados: el prototipo se probó solo con usuarios simulados.</w:t>
      </w:r>
    </w:p>
    <w:p w14:paraId="40CDA486" w14:textId="572FBE8D" w:rsidR="00302310" w:rsidRDefault="00000000">
      <w:r>
        <w:rPr>
          <w:b/>
          <w:bCs/>
        </w:rPr>
        <w:lastRenderedPageBreak/>
        <w:t>Contraargumento.</w:t>
      </w:r>
      <w:r>
        <w:t xml:space="preserve"> Ya existen soluciones comerciales de gestión de entregas y de flota, y el seguimiento no es una novedad; este trabajo no las compara, porque no se verificó documentación oficial de proveedores. El espacio que se supone vacante, y que debe confirmarse, es el de una plataforma que reúna en un único sistema de código propio la operación, el seguimiento, la evidencia y la comunicación directa con el cliente, con una API abierta para integración y un costo y una complejidad de adopción compatibles con un operador pequeño. </w:t>
      </w:r>
      <w:sdt>
        <w:sdtPr>
          <w:tag w:val="MENDELEY_CITATION_v3_eyJjaXRhdGlvbklEIjoiTUVOREVMRVlfQ0lUQVRJT05fNmE3MDAyZjItZjVkZi00OGI5LWI4MTItODY2ZTZmNTVmMDRlIiwicHJvcGVydGllcyI6eyJub3RlSW5kZXgiOjB9LCJpc0VkaXRlZCI6ZmFsc2UsIm1hbnVhbE92ZXJyaWRlIjp7ImlzTWFudWFsbHlPdmVycmlkZGVuIjpmYWxzZSwiY2l0ZXByb2NUZXh0IjoiKEJvb20tQ8OhcmNhbW8gZXQgYWwuLCAyMDI0KSIsIm1hbnVhbE92ZXJyaWRlVGV4dCI6IiJ9LCJjaXRhdGlvbkl0ZW1zIjpbeyJpZCI6ImRhYzc3NzMzLWMxN2YtM2NiOC1iNWIzLTIxZmNiNjY3ZDcxYiIsIml0ZW1EYXRhIjp7InR5cGUiOiJhcnRpY2xlLWpvdXJuYWwiLCJpZCI6ImRhYzc3NzMzLWMxN2YtM2NiOC1iNWIzLTIxZmNiNjY3ZDcxYiIsInRpdGxlIjoiQmFycmllcnMgYW5kIHN0cmF0ZWdpZXMgZm9yIGRpZ2l0YWwgbWFya2V0aW5nIGFuZCBzbWFydCBkZWxpdmVyeSBpbiB1cmJhbiBjb3VyaWVyIGNvbXBhbmllcyBpbiBkZXZlbG9waW5nIGNvdW50cmllcyIsImF1dGhvciI6W3siZmFtaWx5IjoiQm9vbS1Dw6FyY2FtbyIsImdpdmVuIjoiRWZyYWluIiwicGFyc2UtbmFtZXMiOmZhbHNlLCJkcm9wcGluZy1wYXJ0aWNsZSI6IiIsIm5vbi1kcm9wcGluZy1wYXJ0aWNsZSI6IiJ9LHsiZmFtaWx5IjoiTW9saW5hLVJvbWVybyIsImdpdmVuIjoiU2NobmV5ZGVyIiwicGFyc2UtbmFtZXMiOmZhbHNlLCJkcm9wcGluZy1wYXJ0aWNsZSI6IiIsIm5vbi1kcm9wcGluZy1wYXJ0aWNsZSI6IiJ9LHsiZmFtaWx5IjoiR2FsaW5kby1Bbmd1bG8iLCJnaXZlbiI6IkNlc2FyIiwicGFyc2UtbmFtZXMiOmZhbHNlLCJkcm9wcGluZy1wYXJ0aWNsZSI6IiIsIm5vbi1kcm9wcGluZy1wYXJ0aWNsZSI6IiJ9LHsiZmFtaWx5IjoiTWFyIFJlc3RyZXBvIiwiZ2l2ZW4iOiJNYXLDrWEiLCJwYXJzZS1uYW1lcyI6ZmFsc2UsImRyb3BwaW5nLXBhcnRpY2xlIjoiIiwibm9uLWRyb3BwaW5nLXBhcnRpY2xlIjoiZGVsIn1dLCJjb250YWluZXItdGl0bGUiOiJKb3VybmFsIG9mIHRoZSBLbm93bGVkZ2UgRWNvbm9teSIsIkRPSSI6IjEwLjEwMDcvczEzMTMyLTAyNC0wMTgyMy0xIiwiVVJMIjoiaHR0cHM6Ly9kb2kub3JnLzEwLjEwMDcvczEzMTMyLTAyNC0wMTgyMy0xIiwiaXNzdWVkIjp7ImRhdGUtcGFydHMiOltbMjAyNF1dfSwicGFnZSI6IjE5MjAzLTE5MjMyIiwiaXNzdWUiOiI0Iiwidm9sdW1lIjoiMTUiLCJjb250YWluZXItdGl0bGUtc2hvcnQiOiIifSwiaXNUZW1wb3JhcnkiOmZhbHNlLCJzdXBwcmVzcy1hdXRob3IiOmZhbHNlLCJjb21wb3NpdGUiOmZhbHNlLCJhdXRob3Itb25seSI6ZmFsc2V9XX0="/>
          <w:id w:val="-863434816"/>
          <w:placeholder>
            <w:docPart w:val="DefaultPlaceholder_-1854013440"/>
          </w:placeholder>
        </w:sdtPr>
        <w:sdtContent>
          <w:r w:rsidR="004A3559" w:rsidRPr="004A3559">
            <w:rPr>
              <w:color w:val="000000"/>
            </w:rPr>
            <w:t>(Boom-Cárcamo et al., 2024)</w:t>
          </w:r>
        </w:sdtContent>
      </w:sdt>
      <w:r w:rsidR="004A3559">
        <w:t xml:space="preserve"> </w:t>
      </w:r>
      <w:r>
        <w:t>discuten los costos de adopción y la resistencia al cambio como barreras, de modo que el valor de la propuesta depende de cuán adoptable resulte y exige validación con usuarios reales.</w:t>
      </w:r>
    </w:p>
    <w:p w14:paraId="2C2D7C14" w14:textId="77777777" w:rsidR="00302310" w:rsidRDefault="00000000">
      <w:pPr>
        <w:pStyle w:val="Ttulo2"/>
        <w:keepNext/>
      </w:pPr>
      <w:r>
        <w:t>3.5 Alcance y delimitaciones</w:t>
      </w:r>
    </w:p>
    <w:p w14:paraId="67FDC51C" w14:textId="77777777" w:rsidR="00302310" w:rsidRDefault="00000000">
      <w:r>
        <w:t>Este proyecto, en el marco de la asignatura Proyecto, cubre el diseño inicial y un prototipo funcional temprano. El prototipo implementa y verifica con 72 pruebas automatizadas del backend la autenticación con roles, el ciclo de vida del servicio, la matriz de cobertura y tiempos de entrega, la planificación de recolecciones por el cliente, la evidencia con foto y firma, las novedades, el seguimiento GPS, el chat entre el cliente propietario del servicio y el motorizado asignado, las claves de API y los webhooks firmados, y la geocodificación con una heurística de vecino más cercano. La descripción técnica está en la documentación del proyecto (Anexo A).</w:t>
      </w:r>
    </w:p>
    <w:p w14:paraId="0D7FA5B5" w14:textId="77777777" w:rsidR="00302310" w:rsidRDefault="00000000">
      <w:r>
        <w:t>Quedan fuera del alcance el inventario, los pagos en línea y los asistentes conversacionales, retirados en octubre de 2026 y solo retomables como mejora futura opcional. Son simulados los usuarios (administrador, alistador, motorizado y cliente), por lo que no hubo validación con operadores ni clientes reales, y el correo de restablecimiento de contraseña, que en desarrollo se imprime en la consola. Tampoco se verificó el empaquetado nativo para Android, cuya compilación falló por una limitación del entorno de desarrollo. En consecuencia, este trabajo no presenta métricas de mejora, encuestas ni resultados de uso y no afirma que la plataforma reduzca entregas fallidas o costos. La validación empírica, un servidor de correo real, el ruteo con múltiples vehículos y el despliegue a escala corresponden a Trabajo de Grado. El desarrollo contó con asistencia de inteligencia artificial, lo cual se declara en la metodología.</w:t>
      </w:r>
    </w:p>
    <w:p w14:paraId="7504BEC2" w14:textId="5DAE1EBB" w:rsidR="00302310" w:rsidRDefault="00000000">
      <w:pPr>
        <w:pStyle w:val="Ttulo2"/>
        <w:keepNext/>
      </w:pPr>
      <w:r>
        <w:lastRenderedPageBreak/>
        <w:t>3.6 Organización del documento</w:t>
      </w:r>
    </w:p>
    <w:p w14:paraId="5217068C" w14:textId="77777777" w:rsidR="00302310" w:rsidRDefault="00000000">
      <w:r>
        <w:t>El documento continúa con el marco teórico (última milla, trazabilidad y evidencia digital, arquitectura orientada a API, comunicación en tiempo real, agendamiento, normativa colombiana y enfoques de ingeniería de software) y con la metodología (enfoque, diseño, herramientas, selección de tecnologías e instrumentos para la etapa siguiente), que establece la coherencia con los objetivos aquí formulados. Cierran las referencias; el avance de resultados y los anexos se incorporan en la entrega final.</w:t>
      </w:r>
    </w:p>
    <w:p>
      <w:pPr>
        <w:pStyle w:val="Ttulo1"/>
        <w:keepNext/>
        <w:pageBreakBefore/>
      </w:pPr>
      <w:r>
        <w:t xml:space="preserve">4. Marco Teórico</w:t>
      </w:r>
    </w:p>
    <w:p>
      <w:r>
        <w:rPr>
          <w:rFonts w:ascii="Arial" w:cs="Arial" w:eastAsia="Arial" w:hAnsi="Arial"/>
          <w:sz w:val="22"/>
          <w:szCs w:val="22"/>
        </w:rPr>
        <w:t xml:space="preserve">Este capítulo retoma, sin replantearlo, el problema de la Introducción: la fragmentación de la información en la mensajería de última milla (quién tiene el pedido, dónde está, si se entregó y cómo consta) y la ausencia de una plataforma integrada y accesible para un operador de mensajería, con Logytech Mobile (empresa multinacional de logística) como organización de aplicación en Colombia durante el segundo semestre de 2026. Integra conceptos clave, enfoques de ingeniería de software de la guía de la asignatura y normativa colombiana, y cada subtítulo cierra explicando su relación con el problema y con los objetivos específicos de la sección 3.3. La Tabla 1 fija seis términos técnicos que se usan en el resto del capítulo, definidos con fuentes especializadas y no con diccionario.</w:t>
      </w:r>
    </w:p>
    <w:p>
      <w:pPr>
        <w:keepNext/>
        <w:spacing w:after="0" w:before="120"/>
        <w:jc w:val="left"/>
      </w:pPr>
      <w:r>
        <w:rPr>
          <w:rFonts w:ascii="Arial" w:cs="Arial" w:eastAsia="Arial" w:hAnsi="Arial"/>
          <w:b/>
          <w:bCs/>
          <w:sz w:val="22"/>
          <w:szCs w:val="22"/>
        </w:rPr>
        <w:t xml:space="preserve">Tabla 1</w:t>
      </w:r>
    </w:p>
    <w:p>
      <w:pPr>
        <w:keepNext/>
        <w:spacing w:after="60"/>
        <w:jc w:val="left"/>
      </w:pPr>
      <w:r>
        <w:rPr>
          <w:rFonts w:ascii="Arial" w:cs="Arial" w:eastAsia="Arial" w:hAnsi="Arial"/>
          <w:i/>
          <w:iCs/>
          <w:sz w:val="22"/>
          <w:szCs w:val="22"/>
        </w:rPr>
        <w:t xml:space="preserve">Términos técnicos centrales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2736"/>
      </w:tblGrid>
      <w:tr>
        <w:trPr>
          <w:cantSplit/>
          <w:tblHeader/>
        </w:trPr>
        <w:tc>
          <w:tcPr>
            <w:tcW w:type="dxa" w:w="331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Término</w:t>
            </w:r>
          </w:p>
        </w:tc>
        <w:tc>
          <w:tcPr>
            <w:tcW w:type="dxa" w:w="331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Definición (autor)</w:t>
            </w:r>
          </w:p>
        </w:tc>
        <w:tc>
          <w:tcPr>
            <w:tcW w:type="dxa" w:w="273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Fuente</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Última milla</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Último tramo de la distribución; los autores lo vinculan con los retos logísticos que trajo el crecimiento del comercio electrónico y señalan que el reparto domiciliario tradicional llegó a su límite en áreas metropolitanas</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Mohammad et al. (2023)</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API-first</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Principio según el cual todas las capacidades de una organización y sus sistemas se exponen mediante una API, y la base del diseño del sistema es la definición de APIs claras y bien definidas</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Beaulieu et al. (2022)</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Monolito modular</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Arquitectura híbrida entre el monolito tradicional y los microservicios, que combina simplicidad operativa con modularidad y mantenibilidad</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Al-Qora’n y Al-Said Ahmad (2025)</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Rastreo basado en aplicaciones (</w:t>
            </w:r>
            <w:r>
              <w:rPr>
                <w:rFonts w:ascii="Arial" w:cs="Arial" w:eastAsia="Arial" w:hAnsi="Arial"/>
                <w:b w:val="false"/>
                <w:bCs w:val="false"/>
                <w:i/>
                <w:iCs/>
                <w:sz w:val="18"/>
                <w:szCs w:val="18"/>
              </w:rPr>
              <w:t xml:space="preserve">app-based tracking</w:t>
            </w:r>
            <w:r>
              <w:rPr>
                <w:rFonts w:ascii="Arial" w:cs="Arial" w:eastAsia="Arial" w:hAnsi="Arial"/>
                <w:b w:val="false"/>
                <w:bCs w:val="false"/>
                <w:sz w:val="18"/>
                <w:szCs w:val="18"/>
              </w:rPr>
              <w:t xml:space="preserve">)</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Seguimiento de la ubicación de los repartidores mediante aplicaciones móviles; los autores lo describen como clave para la coordinación del reparto y también para su vigilancia</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Randerath y Friedrich (2025)</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Geocodificación</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Conversión de direcciones postales en coordenadas, evaluada por la cercanía a las coordenadas de referencia</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Pérez y Aybar (2024)</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Cualquier información vinculada o asociable a una o varias personas naturales determinadas o determinables</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Ley 1581 de 2012, art. 3</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las fuentes citadas en la tabla.</w:t>
      </w:r>
    </w:p>
    <w:p>
      <w:pPr>
        <w:pStyle w:val="Ttulo2"/>
        <w:keepNext/>
      </w:pPr>
      <w:r>
        <w:t xml:space="preserve">4.1 Logística de última milla y servicios de mensajería</w:t>
      </w:r>
    </w:p>
    <w:p>
      <w:r>
        <w:rPr>
          <w:rFonts w:ascii="Arial" w:cs="Arial" w:eastAsia="Arial" w:hAnsi="Arial"/>
          <w:sz w:val="22"/>
          <w:szCs w:val="22"/>
        </w:rPr>
        <w:t xml:space="preserve">La última milla es el tramo más presionado de la cadena y, a la vez, el que más depende de la coordinación de información. Mohammad et al. (2023), tras revisar más de 80 publicaciones sobre soluciones innovadoras (drones, estaciones inteligentes de paquetes, robots y crowdsourcing), sostienen que el reparto domiciliario tradicional ya no es eficaz por sí solo en áreas metropolitanas. La revisión es útil como mapa de soluciones, pero casi todas son de infraestructura o de vehículos, fuera del alcance de un operador de mensajería urbana.</w:t>
      </w:r>
    </w:p>
    <w:p>
      <w:r>
        <w:rPr>
          <w:rFonts w:ascii="Arial" w:cs="Arial" w:eastAsia="Arial" w:hAnsi="Arial"/>
          <w:sz w:val="22"/>
          <w:szCs w:val="22"/>
        </w:rPr>
        <w:t xml:space="preserve">La literatura latinoamericana desplaza el foco hacia la estructura del negocio. Restrepo-Betancur et al. (2026), con 64 entrevistas semiestructuradas en Medellín, concluyen que la tercerización de la última milla permite reducir costos trasladando los riesgos operativos a trabajadores informales, y que la escasa supervisión regulatoria institucionaliza esa informalidad. La lectura crítica es doble: el estudio relativiza que un software, por sí solo, resuelva el problema, lo que coincide con la respuesta parcial de la Introducción; y es un único caso, de modo que su extrapolación a otras ciudades es una afirmación de los autores y no un hecho establecido.</w:t>
      </w:r>
    </w:p>
    <w:p>
      <w:r>
        <w:rPr>
          <w:rFonts w:ascii="Arial" w:cs="Arial" w:eastAsia="Arial" w:hAnsi="Arial"/>
          <w:sz w:val="22"/>
          <w:szCs w:val="22"/>
        </w:rPr>
        <w:t xml:space="preserve">Los dos trabajos discrepan en el foco (innovación técnica frente a relaciones laborales y regulatorias), y esa divergencia delimita lo que puede resolver una plataforma como CMEDriver: la visibilidad y el registro de la operación, no la informalidad. El subtítulo respalda el Objetivo 1 porque justifica que los requerimientos se deriven de problemas de coordinación y de información. Queda abierta la pregunta de cómo se materializa esa visibilidad hacia el cliente en las operaciones de Logytech Mobile, que es el objeto de la trazabilidad.</w:t>
      </w:r>
    </w:p>
    <w:p>
      <w:pPr>
        <w:pStyle w:val="Ttulo2"/>
        <w:keepNext/>
      </w:pPr>
      <w:r>
        <w:t xml:space="preserve">4.2 Trazabilidad y evidencia digital de entrega</w:t>
      </w:r>
    </w:p>
    <w:p>
      <w:r>
        <w:rPr>
          <w:rFonts w:ascii="Arial" w:cs="Arial" w:eastAsia="Arial" w:hAnsi="Arial"/>
          <w:sz w:val="22"/>
          <w:szCs w:val="22"/>
        </w:rPr>
        <w:t xml:space="preserve">La trazabilidad se entiende aquí como la capacidad de conocer el estado y la ubicación de un servicio durante su ejecución y de dejar constancia de su cierre. Mogire et al. (2023) encuestaron en línea a 467 clientes de comercio electrónico en Nairobi y reportan que los usuarios del servicio estuvieron más satisfechos que los no usuarios con las opciones de entrega, el seguimiento y las devoluciones; el estudio apoya la relevancia del seguimiento para la experiencia del cliente, pero es una encuesta de otro continente y no establece que el seguimiento cause la satisfacción.</w:t>
      </w:r>
    </w:p>
    <w:p>
      <w:r>
        <w:rPr>
          <w:rFonts w:ascii="Arial" w:cs="Arial" w:eastAsia="Arial" w:hAnsi="Arial"/>
          <w:sz w:val="22"/>
          <w:szCs w:val="22"/>
        </w:rPr>
        <w:t xml:space="preserve">El seguimiento tiene un costo para quien lo ejecuta. Randerath y Friedrich (2025), con una etnografía digital en Alemania, plantean que el rastreo mediante aplicaciones es clave para la coordinación y también para la vigilancia del trabajo de reparto, y que se ha convertido en fuente de tensión y de resistencia por las asimetrías de poder e información. La consecuencia de diseño es que el seguimiento GPS de CMEDriver no puede evaluarse solo por su utilidad para el cliente: afecta a los motorizados, cuyos datos de ubicación son datos personales (4.8).</w:t>
      </w:r>
    </w:p>
    <w:p>
      <w:r>
        <w:rPr>
          <w:rFonts w:ascii="Arial" w:cs="Arial" w:eastAsia="Arial" w:hAnsi="Arial"/>
          <w:sz w:val="22"/>
          <w:szCs w:val="22"/>
        </w:rPr>
        <w:t xml:space="preserve">La evidencia digital es el segundo componente de la trazabilidad. Madhwal et al. (2022) desarrollaron una cadena de bloques de código abierto para gestionar la prueba de entrega (</w:t>
      </w:r>
      <w:r>
        <w:rPr>
          <w:rFonts w:ascii="Arial" w:cs="Arial" w:eastAsia="Arial" w:hAnsi="Arial"/>
          <w:i/>
          <w:iCs/>
          <w:sz w:val="22"/>
          <w:szCs w:val="22"/>
        </w:rPr>
        <w:t xml:space="preserve">proof of delivery</w:t>
      </w:r>
      <w:r>
        <w:rPr>
          <w:rFonts w:ascii="Arial" w:cs="Arial" w:eastAsia="Arial" w:hAnsi="Arial"/>
          <w:sz w:val="22"/>
          <w:szCs w:val="22"/>
        </w:rPr>
        <w:t xml:space="preserve">) y hallaron que los contratos inteligentes vuelven más eficientes los procesos y más confiable esa prueba; advierten, sin embargo, que los contratos necesitan apoyos digitales adicionales para las inspecciones cualitativas y que la cadena requiere registrar transacciones fuera de ella. La fuente respalda la importancia de una prueba de entrega confiable, no un esquema como el del prototipo: CMEDriver no usa cadena de bloques, guarda la foto y la firma como archivos en el servidor y no incorpora un mecanismo propio para detectar su alteración. Su valor probatorio se discute en 4.8, pues el pool verificado no ofrece estudios de mensajería sobre su efecto operativo. El subtítulo respalda el Objetivo 1 y fundamenta los requerimientos de seguimiento y evidencia; falta la arquitectura que permita ofrecer ambas funciones a distintos tipos de usuario.</w:t>
      </w:r>
    </w:p>
    <w:p>
      <w:pPr>
        <w:pStyle w:val="Ttulo2"/>
        <w:keepNext/>
      </w:pPr>
      <w:r>
        <w:t xml:space="preserve">4.3 Arquitecturas orientadas a API: API-first, REST, webhooks, monolito modular y microservicios</w:t>
      </w:r>
    </w:p>
    <w:p>
      <w:r>
        <w:rPr>
          <w:rFonts w:ascii="Arial" w:cs="Arial" w:eastAsia="Arial" w:hAnsi="Arial"/>
          <w:sz w:val="22"/>
          <w:szCs w:val="22"/>
        </w:rPr>
        <w:t xml:space="preserve">Una plataforma con varios clientes (aplicación multirol y sistemas externos) necesita una interfaz única y estable, y la forma de desplegarla es una decisión con compromisos. Beaulieu et al. (2022) describen el principio API-first, y a la vez reconocen que su base de investigación arbitrada era todavía escasa, de modo que se adopta como práctica de diseño y no como resultado consolidado. Respecto de cómo diseñar la API, Bogner et al. (2023) realizaron un experimento controlado con 105 participantes sobre 12 reglas de diseño REST y hallaron que, para 11 de ellas, las versiones que violaban la regla tuvieron peor desempeño en las preguntas de comprensión; los propios autores lo presentan como una primera evidencia empírica y no como una validación general. Esa evidencia respalda una sola API REST, consistente y documentada, como interfaz común de los cuatro roles y de los integradores. Los webhooks complementan el modelo: en lugar de que el integrador consulte periódicamente, la plataforma notifica los cambios de estado. El pool verificado no ofrece fuente arbitrada sobre esta práctica, por lo que se presenta como práctica de integración y no como conclusión de la literatura.</w:t>
      </w:r>
    </w:p>
    <w:p>
      <w:r>
        <w:rPr>
          <w:rFonts w:ascii="Arial" w:cs="Arial" w:eastAsia="Arial" w:hAnsi="Arial"/>
          <w:sz w:val="22"/>
          <w:szCs w:val="22"/>
        </w:rPr>
        <w:t xml:space="preserve">En cuanto al despliegue, Al-Qora’n y Al-Said Ahmad (2025) describen el monolito modular como un híbrido que combina simplicidad operativa con modularidad y mantenibilidad. Su revisión sistemática (15 estudios primarios) identifica como factores de adopción el despliegue simplificado, la mantenibilidad y la menor sobrecarga de orquestación, y reporta evidencia comparativa de que conviene cuando los microservicios introducen complejidad o costos excesivos; señalan también vacíos que impiden tomarla como receta: falta una definición consensuada, hay poca evidencia de rendimiento y el soporte de herramientas es insuficiente. Esa lectura contrasta con la adopción por defecto de microservicios, cuyo costo operativo difícilmente puede asumir un equipo de una persona (inferencia de diseño), aunque la revisión no compara sistemas pequeños.</w:t>
      </w:r>
    </w:p>
    <w:p>
      <w:r>
        <w:rPr>
          <w:rFonts w:ascii="Arial" w:cs="Arial" w:eastAsia="Arial" w:hAnsi="Arial"/>
          <w:sz w:val="22"/>
          <w:szCs w:val="22"/>
        </w:rPr>
        <w:t xml:space="preserve">La decisión de CMEDriver (un backend único con seis aplicaciones de dominio, expuesto como API REST documentada con OpenAPI, con claves de API para los sistemas externos y con webhooks) es consistente con esa literatura, con la salvedad de que no hay una comparación propia que la valide. El subtítulo sustenta el Objetivo 2. Falta ahora la comunicación inmediata entre las partes, que REST por sí mismo no cubre.</w:t>
      </w:r>
    </w:p>
    <w:p>
      <w:pPr>
        <w:pStyle w:val="Ttulo2"/>
        <w:keepNext/>
      </w:pPr>
      <w:r>
        <w:t xml:space="preserve">4.4 Comunicación en tiempo real y aplicaciones web/híbridas</w:t>
      </w:r>
    </w:p>
    <w:p>
      <w:r>
        <w:rPr>
          <w:rFonts w:ascii="Arial" w:cs="Arial" w:eastAsia="Arial" w:hAnsi="Arial"/>
          <w:sz w:val="22"/>
          <w:szCs w:val="22"/>
        </w:rPr>
        <w:t xml:space="preserve">El seguimiento GPS y el chat cliente-motorizado exigen que el servidor pueda enviar datos sin que el cliente los pida. Gracia Orejuela et al. (2024) compararon long polling, WebSockets y Server-Sent Events con un chat en línea y 2.000 solicitudes por protocolo: long polling registró 138 fallos (6,90 %), mientras que WebSocket y Server-Sent Events no registraron ninguno. Los autores concluyen que WebSocket es el más adecuado para un backend escalable por su conexión bidireccional, pero reconocen que las pruebas se hicieron en un entorno controlado sin factores propios de producción, y en sus cifras Server-Sent Events obtuvo menor tiempo medio de respuesta y mayor rendimiento. Por tanto, la elección de WebSocket para CMEDriver se sostiene sobre todo en la necesidad de comunicación bidireccional (chat y posiciones) y no en una ventaja de rendimiento, que el estudio no demuestra. De ahí la decisión de mantener un respaldo por consulta periódica cuando la conexión en tiempo real no está disponible: es una medida de resiliencia, no una conclusión de la literatura.</w:t>
      </w:r>
    </w:p>
    <w:p>
      <w:r>
        <w:rPr>
          <w:rFonts w:ascii="Arial" w:cs="Arial" w:eastAsia="Arial" w:hAnsi="Arial"/>
          <w:sz w:val="22"/>
          <w:szCs w:val="22"/>
        </w:rPr>
        <w:t xml:space="preserve">Sobre las aplicaciones híbridas (una base de código para los cuatro roles), el pool verificado no ofrece fuente que valide el marco elegido; es una decisión de ingeniería sujeta a verificación, y el empaquetado para Android no pudo verificarse. El subtítulo respalda el Objetivo 3. A continuación se trata cómo se usa ese canal en las dos funciones con las que el cliente interactúa con la operación: agendar sus recolecciones y comunicarse con el motorizado asignado.</w:t>
      </w:r>
    </w:p>
    <w:p>
      <w:pPr>
        <w:pStyle w:val="Ttulo2"/>
        <w:keepNext/>
      </w:pPr>
      <w:r>
        <w:t xml:space="preserve">4.5 Agendamiento por el cliente y comunicación directa con el mensajero</w:t>
      </w:r>
    </w:p>
    <w:p>
      <w:r>
        <w:rPr>
          <w:rFonts w:ascii="Arial" w:cs="Arial" w:eastAsia="Arial" w:hAnsi="Arial"/>
          <w:sz w:val="22"/>
          <w:szCs w:val="22"/>
        </w:rPr>
        <w:t xml:space="preserve">El prototipo limita la interacción del cliente con la operación a dos funciones: agendar sus propias recolecciones dentro de la cobertura y del tiempo de anticipación (</w:t>
      </w:r>
      <w:r>
        <w:rPr>
          <w:rFonts w:ascii="Arial" w:cs="Arial" w:eastAsia="Arial" w:hAnsi="Arial"/>
          <w:i/>
          <w:iCs/>
          <w:sz w:val="22"/>
          <w:szCs w:val="22"/>
        </w:rPr>
        <w:t xml:space="preserve">leadtime</w:t>
      </w:r>
      <w:r>
        <w:rPr>
          <w:rFonts w:ascii="Arial" w:cs="Arial" w:eastAsia="Arial" w:hAnsi="Arial"/>
          <w:sz w:val="22"/>
          <w:szCs w:val="22"/>
        </w:rPr>
        <w:t xml:space="preserve">) configurados, y conversar con el motorizado asignado a su servicio, sin respuestas automáticas. Souza et al. (2022) aplicaron una técnica de preferencias declaradas a 83 consumidores potenciales de Florianópolis (Brasil) y hallaron interés y disposición a pagar por programar la entrega al momento de la compra, lo que leen como una tendencia hacia sistemas de entrega personalizados; reconocen un alcance limitado y una muestra pequeña, y se trata de entregas y no de recolecciones. Respalda la pertinencia de ofrecer el agendamiento, no su efecto en Colombia.</w:t>
      </w:r>
    </w:p>
    <w:p>
      <w:r>
        <w:rPr>
          <w:rFonts w:ascii="Arial" w:cs="Arial" w:eastAsia="Arial" w:hAnsi="Arial"/>
          <w:sz w:val="22"/>
          <w:szCs w:val="22"/>
        </w:rPr>
        <w:t xml:space="preserve">Sobre la comunicación directa, el pool verificado no incluye estudios del chat entre cliente y mensajero. El más cercano, Gracia Orejuela et al. (2024), usó un chat en línea para comparar protocolos y no mide el efecto de la comunicación sobre la entrega. La Introducción (3.4) vinculó las entregas fallidas con la coordinación entre cliente y repartidor; que un chat la mejore es una hipótesis a validar. Hay, en cambio, un criterio de diseño: los mensajes son datos personales (Tabla 2) y la Ley 1581 de 2012 establece, entre sus principios, la finalidad y el acceso y la circulación restringidos (art. 4). Por eso el chat de un servicio admite solo al cliente propietario y al motorizado asignado, por REST y por WebSocket; el Administrador y el Alistador no participan. El OWASP API Security Project (2023) incluye entre sus riesgos la autorización rota a nivel de objeto (API1:2023), que aquí equivaldría a leer o escribir mensajes de un servicio ajeno; se retoma en 4.7. El subtítulo respalda los Objetivos 3 y 4 y conduce a la planificación de rutas, otra función que se resuelve sobre el mismo backend.</w:t>
      </w:r>
    </w:p>
    <w:p>
      <w:pPr>
        <w:pStyle w:val="Ttulo2"/>
        <w:keepNext/>
      </w:pPr>
      <w:r>
        <w:t xml:space="preserve">4.6 Optimización de rutas y geocodificación</w:t>
      </w:r>
    </w:p>
    <w:p>
      <w:r>
        <w:rPr>
          <w:rFonts w:ascii="Arial" w:cs="Arial" w:eastAsia="Arial" w:hAnsi="Arial"/>
          <w:sz w:val="22"/>
          <w:szCs w:val="22"/>
        </w:rPr>
        <w:t xml:space="preserve">La asignación de servicios a motorizados es un problema de ruteo de vehículos. Jazemi et al. (2023), en una revisión de la literatura reciente sobre ruteo para última milla urbana, discuten la naturaleza de estos problemas en cinco aspectos: capacidad de la flota, ventanas de tiempo, opción de flota, dinamismo de los datos de entrada y parámetros estocásticos. El prototipo recurre a una heurística de vecino más cercano que no modela ventanas de tiempo ni dinamismo; el resumen de la revisión no trata esa heurística, y el pool no incluye una fuente que evalúe su calidad en ruteo real de mensajería con pocos vehículos. Su simplicidad favorece un prototipo, pero su calidad no está respaldada: es una limitación declarada y trabajo futuro.</w:t>
      </w:r>
    </w:p>
    <w:p>
      <w:r>
        <w:rPr>
          <w:rFonts w:ascii="Arial" w:cs="Arial" w:eastAsia="Arial" w:hAnsi="Arial"/>
          <w:sz w:val="22"/>
          <w:szCs w:val="22"/>
        </w:rPr>
        <w:t xml:space="preserve">La geocodificación se apoya en un servicio abierto (Nominatim). Pérez y Aybar (2024) evaluaron 15 métodos para convertir direcciones postales en coordenadas con una muestra de 15.000 direcciones de Madrid y hallaron variabilidad importante: Nominatim fue el que más valores faltantes dejó. La evidencia proviene de una sola ciudad europea y no mide direcciones colombianas, de modo que no se afirma que el servicio resuelva bien las direcciones locales; sustenta que conviene validar la geocodificación y tolerar direcciones sin resolver, verificación pendiente para el Objetivo 4. El subtítulo respalda el Objetivo 3 y deja pendiente un aspecto transversal: la seguridad.</w:t>
      </w:r>
    </w:p>
    <w:p>
      <w:pPr>
        <w:pStyle w:val="Ttulo2"/>
        <w:keepNext/>
      </w:pPr>
      <w:r>
        <w:t xml:space="preserve">4.7 Seguridad en aplicaciones y APIs</w:t>
      </w:r>
    </w:p>
    <w:p>
      <w:r>
        <w:rPr>
          <w:rFonts w:ascii="Arial" w:cs="Arial" w:eastAsia="Arial" w:hAnsi="Arial"/>
          <w:sz w:val="22"/>
          <w:szCs w:val="22"/>
        </w:rPr>
        <w:t xml:space="preserve">La plataforma expone una API a usuarios con roles distintos, a integradores con una clave propia y, por WebSocket, a clientes que reciben posiciones y mensajes. El OWASP API Security Project (2023) documenta, entre otros riesgos, la autenticación rota, que incluye aceptar tokens JWT sin firma o con firma débil o sin validar su vencimiento, y recomienda adoptar estándares establecidos en lugar de implementaciones propias; y los fallos de autorización a nivel de función, que relaciona con políticas de control de acceso complejas (jerarquías, grupos y roles) y con una separación poco clara entre funciones administrativas y regulares. Ambos aplican a una plataforma con cuatro roles, token y claves de API.</w:t>
      </w:r>
    </w:p>
    <w:p>
      <w:r>
        <w:rPr>
          <w:rFonts w:ascii="Arial" w:cs="Arial" w:eastAsia="Arial" w:hAnsi="Arial"/>
          <w:sz w:val="22"/>
          <w:szCs w:val="22"/>
        </w:rPr>
        <w:t xml:space="preserve">A ellos se suma la autorización a nivel de objeto (API1:2023, retomada en 4.5): el backend debe comprobar, además del rol, la relación del usuario con el recurso concreto. Ese es el criterio de CMEDriver: el control de acceso por rol y por propiedad vive en el backend y es el mismo para toda interfaz. Los webhooks salientes llevan una firma HMAC en una cabecera propia (</w:t>
      </w:r>
      <w:r>
        <w:rPr>
          <w:rFonts w:ascii="Consolas" w:cs="Consolas" w:eastAsia="Consolas" w:hAnsi="Consolas"/>
          <w:sz w:val="20"/>
          <w:szCs w:val="20"/>
        </w:rPr>
        <w:t xml:space="preserve">X-CMEDriver-Signature</w:t>
      </w:r>
      <w:r>
        <w:rPr>
          <w:rFonts w:ascii="Arial" w:cs="Arial" w:eastAsia="Arial" w:hAnsi="Arial"/>
          <w:sz w:val="22"/>
          <w:szCs w:val="22"/>
        </w:rPr>
        <w:t xml:space="preserve">) para que el receptor compruebe el origen del evento; es práctica de integración sin respaldo arbitrado en las fuentes verificadas (4.3). Una limitación conocida es que el token del WebSocket viaja en la cadena de consulta y puede quedar en registros de un proxy; se mitigaría con WSS y sin registrar esas cadenas. La fuente es una guía abierta, no un estudio arbitrado, y se asume como criterio de diseño. El subtítulo respalda los Objetivos 2 y 3. La seguridad técnica no agota, sin embargo, la exigencia sobre los datos, que impone además un marco legal.</w:t>
      </w:r>
    </w:p>
    <w:p>
      <w:pPr>
        <w:pStyle w:val="Ttulo2"/>
        <w:keepNext/>
      </w:pPr>
      <w:r>
        <w:t xml:space="preserve">4.8 Marco normativo y de calidad aplicable</w:t>
      </w:r>
    </w:p>
    <w:p>
      <w:r>
        <w:rPr>
          <w:rFonts w:ascii="Arial" w:cs="Arial" w:eastAsia="Arial" w:hAnsi="Arial"/>
          <w:sz w:val="22"/>
          <w:szCs w:val="22"/>
        </w:rPr>
        <w:t xml:space="preserve">Los datos que circulan por la plataforma y el software mismo están regulados. Se presenta lo que las fuentes oficiales dicen, sin interpretación jurídica propia, y se señalan los puntos que requieren consulta con un profesional del derecho.</w:t>
      </w:r>
    </w:p>
    <w:p>
      <w:r>
        <w:rPr>
          <w:rFonts w:ascii="Arial" w:cs="Arial" w:eastAsia="Arial" w:hAnsi="Arial"/>
          <w:b/>
          <w:bCs/>
          <w:sz w:val="22"/>
          <w:szCs w:val="22"/>
        </w:rPr>
        <w:t xml:space="preserve">Datos personales.</w:t>
      </w:r>
      <w:r>
        <w:rPr>
          <w:rFonts w:ascii="Arial" w:cs="Arial" w:eastAsia="Arial" w:hAnsi="Arial"/>
          <w:sz w:val="22"/>
          <w:szCs w:val="22"/>
        </w:rPr>
        <w:t xml:space="preserve"> La Ley 1581 de 2012 se aplica al tratamiento de datos personales registrados en bases de datos por entidades públicas o privadas (art. 2). Define el dato personal como información vinculada o asociable a personas naturales determinadas o determinables, y el tratamiento como recolección, almacenamiento, uso, circulación o supresión (art. 3). Establece principios (legalidad, finalidad, libertad, veracidad, transparencia, acceso y circulación restringida, seguridad y confidencialidad; art. 4), prohíbe el tratamiento de datos sensibles, entre ellos los biométricos, salvo excepciones como la autorización explícita (arts. 5 y 6), y exige autorización previa e informada, obtenida por un medio que permita su consulta posterior (art. 9). Su reglamentación (decretos compilados) se deja a la consulta jurídica previa al uso con personas reales.</w:t>
      </w:r>
    </w:p>
    <w:p>
      <w:r>
        <w:rPr>
          <w:rFonts w:ascii="Arial" w:cs="Arial" w:eastAsia="Arial" w:hAnsi="Arial"/>
          <w:b/>
          <w:bCs/>
          <w:sz w:val="22"/>
          <w:szCs w:val="22"/>
        </w:rPr>
        <w:t xml:space="preserve">Mensajes de datos y firma electrónica.</w:t>
      </w:r>
      <w:r>
        <w:rPr>
          <w:rFonts w:ascii="Arial" w:cs="Arial" w:eastAsia="Arial" w:hAnsi="Arial"/>
          <w:sz w:val="22"/>
          <w:szCs w:val="22"/>
        </w:rPr>
        <w:t xml:space="preserve"> La foto y la firma de evidencia plantean si un mensaje de datos y una firma capturada en pantalla tienen valor probatorio. La legislación colombiana sobre comercio electrónico y firmas electrónicas se ocupa de ese asunto, pero este marco no la analiza con fuentes verificadas: no se afirma que una firma dibujada con el dedo califique como firma electrónica con efectos legales ni que el prototipo cumpla. Se deja como </w:t>
      </w:r>
      <w:r>
        <w:rPr>
          <w:rFonts w:ascii="Arial" w:cs="Arial" w:eastAsia="Arial" w:hAnsi="Arial"/>
          <w:b/>
          <w:bCs/>
          <w:sz w:val="22"/>
          <w:szCs w:val="22"/>
        </w:rPr>
        <w:t xml:space="preserve">punto a consultar</w:t>
      </w:r>
      <w:r>
        <w:rPr>
          <w:rFonts w:ascii="Arial" w:cs="Arial" w:eastAsia="Arial" w:hAnsi="Arial"/>
          <w:sz w:val="22"/>
          <w:szCs w:val="22"/>
        </w:rPr>
        <w:t xml:space="preserve">: confiabilidad del método, vínculo con el firmante, detección de alteraciones y custodia de la evidencia.</w:t>
      </w:r>
    </w:p>
    <w:p>
      <w:r>
        <w:rPr>
          <w:rFonts w:ascii="Arial" w:cs="Arial" w:eastAsia="Arial" w:hAnsi="Arial"/>
          <w:b/>
          <w:bCs/>
          <w:sz w:val="22"/>
          <w:szCs w:val="22"/>
        </w:rPr>
        <w:t xml:space="preserve">Derechos de autor y registro.</w:t>
      </w:r>
      <w:r>
        <w:rPr>
          <w:rFonts w:ascii="Arial" w:cs="Arial" w:eastAsia="Arial" w:hAnsi="Arial"/>
          <w:sz w:val="22"/>
          <w:szCs w:val="22"/>
        </w:rPr>
        <w:t xml:space="preserve"> La Ley 23 de 1982 protege las creaciones literarias, científicas y artísticas y dispone que la protección nace de la creación intelectual sin requerir registro, siendo las formalidades para mayor seguridad jurídica (arts. 1, 2 y 9). La norma no menciona expresamente el software en el texto revisado. Lo hace la Decisión Andina 351 de 1993, que define el programa de ordenador (art. 3), lo incluye entre las obras protegidas (art. 4) y lo protege como obra literaria, sea operativo o aplicativo, en código fuente u objeto (Comisión del Acuerdo de Cartagena, 1993, art. 23). El registro ante la Dirección Nacional de Derecho de Autor se tramita en línea, con el código fuente y una descripción o manuales como evidencia, y el sitio indica unos treinta días hábiles (Dirección Nacional de Derecho de Autor [DNDA], s. f.). Como el desarrollo se plantea para una organización, la titularidad de los derechos (el estudiante, la institución o la organización de aplicación) depende de un acuerdo con Logytech Mobile y del reglamento institucional, y está por definir; este documento no afirma a quién corresponde.</w:t>
      </w:r>
    </w:p>
    <w:p>
      <w:r>
        <w:rPr>
          <w:rFonts w:ascii="Arial" w:cs="Arial" w:eastAsia="Arial" w:hAnsi="Arial"/>
          <w:b/>
          <w:bCs/>
          <w:sz w:val="22"/>
          <w:szCs w:val="22"/>
        </w:rPr>
        <w:t xml:space="preserve">Actividad 2: datos personales y registro del software en CMEDriver.</w:t>
      </w:r>
      <w:r>
        <w:rPr>
          <w:rFonts w:ascii="Arial" w:cs="Arial" w:eastAsia="Arial" w:hAnsi="Arial"/>
          <w:sz w:val="22"/>
          <w:szCs w:val="22"/>
        </w:rPr>
        <w:t xml:space="preserve"> La Tabla 2 responde, para el prototipo, qué datos se manejan y de quién.</w:t>
      </w:r>
    </w:p>
    <w:p>
      <w:pPr>
        <w:keepNext/>
        <w:spacing w:after="0" w:before="120"/>
        <w:jc w:val="left"/>
      </w:pPr>
      <w:r>
        <w:rPr>
          <w:rFonts w:ascii="Arial" w:cs="Arial" w:eastAsia="Arial" w:hAnsi="Arial"/>
          <w:b/>
          <w:bCs/>
          <w:sz w:val="22"/>
          <w:szCs w:val="22"/>
        </w:rPr>
        <w:t xml:space="preserve">Tabla 2</w:t>
      </w:r>
    </w:p>
    <w:p>
      <w:pPr>
        <w:keepNext/>
        <w:spacing w:after="60"/>
        <w:jc w:val="left"/>
      </w:pPr>
      <w:r>
        <w:rPr>
          <w:rFonts w:ascii="Arial" w:cs="Arial" w:eastAsia="Arial" w:hAnsi="Arial"/>
          <w:i/>
          <w:iCs/>
          <w:sz w:val="22"/>
          <w:szCs w:val="22"/>
        </w:rPr>
        <w:t xml:space="preserve">Datos personales que maneja CMEDriver y titulares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2"/>
        <w:gridCol w:w="3363"/>
        <w:gridCol w:w="3365"/>
      </w:tblGrid>
      <w:tr>
        <w:trPr>
          <w:cantSplit/>
          <w:tblHeader/>
        </w:trPr>
        <w:tc>
          <w:tcPr>
            <w:tcW w:type="dxa" w:w="263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Dato</w:t>
            </w:r>
          </w:p>
        </w:tc>
        <w:tc>
          <w:tcPr>
            <w:tcW w:type="dxa" w:w="3363"/>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Titular</w:t>
            </w:r>
          </w:p>
        </w:tc>
        <w:tc>
          <w:tcPr>
            <w:tcW w:type="dxa" w:w="3365"/>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Observación frente a la norma</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Nombre, teléfono y direcciones</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Clientes y destinatarios; personal de la mensajería</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 (Ley 1581 de 2012, art. 3); requiere autorización y finalidad definida</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Ubicación GPS en tiempo real</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Motorizados</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 vinculado a una persona determinada; su tratamiento exige finalidad y transparencia (4.2)</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Firma y foto de evidencia</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Quien recibe o entrega</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Pueden ser datos personales y, si identifican biométricamente, datos sensibles (art. 5); valor probatorio por consultar</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Mensajes de chat</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Clientes y motorizados</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 contenido libre que puede incluir información adicional; solo los dos participantes acceden a la conversación (4.5)</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 Ley 1581 de 2012 y de la documentación técnica del proyecto (Anexo A).</w:t>
      </w:r>
    </w:p>
    <w:p>
      <w:r>
        <w:rPr>
          <w:rFonts w:ascii="Arial" w:cs="Arial" w:eastAsia="Arial" w:hAnsi="Arial"/>
          <w:sz w:val="22"/>
          <w:szCs w:val="22"/>
        </w:rPr>
        <w:t xml:space="preserve">En esta etapa los datos son de prueba, pero el diseño sí maneja datos personales; su uso con personas reales requeriría autorización informada, política de tratamiento y medidas de seguridad, y su cumplimiento no se ha verificado. Respecto del registro, la protección existe sin él (Ley 23 de 1982, art. 9) y el trámite es opcional. El autor decidió no registrar el software en esta etapa, porque se concibe como un desarrollo para Logytech Mobile y su titularidad está por definir con esa organización.</w:t>
      </w:r>
    </w:p>
    <w:p>
      <w:r>
        <w:rPr>
          <w:rFonts w:ascii="Arial" w:cs="Arial" w:eastAsia="Arial" w:hAnsi="Arial"/>
          <w:b/>
          <w:bCs/>
          <w:sz w:val="22"/>
          <w:szCs w:val="22"/>
        </w:rPr>
        <w:t xml:space="preserve">Calidad y requisitos.</w:t>
      </w:r>
      <w:r>
        <w:rPr>
          <w:rFonts w:ascii="Arial" w:cs="Arial" w:eastAsia="Arial" w:hAnsi="Arial"/>
          <w:sz w:val="22"/>
          <w:szCs w:val="22"/>
        </w:rPr>
        <w:t xml:space="preserve"> La norma ISO/IEC/IEEE 29148 especifica los procesos de ingeniería de requisitos, los elementos de información y su contenido, y es aplicable sin importar la metodología, el tamaño o la complejidad (ISO/IEC/IEEE, 2018). Esa neutralidad es útil para un proyecto incremental. No se leyó el texto de la norma, de pago, por lo que no se atribuye el contenido de sus plantillas. El subtítulo respalda los Objetivos 2 y 4: los datos y la firma determinan requisitos y criterios de validación. Resta explicar con qué enfoques de ingeniería de software se construye todo lo anterior.</w:t>
      </w:r>
    </w:p>
    <w:p>
      <w:pPr>
        <w:pStyle w:val="Ttulo2"/>
        <w:keepNext/>
      </w:pPr>
      <w:r>
        <w:t xml:space="preserve">4.9 Enfoques de ingeniería de software</w:t>
      </w:r>
    </w:p>
    <w:p>
      <w:r>
        <w:rPr>
          <w:rFonts w:ascii="Arial" w:cs="Arial" w:eastAsia="Arial" w:hAnsi="Arial"/>
          <w:sz w:val="22"/>
          <w:szCs w:val="22"/>
        </w:rPr>
        <w:t xml:space="preserve">La guía de la asignatura propone seis referentes, que la Tabla 3 evalúa según su pertinencia para un proyecto individual, con requisitos cambiantes y sin cliente real, que debe producir un diseño y un prototipo temprano. Dos fuentes de la guía (Sommerville, 2005; Bass et al., 2003) son libros cuyo texto no se consultó; se usan como marco general de ingeniería de software y de arquitectura, sin atribuirles afirmaciones específicas. </w:t>
      </w:r>
      <w:r>
        <w:rPr>
          <w:rFonts w:ascii="Arial" w:cs="Arial" w:eastAsia="Arial" w:hAnsi="Arial"/>
          <w:sz w:val="22"/>
          <w:szCs w:val="22"/>
          <w:highlight w:val="yellow"/>
        </w:rPr>
        <w:t xml:space="preserve">[COMPLETAR: incorporar una definición con página de Sommerville (2005) y de Bass et al. (2003), previa consulta de los libros]</w:t>
      </w:r>
      <w:r>
        <w:rPr>
          <w:rFonts w:ascii="Arial" w:cs="Arial" w:eastAsia="Arial" w:hAnsi="Arial"/>
          <w:sz w:val="22"/>
          <w:szCs w:val="22"/>
        </w:rPr>
        <w:t xml:space="preserve">.</w:t>
      </w:r>
    </w:p>
    <w:p>
      <w:r>
        <w:rPr>
          <w:rFonts w:ascii="Arial" w:cs="Arial" w:eastAsia="Arial" w:hAnsi="Arial"/>
          <w:b/>
          <w:bCs/>
          <w:sz w:val="22"/>
          <w:szCs w:val="22"/>
        </w:rPr>
        <w:t xml:space="preserve">Ágil y Scrum.</w:t>
      </w:r>
      <w:r>
        <w:rPr>
          <w:rFonts w:ascii="Arial" w:cs="Arial" w:eastAsia="Arial" w:hAnsi="Arial"/>
          <w:sz w:val="22"/>
          <w:szCs w:val="22"/>
        </w:rPr>
        <w:t xml:space="preserve"> El Manifiesto Ágil (Beck et al., 2001) prioriza software funcionando, colaboración con el cliente y respuesta ante el cambio, y la Guía de Scrum (Schwaber &amp; Sutherland, 2020) lo operacionaliza con un equipo pequeño (Scrum Master, Product Owner y desarrolladores) y eventos de duración fija. Kuhrmann et al. (2022), con una encuesta internacional, hallan que menos del 15 % de los participantes opera de forma puramente ágil o puramente tradicional y que la elección de prácticas pesa más que el método en el grado de agilidad. Por eso describir el proceso por sus prácticas (entrega temprana, iteraciones) es más honesto que adoptar la etiqueta Scrum, y la propia guía advierte que alterar su núcleo oculta problemas. En un proyecto de una sola persona sin los roles del marco, los principios son pertinentes y el marco completo no.</w:t>
      </w:r>
    </w:p>
    <w:p>
      <w:r>
        <w:rPr>
          <w:rFonts w:ascii="Arial" w:cs="Arial" w:eastAsia="Arial" w:hAnsi="Arial"/>
          <w:b/>
          <w:bCs/>
          <w:sz w:val="22"/>
          <w:szCs w:val="22"/>
        </w:rPr>
        <w:t xml:space="preserve">Design Thinking.</w:t>
      </w:r>
      <w:r>
        <w:rPr>
          <w:rFonts w:ascii="Arial" w:cs="Arial" w:eastAsia="Arial" w:hAnsi="Arial"/>
          <w:sz w:val="22"/>
          <w:szCs w:val="22"/>
        </w:rPr>
        <w:t xml:space="preserve"> La guía lo toma de la d.school de Stanford. Parizi et al. (2022), en un mapeo de 127 trabajos, identifican 3 estrategias de integración en el desarrollo de software, 16 modelos y 85 técnicas, y señalan que su uso es difícil por la falta de formación en diseño y por la cantidad de modelos y técnicas. Para este proyecto es pertinente en las etapas que no dependen de usuarios (definir el problema y prototipar mediante mockups); empatizar y probar exigen usuarios reales que aún no participaron, de modo que no puede afirmarse que se aplicó.</w:t>
      </w:r>
    </w:p>
    <w:p>
      <w:r>
        <w:rPr>
          <w:rFonts w:ascii="Arial" w:cs="Arial" w:eastAsia="Arial" w:hAnsi="Arial"/>
          <w:b/>
          <w:bCs/>
          <w:sz w:val="22"/>
          <w:szCs w:val="22"/>
        </w:rPr>
        <w:t xml:space="preserve">Arquitectura y modelo C4.</w:t>
      </w:r>
      <w:r>
        <w:rPr>
          <w:rFonts w:ascii="Arial" w:cs="Arial" w:eastAsia="Arial" w:hAnsi="Arial"/>
          <w:sz w:val="22"/>
          <w:szCs w:val="22"/>
        </w:rPr>
        <w:t xml:space="preserve"> Bass et al. (2003) son el referente de arquitectura de software de la guía. El modelo C4 (Brown, s. f.) describe la arquitectura en cuatro niveles (sistemas, contenedores, componentes y código), independientes de notación y herramienta. Esa neutralidad y el zoom progresivo lo hacen apropiado para comunicar una arquitectura modular a audiencias distintas, y es el que adopta la Metodología. Su soporte en el pool es solo la documentación del autor, por lo que se asume por su utilidad comunicativa y no por evidencia comparada.</w:t>
      </w:r>
    </w:p>
    <w:p>
      <w:r>
        <w:rPr>
          <w:rFonts w:ascii="Arial" w:cs="Arial" w:eastAsia="Arial" w:hAnsi="Arial"/>
          <w:b/>
          <w:bCs/>
          <w:sz w:val="22"/>
          <w:szCs w:val="22"/>
        </w:rPr>
        <w:t xml:space="preserve">Especificación de requisitos.</w:t>
      </w:r>
      <w:r>
        <w:rPr>
          <w:rFonts w:ascii="Arial" w:cs="Arial" w:eastAsia="Arial" w:hAnsi="Arial"/>
          <w:sz w:val="22"/>
          <w:szCs w:val="22"/>
        </w:rPr>
        <w:t xml:space="preserve"> La ISO/IEC/IEEE 29148 (2018) se describió en 4.8. En desarrollo incremental, la documentación de requisitos debe mantenerse en paralelo con el diseño para no quedar desactualizada.</w:t>
      </w:r>
    </w:p>
    <w:p>
      <w:pPr>
        <w:keepNext/>
        <w:spacing w:after="0" w:before="120"/>
        <w:jc w:val="left"/>
      </w:pPr>
      <w:r>
        <w:rPr>
          <w:rFonts w:ascii="Arial" w:cs="Arial" w:eastAsia="Arial" w:hAnsi="Arial"/>
          <w:b/>
          <w:bCs/>
          <w:sz w:val="22"/>
          <w:szCs w:val="22"/>
        </w:rPr>
        <w:t xml:space="preserve">Tabla 3</w:t>
      </w:r>
    </w:p>
    <w:p>
      <w:pPr>
        <w:keepNext/>
        <w:spacing w:after="60"/>
        <w:jc w:val="left"/>
      </w:pPr>
      <w:r>
        <w:rPr>
          <w:rFonts w:ascii="Arial" w:cs="Arial" w:eastAsia="Arial" w:hAnsi="Arial"/>
          <w:i/>
          <w:iCs/>
          <w:sz w:val="22"/>
          <w:szCs w:val="22"/>
        </w:rPr>
        <w:t xml:space="preserve">Evaluación de los enfoques de la guía según su pertinencia para CMEDriver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6"/>
        <w:gridCol w:w="2446"/>
        <w:gridCol w:w="2446"/>
        <w:gridCol w:w="2022"/>
      </w:tblGrid>
      <w:tr>
        <w:trPr>
          <w:cantSplit/>
          <w:tblHeader/>
        </w:trPr>
        <w:tc>
          <w:tcPr>
            <w:tcW w:type="dxa" w:w="244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Enfoque</w:t>
            </w:r>
          </w:p>
        </w:tc>
        <w:tc>
          <w:tcPr>
            <w:tcW w:type="dxa" w:w="244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Qué aporta</w:t>
            </w:r>
          </w:p>
        </w:tc>
        <w:tc>
          <w:tcPr>
            <w:tcW w:type="dxa" w:w="244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Limitación para este proyecto</w:t>
            </w:r>
          </w:p>
        </w:tc>
        <w:tc>
          <w:tcPr>
            <w:tcW w:type="dxa" w:w="202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Pertinencia</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Ingeniería de software (Sommerville, 2005)</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Marco general del ciclo de desarrollo</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Texto no consultado</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Marco de referencia</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Arquitectura (Bass et al., 2003)</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Fundamento de decisiones arquitectónicas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Texto no consultado</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Alta, por el Objetivo 2</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Ágil y Scrum (Beck et al., 2001; Schwaber &amp; Sutherland, 2020)</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Iteración, software funcionando, cambio</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Scrum presupone equipo y roles que no existieron</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Principios sí; marco completo no</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Design Thinking (Parizi et al., 2022)</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Definir y prototipar a partir de usuarios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Requiere usuarios reales; muchas técnicas</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Parcial</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Modelo C4 (Brown, s. f.)</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Comunicar arquitectura por niveles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Poca evidencia empírica en el pool</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Alta, para comunicar</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ISO/IEC/IEEE 29148 (2018)</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Estructura de requisitos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Norma de pago no leída</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Alta, como guía de contenido</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las fuentes citadas.</w:t>
      </w:r>
    </w:p>
    <w:p>
      <w:r>
        <w:rPr>
          <w:rFonts w:ascii="Arial" w:cs="Arial" w:eastAsia="Arial" w:hAnsi="Arial"/>
          <w:sz w:val="22"/>
          <w:szCs w:val="22"/>
        </w:rPr>
        <w:t xml:space="preserve">El subtítulo respalda los Objetivos 2 y 4 y anticipa la justificación de la Metodología: un desarrollo incremental por prototipos con iteraciones de inspiración ágil, sin Scrum completo.</w:t>
      </w:r>
    </w:p>
    <w:p>
      <w:pPr>
        <w:pStyle w:val="Ttulo2"/>
        <w:keepNext/>
      </w:pPr>
      <w:r>
        <w:t xml:space="preserve">4.10 Síntesis y vacíos identificados</w:t>
      </w:r>
    </w:p>
    <w:p>
      <w:r>
        <w:rPr>
          <w:rFonts w:ascii="Arial" w:cs="Arial" w:eastAsia="Arial" w:hAnsi="Arial"/>
          <w:sz w:val="22"/>
          <w:szCs w:val="22"/>
        </w:rPr>
        <w:t xml:space="preserve">La teoría revisada converge en tres argumentos que sostienen el diseño de CMEDriver. Primero, la última milla es un problema de coordinación y de información además de logístico (Mohammad et al., 2023; Restrepo-Betancur et al., 2026), por lo que una plataforma integrada puede mejorar la visibilidad, no la informalidad estructural. Segundo, una arquitectura modular orientada a API con comunicación en tiempo real es coherente con el principio API-first y las reglas de diseño REST (Beaulieu et al., 2022; Bogner et al., 2023), con el monolito modular para un sistema pequeño (Al-Qora’n &amp; Al-Said Ahmad, 2025) y con WebSocket para la comunicación bidireccional (Gracia Orejuela et al., 2024), siempre que la autorización por rol y por objeto resida en el backend (OWASP API Security Project, 2023). Tercero, los datos de ubicación, firma, foto y chat convierten la privacidad y la evidencia en requisitos de diseño (Randerath &amp; Friedrich, 2025; Madhwal et al., 2022; Ley 1581 de 2012).</w:t>
      </w:r>
    </w:p>
    <w:p>
      <w:r>
        <w:rPr>
          <w:rFonts w:ascii="Arial" w:cs="Arial" w:eastAsia="Arial" w:hAnsi="Arial"/>
          <w:sz w:val="22"/>
          <w:szCs w:val="22"/>
        </w:rPr>
        <w:t xml:space="preserve">Con la literatura revisada no se resuelven, y por eso se declaran como vacíos, los siguientes puntos. No hay cifras colombianas de entregas fallidas ni del costo de la última milla por envío. No hay evidencia sobre el efecto de la foto y la firma de entrega ni sobre el valor probatorio de la firma capturada en pantalla. Falta comparación empírica entre monolito modular y microservicios en sistemas pequeños, entre aplicaciones híbridas y nativas en logística y entre alternativas de comunicación en tiempo real en redes móviles. No se halló evidencia sobre la calidad de la geocodificación abierta en direcciones colombianas ni sobre heurísticas simples en ruteo de mensajería (Jazemi et al., 2023; Pérez &amp; Aybar, 2024, aportan solo el contexto y un caso europeo). Tampoco hay estudios sobre el efecto de un chat directo entre cliente y mensajero en la coordinación de la entrega ni sobre la disposición de los clientes colombianos a agendar sus recolecciones (Souza et al., 2022, aporta solo un caso brasileño).</w:t>
      </w:r>
    </w:p>
    <w:p>
      <w:r>
        <w:rPr>
          <w:rFonts w:ascii="Arial" w:cs="Arial" w:eastAsia="Arial" w:hAnsi="Arial"/>
          <w:sz w:val="22"/>
          <w:szCs w:val="22"/>
        </w:rPr>
        <w:t xml:space="preserve">Estos vacíos orientan el Objetivo 4: el protocolo de validación deberá medir en el campo lo que aquí solo es supuesto, con criterios de seguridad, privacidad, usabilidad y rendimiento y con usuarios reales de los cuatro roles de Logytech Mobile, sujeto a su autorización.</w:t>
      </w:r>
    </w:p>
    <w:p>
      <w:pPr>
        <w:pStyle w:val="Ttulo1"/>
        <w:keepNext/>
        <w:pageBreakBefore/>
      </w:pPr>
      <w:r>
        <w:t xml:space="preserve">5. Metodología</w:t>
      </w:r>
    </w:p>
    <w:p>
      <w:r>
        <w:rPr>
          <w:rFonts w:ascii="Arial" w:cs="Arial" w:eastAsia="Arial" w:hAnsi="Arial"/>
          <w:sz w:val="22"/>
          <w:szCs w:val="22"/>
        </w:rPr>
        <w:t xml:space="preserve">Este capítulo retoma, sin replantearlos, el problema, la pregunta y los cuatro objetivos específicos de la sección 3.3 y explica cómo se estudió y construyó CMEDriver, distinguiendo lo implementado, lo simulado y lo planificado para Trabajo de Grado, donde Logytech Mobile es la organización de aplicación.</w:t>
      </w:r>
    </w:p>
    <w:p>
      <w:pPr>
        <w:pStyle w:val="Ttulo2"/>
        <w:keepNext/>
      </w:pPr>
      <w:r>
        <w:t xml:space="preserve">5.1 Enfoque, tipo y diseño de la investigación</w:t>
      </w:r>
    </w:p>
    <w:p>
      <w:r>
        <w:rPr>
          <w:rFonts w:ascii="Arial" w:cs="Arial" w:eastAsia="Arial" w:hAnsi="Arial"/>
          <w:sz w:val="22"/>
          <w:szCs w:val="22"/>
        </w:rPr>
        <w:t xml:space="preserve">La pregunta de investigación es de diseño y no de medición: indaga cómo integrar, en una plataforma orientada a API, la operación de mensajería, el seguimiento en tiempo real, la evidencia digital y el chat entre cliente y mensajero. Por eso el estudio es </w:t>
      </w:r>
      <w:r>
        <w:rPr>
          <w:rFonts w:ascii="Arial" w:cs="Arial" w:eastAsia="Arial" w:hAnsi="Arial"/>
          <w:b/>
          <w:bCs/>
          <w:sz w:val="22"/>
          <w:szCs w:val="22"/>
        </w:rPr>
        <w:t xml:space="preserve">investigación aplicada de desarrollo tecnológico</w:t>
      </w:r>
      <w:r>
        <w:rPr>
          <w:rFonts w:ascii="Arial" w:cs="Arial" w:eastAsia="Arial" w:hAnsi="Arial"/>
          <w:sz w:val="22"/>
          <w:szCs w:val="22"/>
        </w:rPr>
        <w:t xml:space="preserve">, guiada por Design Science Research (DSR), que genera conocimiento al construir un artefacto (Peffers et al., 2007): el problema y los requisitos corresponden al Objetivo 1; el diseño y el desarrollo, a los Objetivos 2 y 3; la demostración, a pruebas automatizadas y recorridos con roles simulados, que no son evaluación empírica; la evaluación, solo al protocolo del Objetivo 4, aún sin ejecutar; y la comunicación, a este documento.</w:t>
      </w:r>
    </w:p>
    <w:p>
      <w:r>
        <w:rPr>
          <w:rFonts w:ascii="Arial" w:cs="Arial" w:eastAsia="Arial" w:hAnsi="Arial"/>
          <w:sz w:val="22"/>
          <w:szCs w:val="22"/>
        </w:rPr>
        <w:t xml:space="preserve">El enfoque es </w:t>
      </w:r>
      <w:r>
        <w:rPr>
          <w:rFonts w:ascii="Arial" w:cs="Arial" w:eastAsia="Arial" w:hAnsi="Arial"/>
          <w:b/>
          <w:bCs/>
          <w:sz w:val="22"/>
          <w:szCs w:val="22"/>
        </w:rPr>
        <w:t xml:space="preserve">cualitativo-descriptivo en esta etapa</w:t>
      </w:r>
      <w:r>
        <w:rPr>
          <w:rFonts w:ascii="Arial" w:cs="Arial" w:eastAsia="Arial" w:hAnsi="Arial"/>
          <w:sz w:val="22"/>
          <w:szCs w:val="22"/>
        </w:rPr>
        <w:t xml:space="preserve">. Siguiendo la postura pragmática de Hernández-Sampieri y Mendoza Torres (2018), el problema determina el método: sin datos de usuarios reales no hay variables que medir ni hipótesis causales, y afirmar mejoras sería infundado, por lo que se descarta por ahora la ruta cuantitativa. La ruta será </w:t>
      </w:r>
      <w:r>
        <w:rPr>
          <w:rFonts w:ascii="Arial" w:cs="Arial" w:eastAsia="Arial" w:hAnsi="Arial"/>
          <w:b/>
          <w:bCs/>
          <w:sz w:val="22"/>
          <w:szCs w:val="22"/>
        </w:rPr>
        <w:t xml:space="preserve">mixta</w:t>
      </w:r>
      <w:r>
        <w:rPr>
          <w:rFonts w:ascii="Arial" w:cs="Arial" w:eastAsia="Arial" w:hAnsi="Arial"/>
          <w:sz w:val="22"/>
          <w:szCs w:val="22"/>
        </w:rPr>
        <w:t xml:space="preserve"> en Trabajo de Grado (entrevistas y observación; listas de chequeo y escalas de percepción). La </w:t>
      </w:r>
      <w:r>
        <w:rPr>
          <w:rFonts w:ascii="Arial" w:cs="Arial" w:eastAsia="Arial" w:hAnsi="Arial"/>
          <w:b/>
          <w:bCs/>
          <w:sz w:val="22"/>
          <w:szCs w:val="22"/>
        </w:rPr>
        <w:t xml:space="preserve">naturaleza</w:t>
      </w:r>
      <w:r>
        <w:rPr>
          <w:rFonts w:ascii="Arial" w:cs="Arial" w:eastAsia="Arial" w:hAnsi="Arial"/>
          <w:sz w:val="22"/>
          <w:szCs w:val="22"/>
        </w:rPr>
        <w:t xml:space="preserve"> es descriptiva y de desarrollo, y el </w:t>
      </w:r>
      <w:r>
        <w:rPr>
          <w:rFonts w:ascii="Arial" w:cs="Arial" w:eastAsia="Arial" w:hAnsi="Arial"/>
          <w:b/>
          <w:bCs/>
          <w:sz w:val="22"/>
          <w:szCs w:val="22"/>
        </w:rPr>
        <w:t xml:space="preserve">diseño</w:t>
      </w:r>
      <w:r>
        <w:rPr>
          <w:rFonts w:ascii="Arial" w:cs="Arial" w:eastAsia="Arial" w:hAnsi="Arial"/>
          <w:sz w:val="22"/>
          <w:szCs w:val="22"/>
        </w:rPr>
        <w:t xml:space="preserve">, de ciclos iterativos de construcción con evaluación diferida, sin alcance para comprobar causalidad.</w:t>
      </w:r>
    </w:p>
    <w:p>
      <w:pPr>
        <w:pStyle w:val="Ttulo2"/>
        <w:keepNext/>
      </w:pPr>
      <w:r>
        <w:t xml:space="preserve">5.2 Población, usuarios, técnicas e instrumentos</w:t>
      </w:r>
    </w:p>
    <w:p>
      <w:r>
        <w:rPr>
          <w:rFonts w:ascii="Arial" w:cs="Arial" w:eastAsia="Arial" w:hAnsi="Arial"/>
          <w:sz w:val="22"/>
          <w:szCs w:val="22"/>
        </w:rPr>
        <w:t xml:space="preserve">En esta etapa no hay población ni muestra: la unidad de análisis es el </w:t>
      </w:r>
      <w:r>
        <w:rPr>
          <w:rFonts w:ascii="Arial" w:cs="Arial" w:eastAsia="Arial" w:hAnsi="Arial"/>
          <w:b/>
          <w:bCs/>
          <w:sz w:val="22"/>
          <w:szCs w:val="22"/>
        </w:rPr>
        <w:t xml:space="preserve">proceso de un servicio de mensajería</w:t>
      </w:r>
      <w:r>
        <w:rPr>
          <w:rFonts w:ascii="Arial" w:cs="Arial" w:eastAsia="Arial" w:hAnsi="Arial"/>
          <w:sz w:val="22"/>
          <w:szCs w:val="22"/>
        </w:rPr>
        <w:t xml:space="preserve">, las fuentes son la literatura y el análisis del dominio, y los cuatro roles fueron </w:t>
      </w:r>
      <w:r>
        <w:rPr>
          <w:rFonts w:ascii="Arial" w:cs="Arial" w:eastAsia="Arial" w:hAnsi="Arial"/>
          <w:b/>
          <w:bCs/>
          <w:sz w:val="22"/>
          <w:szCs w:val="22"/>
        </w:rPr>
        <w:t xml:space="preserve">simulados</w:t>
      </w:r>
      <w:r>
        <w:rPr>
          <w:rFonts w:ascii="Arial" w:cs="Arial" w:eastAsia="Arial" w:hAnsi="Arial"/>
          <w:sz w:val="22"/>
          <w:szCs w:val="22"/>
        </w:rPr>
        <w:t xml:space="preserve">. Para Trabajo de Grado se </w:t>
      </w:r>
      <w:r>
        <w:rPr>
          <w:rFonts w:ascii="Arial" w:cs="Arial" w:eastAsia="Arial" w:hAnsi="Arial"/>
          <w:b/>
          <w:bCs/>
          <w:sz w:val="22"/>
          <w:szCs w:val="22"/>
        </w:rPr>
        <w:t xml:space="preserve">diseña y planifica</w:t>
      </w:r>
      <w:r>
        <w:rPr>
          <w:rFonts w:ascii="Arial" w:cs="Arial" w:eastAsia="Arial" w:hAnsi="Arial"/>
          <w:sz w:val="22"/>
          <w:szCs w:val="22"/>
        </w:rPr>
        <w:t xml:space="preserve"> una población de personal administrativo y de alistamiento, motorizados y clientes de Logytech Mobile, sujeta a su autorización y con muestreo por conveniencia (resultados no generalizables); el número de participantes y el criterio de selección se definirán con la organización. La Tabla 4 separa los instrumentos usados de los planificados; </w:t>
      </w:r>
      <w:r>
        <w:rPr>
          <w:rFonts w:ascii="Arial" w:cs="Arial" w:eastAsia="Arial" w:hAnsi="Arial"/>
          <w:b/>
          <w:bCs/>
          <w:sz w:val="22"/>
          <w:szCs w:val="22"/>
        </w:rPr>
        <w:t xml:space="preserve">ninguno de los segundos se ha aplicado.</w:t>
      </w:r>
    </w:p>
    <w:p>
      <w:pPr>
        <w:keepNext/>
        <w:spacing w:after="0" w:before="120"/>
        <w:jc w:val="left"/>
      </w:pPr>
      <w:r>
        <w:rPr>
          <w:rFonts w:ascii="Arial" w:cs="Arial" w:eastAsia="Arial" w:hAnsi="Arial"/>
          <w:b/>
          <w:bCs/>
          <w:sz w:val="22"/>
          <w:szCs w:val="22"/>
        </w:rPr>
        <w:t xml:space="preserve">Tabla 4</w:t>
      </w:r>
    </w:p>
    <w:p>
      <w:pPr>
        <w:keepNext/>
        <w:spacing w:after="60"/>
        <w:jc w:val="left"/>
      </w:pPr>
      <w:r>
        <w:rPr>
          <w:rFonts w:ascii="Arial" w:cs="Arial" w:eastAsia="Arial" w:hAnsi="Arial"/>
          <w:i/>
          <w:iCs/>
          <w:sz w:val="22"/>
          <w:szCs w:val="22"/>
        </w:rPr>
        <w:t xml:space="preserve">Técnicas e instrumentos: usados y planificados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3"/>
        <w:gridCol w:w="2242"/>
        <w:gridCol w:w="2242"/>
        <w:gridCol w:w="2242"/>
        <w:gridCol w:w="831"/>
      </w:tblGrid>
      <w:tr>
        <w:trPr>
          <w:cantSplit/>
          <w:tblHeader/>
        </w:trPr>
        <w:tc>
          <w:tcPr>
            <w:tcW w:type="dxa" w:w="1803"/>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Técnica</w:t>
            </w:r>
          </w:p>
        </w:tc>
        <w:tc>
          <w:tcPr>
            <w:tcW w:type="dxa" w:w="224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Instrumento</w:t>
            </w:r>
          </w:p>
        </w:tc>
        <w:tc>
          <w:tcPr>
            <w:tcW w:type="dxa" w:w="224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Para qué sirve</w:t>
            </w:r>
          </w:p>
        </w:tc>
        <w:tc>
          <w:tcPr>
            <w:tcW w:type="dxa" w:w="224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Aplicado a</w:t>
            </w:r>
          </w:p>
        </w:tc>
        <w:tc>
          <w:tcPr>
            <w:tcW w:type="dxa" w:w="831"/>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Estado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Revisión documental</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Matriz de fuentes; fichas RF/RNF</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Caracterizar el problema y derivar requisitos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Literatura y dominio</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Usado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Modelado, prototipado y pruebas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Casos de uso, ER, C4, mockups; 72 pruebas automatizadas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Documentar, hacer tangibles y verificar los requisitos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Artefacto y código</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Usado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Entrevista y observación</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Guion semiestructurado; pauta de observación</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Validar requisitos y contrastar el flujo con la práctica</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Personal y motorizados de Logytech Mobile</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Planificado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Encuesta</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Cuestionario con escala de usabilidad</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Medir la percepción del seguimiento y del chat</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Clientes de Logytech Mobile</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Planificado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Prueba piloto</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Lista de chequeo de flujos centrales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Verificar que cada flujo se completa con usuarios reales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Los cuatro roles</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Planificado</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w:t>
      </w:r>
    </w:p>
    <w:p>
      <w:pPr>
        <w:pStyle w:val="Ttulo2"/>
        <w:keepNext/>
      </w:pPr>
      <w:r>
        <w:t xml:space="preserve">5.3 Herramientas, proceso de selección y arquitectura</w:t>
      </w:r>
    </w:p>
    <w:p>
      <w:r>
        <w:rPr>
          <w:rFonts w:ascii="Arial" w:cs="Arial" w:eastAsia="Arial" w:hAnsi="Arial"/>
          <w:sz w:val="22"/>
          <w:szCs w:val="22"/>
        </w:rPr>
        <w:t xml:space="preserve">La selección siguió cuatro pasos: listar las capacidades que exigen los objetivos, identificar alternativas, puntuarlas con criterios explícitos (costo cero y sin credenciales, rapidez, soporte de los requisitos, evolución a producción y madurez) y registrar la decisión y la alternativa descartada (Tabla 5). Provienen de la documentación técnica del proyecto (Anexo A) y no de un estudio comparativo formal, lo que se reconoce como limitación.</w:t>
      </w:r>
    </w:p>
    <w:p>
      <w:pPr>
        <w:keepNext/>
        <w:spacing w:after="0" w:before="120"/>
        <w:jc w:val="left"/>
      </w:pPr>
      <w:r>
        <w:rPr>
          <w:rFonts w:ascii="Arial" w:cs="Arial" w:eastAsia="Arial" w:hAnsi="Arial"/>
          <w:b/>
          <w:bCs/>
          <w:sz w:val="22"/>
          <w:szCs w:val="22"/>
        </w:rPr>
        <w:t xml:space="preserve">Tabla 5</w:t>
      </w:r>
    </w:p>
    <w:p>
      <w:pPr>
        <w:keepNext/>
        <w:spacing w:after="60"/>
        <w:jc w:val="left"/>
      </w:pPr>
      <w:r>
        <w:rPr>
          <w:rFonts w:ascii="Arial" w:cs="Arial" w:eastAsia="Arial" w:hAnsi="Arial"/>
          <w:i/>
          <w:iCs/>
          <w:sz w:val="22"/>
          <w:szCs w:val="22"/>
        </w:rPr>
        <w:t xml:space="preserve">Selección de herramientas y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1"/>
        <w:gridCol w:w="2777"/>
        <w:gridCol w:w="2053"/>
        <w:gridCol w:w="2779"/>
      </w:tblGrid>
      <w:tr>
        <w:trPr>
          <w:cantSplit/>
          <w:tblHeader/>
        </w:trPr>
        <w:tc>
          <w:tcPr>
            <w:tcW w:type="dxa" w:w="1751"/>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Capa</w:t>
            </w:r>
          </w:p>
        </w:tc>
        <w:tc>
          <w:tcPr>
            <w:tcW w:type="dxa" w:w="2777"/>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Seleccionada</w:t>
            </w:r>
          </w:p>
        </w:tc>
        <w:tc>
          <w:tcPr>
            <w:tcW w:type="dxa" w:w="2053"/>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Alternativa considerada</w:t>
            </w:r>
          </w:p>
        </w:tc>
        <w:tc>
          <w:tcPr>
            <w:tcW w:type="dxa" w:w="277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Criterio decisivo</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Backend y autenticación</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Django y DRF; JWT y API Key propia</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FastAPI; OAuth2 completo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ORM, administración y autenticación integrados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Tiempo real</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Channels y Daphne, con respaldo a sondeo</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Solo sondeo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Difusión push de GPS y chat; el respaldo da resiliencia</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Base de datos</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SQLite (desarrollo); PostgreSQL (propuesta)</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PostgreSQL desde el inicio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Cero configuración; mismo ORM después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Frontend y empaquetado</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Angular e Ionic; Capacitor</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Aplicaciones por rol; nativo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Un código para cuatro roles; Android sin verificar</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Mapas y geocodificación</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Leaflet, OpenStreetMap y Nominatim</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Google Maps Platform</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Sin llave ni facturación; una solicitud por segundo</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Correo</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Backend de consola de Django (</w:t>
            </w:r>
            <w:r>
              <w:rPr>
                <w:rFonts w:ascii="Arial" w:cs="Arial" w:eastAsia="Arial" w:hAnsi="Arial"/>
                <w:b/>
                <w:bCs/>
                <w:sz w:val="18"/>
                <w:szCs w:val="18"/>
              </w:rPr>
              <w:t xml:space="preserve">simulado</w:t>
            </w:r>
            <w:r>
              <w:rPr>
                <w:rFonts w:ascii="Arial" w:cs="Arial" w:eastAsia="Arial" w:hAnsi="Arial"/>
                <w:b w:val="false"/>
                <w:bCs w:val="false"/>
                <w:sz w:val="18"/>
                <w:szCs w:val="18"/>
              </w:rPr>
              <w:t xml:space="preserve">)</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Proveedor transaccional</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Sin cuenta ni credenciales</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 documentación técnica del proyecto (Anexo A).</w:t>
      </w:r>
    </w:p>
    <w:p>
      <w:r>
        <w:rPr>
          <w:rFonts w:ascii="Arial" w:cs="Arial" w:eastAsia="Arial" w:hAnsi="Arial"/>
          <w:sz w:val="22"/>
          <w:szCs w:val="22"/>
        </w:rPr>
        <w:t xml:space="preserve">La arquitectura es </w:t>
      </w:r>
      <w:r>
        <w:rPr>
          <w:rFonts w:ascii="Arial" w:cs="Arial" w:eastAsia="Arial" w:hAnsi="Arial"/>
          <w:b/>
          <w:bCs/>
          <w:sz w:val="22"/>
          <w:szCs w:val="22"/>
        </w:rPr>
        <w:t xml:space="preserve">modular y orientada a API</w:t>
      </w:r>
      <w:r>
        <w:rPr>
          <w:rFonts w:ascii="Arial" w:cs="Arial" w:eastAsia="Arial" w:hAnsi="Arial"/>
          <w:sz w:val="22"/>
          <w:szCs w:val="22"/>
        </w:rPr>
        <w:t xml:space="preserve">: seis aplicaciones de dominio (cuentas, cobertura, servicios, seguimiento, optimización e integraciones) en un backend único con 12 entidades, documentada con el modelo C4 (Brown, s. f.); la Figura 1 resume el nivel de contenedores. La aplicación Ionic y Angular consume la API REST con JWT y recibe posiciones y mensajes por WebSocket; el chat admite solo al cliente propietario del servicio y al motorizado asignado, lo que verifican pruebas automatizadas. Los sistemas externos usan API Key y reciben webhooks firmados con HMAC.</w:t>
      </w:r>
    </w:p>
    <w:p>
      <w:pPr>
        <w:keepNext/>
        <w:spacing w:after="0" w:before="120"/>
        <w:jc w:val="left"/>
      </w:pPr>
      <w:r>
        <w:rPr>
          <w:rFonts w:ascii="Arial" w:cs="Arial" w:eastAsia="Arial" w:hAnsi="Arial"/>
          <w:b/>
          <w:bCs/>
          <w:sz w:val="22"/>
          <w:szCs w:val="22"/>
        </w:rPr>
        <w:t xml:space="preserve">Figura 1</w:t>
      </w:r>
    </w:p>
    <w:p>
      <w:pPr>
        <w:keepNext/>
        <w:spacing w:after="60"/>
        <w:jc w:val="left"/>
      </w:pPr>
      <w:r>
        <w:rPr>
          <w:rFonts w:ascii="Arial" w:cs="Arial" w:eastAsia="Arial" w:hAnsi="Arial"/>
          <w:i/>
          <w:iCs/>
          <w:sz w:val="22"/>
          <w:szCs w:val="22"/>
        </w:rPr>
        <w:t xml:space="preserve">Diagrama C4 resumido, nivel de contenedores de CMEDriver</w:t>
      </w:r>
    </w:p>
    <w:p>
      <w:pPr>
        <w:spacing w:line="240"/>
        <w:jc w:val="center"/>
      </w:pPr>
      <w:r>
        <w:drawing>
          <wp:inline distT="0" distB="0" distL="0" distR="0">
            <wp:extent cx="5143500" cy="1800225"/>
            <wp:effectExtent t="0" r="0" b="0" l="0"/>
            <wp:docPr id="1" name="fig" descr="Diagrama C4 resumido de contenedores de CMEDriver: usuarios, aplicación Ionic y Angular, API REST Django y servicio de tiempo real en el servidor Daphne, base de datos, almacenamiento de evidencias y sistemas externo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00225"/>
                    </a:xfrm>
                    <a:prstGeom prst="rect">
                      <a:avLst/>
                    </a:prstGeom>
                  </pic:spPr>
                </pic:pic>
              </a:graphicData>
            </a:graphic>
          </wp:inline>
        </w:drawing>
      </w: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El diagrama completo y los demás niveles están en el Anexo A.</w:t>
      </w:r>
    </w:p>
    <w:p>
      <w:r>
        <w:rPr>
          <w:rFonts w:ascii="Arial" w:cs="Arial" w:eastAsia="Arial" w:hAnsi="Arial"/>
          <w:b/>
          <w:bCs/>
          <w:sz w:val="22"/>
          <w:szCs w:val="22"/>
        </w:rPr>
        <w:t xml:space="preserve">Lo que se simula</w:t>
      </w:r>
      <w:r>
        <w:rPr>
          <w:rFonts w:ascii="Arial" w:cs="Arial" w:eastAsia="Arial" w:hAnsi="Arial"/>
          <w:sz w:val="22"/>
          <w:szCs w:val="22"/>
        </w:rPr>
        <w:t xml:space="preserve"> es poco: los usuarios, de prueba, y, en desarrollo, el correo de restablecimiento, que se imprime en consola. Lo demás se ejecuta de verdad, pero en desarrollo: el sistema no está desplegado.</w:t>
      </w:r>
    </w:p>
    <w:p>
      <w:pPr>
        <w:pStyle w:val="Ttulo2"/>
        <w:keepNext/>
      </w:pPr>
      <w:r>
        <w:t xml:space="preserve">5.4 Metodología de desarrollo</w:t>
      </w:r>
    </w:p>
    <w:p>
      <w:r>
        <w:rPr>
          <w:rFonts w:ascii="Arial" w:cs="Arial" w:eastAsia="Arial" w:hAnsi="Arial"/>
          <w:sz w:val="22"/>
          <w:szCs w:val="22"/>
        </w:rPr>
        <w:t xml:space="preserve">Frente a las tres familias de procesos de la guía de la asignatura, la cascada se descartó porque los requisitos cambian y no hay un cliente real que los fije; Scrum exige roles y equipo (Schwaber &amp; Sutherland, 2020) y trabajó una persona con asesoría docente, por lo que se adoptaron sus prácticas pero no el marco; y se eligió el desarrollo </w:t>
      </w:r>
      <w:r>
        <w:rPr>
          <w:rFonts w:ascii="Arial" w:cs="Arial" w:eastAsia="Arial" w:hAnsi="Arial"/>
          <w:b/>
          <w:bCs/>
          <w:sz w:val="22"/>
          <w:szCs w:val="22"/>
        </w:rPr>
        <w:t xml:space="preserve">por prototipos</w:t>
      </w:r>
      <w:r>
        <w:rPr>
          <w:rFonts w:ascii="Arial" w:cs="Arial" w:eastAsia="Arial" w:hAnsi="Arial"/>
          <w:sz w:val="22"/>
          <w:szCs w:val="22"/>
        </w:rPr>
        <w:t xml:space="preserve">, con documentación en paralelo para mitigar su riesgo de documentación escasa.</w:t>
      </w:r>
    </w:p>
    <w:p>
      <w:r>
        <w:rPr>
          <w:rFonts w:ascii="Arial" w:cs="Arial" w:eastAsia="Arial" w:hAnsi="Arial"/>
          <w:sz w:val="22"/>
          <w:szCs w:val="22"/>
        </w:rPr>
        <w:t xml:space="preserve">El desarrollo fue </w:t>
      </w:r>
      <w:r>
        <w:rPr>
          <w:rFonts w:ascii="Arial" w:cs="Arial" w:eastAsia="Arial" w:hAnsi="Arial"/>
          <w:b/>
          <w:bCs/>
          <w:sz w:val="22"/>
          <w:szCs w:val="22"/>
        </w:rPr>
        <w:t xml:space="preserve">incremental por prototipos, con iteraciones de inspiración ágil</w:t>
      </w:r>
      <w:r>
        <w:rPr>
          <w:rFonts w:ascii="Arial" w:cs="Arial" w:eastAsia="Arial" w:hAnsi="Arial"/>
          <w:sz w:val="22"/>
          <w:szCs w:val="22"/>
        </w:rPr>
        <w:t xml:space="preserve">: se entregó software funcionando por fases (núcleo con roles, servicios y evidencia; tiempo real y planificación de recolecciones; optimización de rutas, claves de API y webhooks) y se aceptaron cambios entre fases, como el ajuste de alcance de octubre de 2026 (sección 3.5). </w:t>
      </w:r>
      <w:r>
        <w:rPr>
          <w:rFonts w:ascii="Arial" w:cs="Arial" w:eastAsia="Arial" w:hAnsi="Arial"/>
          <w:b/>
          <w:bCs/>
          <w:sz w:val="22"/>
          <w:szCs w:val="22"/>
        </w:rPr>
        <w:t xml:space="preserve">No se aplicó Scrum completo</w:t>
      </w:r>
      <w:r>
        <w:rPr>
          <w:rFonts w:ascii="Arial" w:cs="Arial" w:eastAsia="Arial" w:hAnsi="Arial"/>
          <w:sz w:val="22"/>
          <w:szCs w:val="22"/>
        </w:rPr>
        <w:t xml:space="preserve">: no hubo roles diferenciados ni sprints formales. Las etapas son MVP y versión 2 (realizadas), Entrega 3 con avance de resultados y, en Trabajo de Grado, validación con usuarios, pruebas definitivas y despliegue.</w:t>
      </w:r>
    </w:p>
    <w:p>
      <w:pPr>
        <w:pStyle w:val="Ttulo2"/>
        <w:keepNext/>
      </w:pPr>
      <w:r>
        <w:t xml:space="preserve">5.5 Actividad 3: síntesis metodológica</w:t>
      </w:r>
    </w:p>
    <w:p>
      <w:pPr>
        <w:keepNext/>
        <w:spacing w:after="0" w:before="120"/>
        <w:jc w:val="left"/>
      </w:pPr>
      <w:r>
        <w:rPr>
          <w:rFonts w:ascii="Arial" w:cs="Arial" w:eastAsia="Arial" w:hAnsi="Arial"/>
          <w:b/>
          <w:bCs/>
          <w:sz w:val="22"/>
          <w:szCs w:val="22"/>
        </w:rPr>
        <w:t xml:space="preserve">Tabla 6</w:t>
      </w:r>
    </w:p>
    <w:p>
      <w:pPr>
        <w:keepNext/>
        <w:spacing w:after="60"/>
        <w:jc w:val="left"/>
      </w:pPr>
      <w:r>
        <w:rPr>
          <w:rFonts w:ascii="Arial" w:cs="Arial" w:eastAsia="Arial" w:hAnsi="Arial"/>
          <w:i/>
          <w:iCs/>
          <w:sz w:val="22"/>
          <w:szCs w:val="22"/>
        </w:rPr>
        <w:t xml:space="preserve">Tipo de investigación, metodología, herramientas y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Tipo de investigación</w:t>
            </w:r>
          </w:p>
        </w:tc>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Metodología de desarrollo</w:t>
            </w:r>
          </w:p>
        </w:tc>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Herramientas y tecnologías</w:t>
            </w:r>
          </w:p>
        </w:tc>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Arquitectura propuesta</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Aplicada (DSR), cualitativo-descriptivo; mixta en Trabajo de Grado</w:t>
            </w:r>
          </w:p>
        </w:tc>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Incremental por prototipos con iteraciones de inspiración ágil</w:t>
            </w:r>
          </w:p>
        </w:tc>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Django y DRF, Channels, Angular e Ionic, SQLite y PostgreSQL, Leaflet y Nominatim</w:t>
            </w:r>
          </w:p>
        </w:tc>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Modular orientada a API (REST, WebSocket y webhooks), documentada con C4</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w:t>
      </w:r>
    </w:p>
    <w:p>
      <w:pPr>
        <w:pStyle w:val="Ttulo2"/>
        <w:keepNext/>
      </w:pPr>
      <w:r>
        <w:t xml:space="preserve">5.6 Coherencia con la Entrega 1</w:t>
      </w:r>
    </w:p>
    <w:p>
      <w:pPr>
        <w:keepNext/>
        <w:spacing w:after="0" w:before="120"/>
        <w:jc w:val="left"/>
      </w:pPr>
      <w:r>
        <w:rPr>
          <w:rFonts w:ascii="Arial" w:cs="Arial" w:eastAsia="Arial" w:hAnsi="Arial"/>
          <w:b/>
          <w:bCs/>
          <w:sz w:val="22"/>
          <w:szCs w:val="22"/>
        </w:rPr>
        <w:t xml:space="preserve">Tabla 7</w:t>
      </w:r>
    </w:p>
    <w:p>
      <w:pPr>
        <w:keepNext/>
        <w:spacing w:after="60"/>
        <w:jc w:val="left"/>
      </w:pPr>
      <w:r>
        <w:rPr>
          <w:rFonts w:ascii="Arial" w:cs="Arial" w:eastAsia="Arial" w:hAnsi="Arial"/>
          <w:i/>
          <w:iCs/>
          <w:sz w:val="22"/>
          <w:szCs w:val="22"/>
        </w:rPr>
        <w:t xml:space="preserve">Coherencia: objetivos específicos y decisiones que los respaldan (¿se logran?)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Objetivo específico (sección 3.3)</w:t>
            </w:r>
          </w:p>
        </w:tc>
        <w:tc>
          <w:tcPr>
            <w:tcW w:type="dxa" w:w="312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Decisión metodológica o arquitectónica</w:t>
            </w:r>
          </w:p>
        </w:tc>
        <w:tc>
          <w:tcPr>
            <w:tcW w:type="dxa" w:w="312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¿Se logra?</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1. Identificar problemas y derivar requerimientos</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Enfoque cualitativo; revisión documental y fichas RF/RNF</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Sí, con fuentes secundarias; contraste en Trabajo de Grado</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2. Diseñar y documentar la arquitectura y modelarla</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Seis aplicaciones y 12 entidades; REST, WebSocket y webhooks; UML, ER, C4 y mockups</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Sí</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3. Implementar el prototipo funcional temprano</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Incremental por prototipos; herramientas de la Tabla 5</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Sí, con 72 pruebas, usuarios simulados y Android sin verificar</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4. Formular el protocolo de validación</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Instrumentos de la Tabla 4; ruta mixta</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Se formula; se ejecuta en Trabajo de Grado</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w:t>
      </w:r>
    </w:p>
    <w:p>
      <w:pPr>
        <w:pStyle w:val="Ttulo2"/>
        <w:keepNext/>
      </w:pPr>
      <w:r>
        <w:t xml:space="preserve">5.7 Consideraciones éticas y declaración de uso de inteligencia artificial</w:t>
      </w:r>
    </w:p>
    <w:p>
      <w:r>
        <w:rPr>
          <w:rFonts w:ascii="Arial" w:cs="Arial" w:eastAsia="Arial" w:hAnsi="Arial"/>
          <w:sz w:val="22"/>
          <w:szCs w:val="22"/>
        </w:rPr>
        <w:t xml:space="preserve">CMEDriver trata datos personales (nombres, teléfonos, direcciones, GPS, fotos, firmas y chats), sujetos a la Ley 1581 de 2012. Hoy son datos de prueba; con personas reales se requerirán autorización informada, finalidad definida y medidas de seguridad. El software no se registrará ante la Dirección Nacional de Derecho de Autor en esta etapa, por ser un desarrollo para Logytech Mobile, con quien se definirá su titularidad (sección 4.8).</w:t>
      </w:r>
    </w:p>
    <w:p>
      <w:r>
        <w:rPr>
          <w:rFonts w:ascii="Arial" w:cs="Arial" w:eastAsia="Arial" w:hAnsi="Arial"/>
          <w:b/>
          <w:bCs/>
          <w:sz w:val="22"/>
          <w:szCs w:val="22"/>
        </w:rPr>
        <w:t xml:space="preserve">Declaración de uso de IA.</w:t>
      </w:r>
      <w:r>
        <w:rPr>
          <w:rFonts w:ascii="Arial" w:cs="Arial" w:eastAsia="Arial" w:hAnsi="Arial"/>
          <w:sz w:val="22"/>
          <w:szCs w:val="22"/>
        </w:rPr>
        <w:t xml:space="preserve"> Se empleó Claude (Anthropic, 2026) como asistente en cuatro actividades: borradores de este documento, búsqueda y verificación inicial de fuentes, documentación y diagramas técnicos, y modificación y prueba del código. El estudiante supervisó, editó y verificó el contenido y las fuentes; el asistente no sustituye su autoría ni su responsabilidad. El prototipo no incorpora ningún modelo de lenguaje en su ejecución.</w:t>
      </w:r>
    </w:p>
    <w:p w14:paraId="5862FC41" w14:textId="77777777" w:rsidR="00302310" w:rsidRPr="00385D2F" w:rsidRDefault="00000000">
      <w:pPr>
        <w:pStyle w:val="Ttulo1"/>
        <w:pageBreakBefore/>
        <w:rPr>
          <w:lang w:val="en-US"/>
        </w:rPr>
      </w:pPr>
      <w:r w:rsidRPr="00385D2F">
        <w:rPr>
          <w:lang w:val="en-US"/>
        </w:rPr>
        <w:lastRenderedPageBreak/>
        <w:t>7. Referencias</w:t>
      </w:r>
    </w:p>
    <w:p>
      <w:pPr>
        <w:spacing w:after="0"/>
        <w:ind w:left="720" w:hanging="720"/>
        <w:jc w:val="left"/>
      </w:pPr>
      <w:r>
        <w:rPr>
          <w:rFonts w:ascii="Arial" w:cs="Arial" w:eastAsia="Arial" w:hAnsi="Arial"/>
          <w:sz w:val="22"/>
          <w:szCs w:val="22"/>
        </w:rPr>
        <w:t xml:space="preserve">Al-Qora’n, L. F., &amp; Al-Said Ahmad, A. (2025). Modular monolith architecture in cloud environments: A systematic literature review. </w:t>
      </w:r>
      <w:r>
        <w:rPr>
          <w:rFonts w:ascii="Arial" w:cs="Arial" w:eastAsia="Arial" w:hAnsi="Arial"/>
          <w:i/>
          <w:iCs/>
          <w:sz w:val="22"/>
          <w:szCs w:val="22"/>
        </w:rPr>
        <w:t xml:space="preserve">Future Internet, 17</w:t>
      </w:r>
      <w:r>
        <w:rPr>
          <w:rFonts w:ascii="Arial" w:cs="Arial" w:eastAsia="Arial" w:hAnsi="Arial"/>
          <w:sz w:val="22"/>
          <w:szCs w:val="22"/>
        </w:rPr>
        <w:t xml:space="preserve">(11), Article 496. https://doi.org/10.3390/fi17110496</w:t>
      </w:r>
    </w:p>
    <w:p>
      <w:pPr>
        <w:spacing w:after="0"/>
        <w:ind w:left="720" w:hanging="720"/>
        <w:jc w:val="left"/>
      </w:pPr>
      <w:r>
        <w:rPr>
          <w:rFonts w:ascii="Arial" w:cs="Arial" w:eastAsia="Arial" w:hAnsi="Arial"/>
          <w:sz w:val="22"/>
          <w:szCs w:val="22"/>
        </w:rPr>
        <w:t xml:space="preserve">Anthropic. (2026). </w:t>
      </w:r>
      <w:r>
        <w:rPr>
          <w:rFonts w:ascii="Arial" w:cs="Arial" w:eastAsia="Arial" w:hAnsi="Arial"/>
          <w:i/>
          <w:iCs/>
          <w:sz w:val="22"/>
          <w:szCs w:val="22"/>
        </w:rPr>
        <w:t xml:space="preserve">Claude</w:t>
      </w:r>
      <w:r>
        <w:rPr>
          <w:rFonts w:ascii="Arial" w:cs="Arial" w:eastAsia="Arial" w:hAnsi="Arial"/>
          <w:sz w:val="22"/>
          <w:szCs w:val="22"/>
        </w:rPr>
        <w:t xml:space="preserve"> [Modelo de lenguaje grande]. https://claude.ai/</w:t>
      </w:r>
    </w:p>
    <w:p>
      <w:pPr>
        <w:spacing w:after="0"/>
        <w:ind w:left="720" w:hanging="720"/>
        <w:jc w:val="left"/>
      </w:pPr>
      <w:r>
        <w:rPr>
          <w:rFonts w:ascii="Arial" w:cs="Arial" w:eastAsia="Arial" w:hAnsi="Arial"/>
          <w:sz w:val="22"/>
          <w:szCs w:val="22"/>
        </w:rPr>
        <w:t xml:space="preserve">Bass, L., Clements, P., &amp; Kazman, R. (2003). </w:t>
      </w:r>
      <w:r>
        <w:rPr>
          <w:rFonts w:ascii="Arial" w:cs="Arial" w:eastAsia="Arial" w:hAnsi="Arial"/>
          <w:i/>
          <w:iCs/>
          <w:sz w:val="22"/>
          <w:szCs w:val="22"/>
        </w:rPr>
        <w:t xml:space="preserve">Software architecture in practice</w:t>
      </w:r>
      <w:r>
        <w:rPr>
          <w:rFonts w:ascii="Arial" w:cs="Arial" w:eastAsia="Arial" w:hAnsi="Arial"/>
          <w:sz w:val="22"/>
          <w:szCs w:val="22"/>
        </w:rPr>
        <w:t xml:space="preserve"> (2.ª ed.). Addison-Wesley.</w:t>
      </w:r>
    </w:p>
    <w:p>
      <w:pPr>
        <w:spacing w:after="0"/>
        <w:ind w:left="720" w:hanging="720"/>
        <w:jc w:val="left"/>
      </w:pPr>
      <w:r>
        <w:rPr>
          <w:rFonts w:ascii="Arial" w:cs="Arial" w:eastAsia="Arial" w:hAnsi="Arial"/>
          <w:sz w:val="22"/>
          <w:szCs w:val="22"/>
        </w:rPr>
        <w:t xml:space="preserve">Beaulieu, N., Dascalu, S. M., &amp; Hand, E. (2022). API-first design: A survey of the state of academia and industry. En S. Latifi (Ed.), </w:t>
      </w:r>
      <w:r>
        <w:rPr>
          <w:rFonts w:ascii="Arial" w:cs="Arial" w:eastAsia="Arial" w:hAnsi="Arial"/>
          <w:i/>
          <w:iCs/>
          <w:sz w:val="22"/>
          <w:szCs w:val="22"/>
        </w:rPr>
        <w:t xml:space="preserve">ITNG 2022 19th International Conference on Information Technology-New Generations</w:t>
      </w:r>
      <w:r>
        <w:rPr>
          <w:rFonts w:ascii="Arial" w:cs="Arial" w:eastAsia="Arial" w:hAnsi="Arial"/>
          <w:sz w:val="22"/>
          <w:szCs w:val="22"/>
        </w:rPr>
        <w:t xml:space="preserve"> (pp. 73–79). Springer. https://doi.org/10.1007/978-3-030-97652-1_10</w:t>
      </w:r>
    </w:p>
    <w:p>
      <w:pPr>
        <w:spacing w:after="0"/>
        <w:ind w:left="720" w:hanging="720"/>
        <w:jc w:val="left"/>
      </w:pPr>
      <w:r>
        <w:rPr>
          <w:rFonts w:ascii="Arial" w:cs="Arial" w:eastAsia="Arial" w:hAnsi="Arial"/>
          <w:sz w:val="22"/>
          <w:szCs w:val="22"/>
        </w:rPr>
        <w:t xml:space="preserve">Beck, K., Beedle, M., van Bennekum, A., Cockburn, A., Cunningham, W., Fowler, M., Grenning, J., Highsmith, J., Hunt, A., Jeffries, R., Kern, J., Marick, B., Martin, R. C., Mellor, S., Schwaber, K., Sutherland, J., &amp; Thomas, D. (2001). </w:t>
      </w:r>
      <w:r>
        <w:rPr>
          <w:rFonts w:ascii="Arial" w:cs="Arial" w:eastAsia="Arial" w:hAnsi="Arial"/>
          <w:i/>
          <w:iCs/>
          <w:sz w:val="22"/>
          <w:szCs w:val="22"/>
        </w:rPr>
        <w:t xml:space="preserve">Manifiesto por el Desarrollo Ágil de Software</w:t>
      </w:r>
      <w:r>
        <w:rPr>
          <w:rFonts w:ascii="Arial" w:cs="Arial" w:eastAsia="Arial" w:hAnsi="Arial"/>
          <w:sz w:val="22"/>
          <w:szCs w:val="22"/>
        </w:rPr>
        <w:t xml:space="preserve">. https://agilemanifesto.org/iso/es/manifesto.html</w:t>
      </w:r>
    </w:p>
    <w:p>
      <w:pPr>
        <w:spacing w:after="0"/>
        <w:ind w:left="720" w:hanging="720"/>
        <w:jc w:val="left"/>
      </w:pPr>
      <w:r>
        <w:rPr>
          <w:rFonts w:ascii="Arial" w:cs="Arial" w:eastAsia="Arial" w:hAnsi="Arial"/>
          <w:sz w:val="22"/>
          <w:szCs w:val="22"/>
        </w:rPr>
        <w:t xml:space="preserve">Bogner, J., Kotstein, S., &amp; Pfaff, T. (2023). Do RESTful API design rules have an impact on the understandability of Web APIs? </w:t>
      </w:r>
      <w:r>
        <w:rPr>
          <w:rFonts w:ascii="Arial" w:cs="Arial" w:eastAsia="Arial" w:hAnsi="Arial"/>
          <w:i/>
          <w:iCs/>
          <w:sz w:val="22"/>
          <w:szCs w:val="22"/>
        </w:rPr>
        <w:t xml:space="preserve">Empirical Software Engineering, 28</w:t>
      </w:r>
      <w:r>
        <w:rPr>
          <w:rFonts w:ascii="Arial" w:cs="Arial" w:eastAsia="Arial" w:hAnsi="Arial"/>
          <w:sz w:val="22"/>
          <w:szCs w:val="22"/>
        </w:rPr>
        <w:t xml:space="preserve">(6), Article 132. https://doi.org/10.1007/s10664-023-10367-y</w:t>
      </w:r>
    </w:p>
    <w:p w14:paraId="687429D2" w14:textId="77777777" w:rsidR="00302310" w:rsidRPr="00385D2F" w:rsidRDefault="00000000">
      <w:pPr>
        <w:ind w:left="720" w:hanging="720"/>
        <w:jc w:val="left"/>
        <w:rPr>
          <w:lang w:val="en-US"/>
        </w:rPr>
      </w:pPr>
      <w:r w:rsidRPr="00385D2F">
        <w:rPr>
          <w:lang w:val="en-US"/>
        </w:rPr>
        <w:t xml:space="preserve">Boom-Cárcamo, E., Molina-Romero, S., Galindo-Angulo, C., &amp; del Mar Restrepo, M. (2024). Barriers and strategies for digital marketing and smart delivery in urban courier companies in developing countries. </w:t>
      </w:r>
      <w:r w:rsidRPr="00385D2F">
        <w:rPr>
          <w:i/>
          <w:iCs/>
          <w:lang w:val="en-US"/>
        </w:rPr>
        <w:t>Journal of the Knowledge Economy, 15</w:t>
      </w:r>
      <w:r w:rsidRPr="00385D2F">
        <w:rPr>
          <w:lang w:val="en-US"/>
        </w:rPr>
        <w:t>(4), 19203–19232. https://doi.org/10.1007/s13132-024-01823-1</w:t>
      </w:r>
    </w:p>
    <w:p>
      <w:pPr>
        <w:spacing w:after="0"/>
        <w:ind w:left="720" w:hanging="720"/>
        <w:jc w:val="left"/>
      </w:pPr>
      <w:r>
        <w:rPr>
          <w:rFonts w:ascii="Arial" w:cs="Arial" w:eastAsia="Arial" w:hAnsi="Arial"/>
          <w:sz w:val="22"/>
          <w:szCs w:val="22"/>
        </w:rPr>
        <w:t xml:space="preserve">Brown, S. (s. f.). </w:t>
      </w:r>
      <w:r>
        <w:rPr>
          <w:rFonts w:ascii="Arial" w:cs="Arial" w:eastAsia="Arial" w:hAnsi="Arial"/>
          <w:i/>
          <w:iCs/>
          <w:sz w:val="22"/>
          <w:szCs w:val="22"/>
        </w:rPr>
        <w:t xml:space="preserve">The C4 model</w:t>
      </w:r>
      <w:r>
        <w:rPr>
          <w:rFonts w:ascii="Arial" w:cs="Arial" w:eastAsia="Arial" w:hAnsi="Arial"/>
          <w:sz w:val="22"/>
          <w:szCs w:val="22"/>
        </w:rPr>
        <w:t xml:space="preserve">. https://c4model.com/</w:t>
      </w:r>
    </w:p>
    <w:p w14:paraId="4B753FD2" w14:textId="77777777" w:rsidR="00302310" w:rsidRDefault="00000000">
      <w:pPr>
        <w:ind w:left="720" w:hanging="720"/>
        <w:jc w:val="left"/>
      </w:pPr>
      <w:r w:rsidRPr="00385D2F">
        <w:rPr>
          <w:lang w:val="en-US"/>
        </w:rPr>
        <w:t xml:space="preserve">Cámara Colombiana de Comercio Electrónico. </w:t>
      </w:r>
      <w:r>
        <w:t xml:space="preserve">(2025). </w:t>
      </w:r>
      <w:r>
        <w:rPr>
          <w:i/>
          <w:iCs/>
        </w:rPr>
        <w:t>Informe de cierre del comercio electrónico en Colombia – 2025</w:t>
      </w:r>
      <w:r>
        <w:t>. https://ccce.org.co/wp-content/uploads/2017/06/V2-1-PUBLICO-INFORME-DE-CIERRE-2025.pdf</w:t>
      </w:r>
    </w:p>
    <w:p>
      <w:pPr>
        <w:spacing w:after="0"/>
        <w:ind w:left="720" w:hanging="720"/>
        <w:jc w:val="left"/>
      </w:pPr>
      <w:r>
        <w:rPr>
          <w:rFonts w:ascii="Arial" w:cs="Arial" w:eastAsia="Arial" w:hAnsi="Arial"/>
          <w:sz w:val="22"/>
          <w:szCs w:val="22"/>
        </w:rPr>
        <w:t xml:space="preserve">Comisión del Acuerdo de Cartagena. (1993, 17 de diciembre). Decisión 351: Régimen común sobre derecho de autor y derechos conexos. Gaceta Oficial del Acuerdo de Cartagena No. 145. https://normograma.dian.gov.co/dian/compilacion/docs/decision_comisioncandina_dec351.htm</w:t>
      </w:r>
    </w:p>
    <w:p w14:paraId="6C1E2FA8" w14:textId="77777777" w:rsidR="00302310" w:rsidRDefault="00000000">
      <w:pPr>
        <w:ind w:left="720" w:hanging="720"/>
        <w:jc w:val="left"/>
      </w:pPr>
      <w:r>
        <w:t xml:space="preserve">Departamento Nacional de Planeación. (2023, 16 de noviembre). </w:t>
      </w:r>
      <w:r>
        <w:rPr>
          <w:i/>
          <w:iCs/>
        </w:rPr>
        <w:t>El DNP reveló que el costo logístico nacional se ubicó en 17,9%, 5 p.p. por encima de la meta de 12,9%</w:t>
      </w:r>
      <w:r>
        <w:t xml:space="preserve"> [Comunicado de prensa]. https://www.dnp.gov.co/Prensa_/Noticias/Paginas/el-dnp-revelo-que-el-costo-logistico-nacional-se-ubico-en-17-9-5-p-p-por-encima-de-la-meta-de-12-9.aspx</w:t>
      </w:r>
    </w:p>
    <w:p w14:paraId="5D172E19" w14:textId="77777777" w:rsidR="00302310" w:rsidRDefault="00000000">
      <w:pPr>
        <w:ind w:left="720" w:hanging="720"/>
        <w:jc w:val="left"/>
      </w:pPr>
      <w:r>
        <w:t xml:space="preserve">Departamento Nacional de Planeación. (2025, 19 de noviembre). </w:t>
      </w:r>
      <w:r>
        <w:rPr>
          <w:i/>
          <w:iCs/>
        </w:rPr>
        <w:t>La logística del país avanza impulsada por las regiones: Menores costos y la logística verde se destacan en la ENL 2024 (Encuesta Nacional Logística)</w:t>
      </w:r>
      <w:r>
        <w:t xml:space="preserve"> [Comunicado de prensa]. https://dnp.gov.co/Prensa_/Noticias/Paginas/La-logistica-del-pais-avanza-impulsada-por-regiones-menores-costos-encuesta-nacional-logistica.aspx</w:t>
      </w:r>
    </w:p>
    <w:p>
      <w:pPr>
        <w:spacing w:after="0"/>
        <w:ind w:left="720" w:hanging="720"/>
        <w:jc w:val="left"/>
      </w:pPr>
      <w:r>
        <w:rPr>
          <w:rFonts w:ascii="Arial" w:cs="Arial" w:eastAsia="Arial" w:hAnsi="Arial"/>
          <w:sz w:val="22"/>
          <w:szCs w:val="22"/>
        </w:rPr>
        <w:t xml:space="preserve">Dirección Nacional de Derecho de Autor. (s. f.). </w:t>
      </w:r>
      <w:r>
        <w:rPr>
          <w:rFonts w:ascii="Arial" w:cs="Arial" w:eastAsia="Arial" w:hAnsi="Arial"/>
          <w:i/>
          <w:iCs/>
          <w:sz w:val="22"/>
          <w:szCs w:val="22"/>
        </w:rPr>
        <w:t xml:space="preserve">Registro de software</w:t>
      </w:r>
      <w:r>
        <w:rPr>
          <w:rFonts w:ascii="Arial" w:cs="Arial" w:eastAsia="Arial" w:hAnsi="Arial"/>
          <w:sz w:val="22"/>
          <w:szCs w:val="22"/>
        </w:rPr>
        <w:t xml:space="preserve">. https://www.derechodeautor.gov.co/es/atencion-y-servicios-a-la-ciudadania/registro-de-obras/registro-de-software/registro-de-software</w:t>
      </w:r>
    </w:p>
    <w:p>
      <w:pPr>
        <w:spacing w:after="0"/>
        <w:ind w:left="720" w:hanging="720"/>
        <w:jc w:val="left"/>
      </w:pPr>
      <w:r>
        <w:rPr>
          <w:rFonts w:ascii="Arial" w:cs="Arial" w:eastAsia="Arial" w:hAnsi="Arial"/>
          <w:sz w:val="22"/>
          <w:szCs w:val="22"/>
        </w:rPr>
        <w:t xml:space="preserve">Gracia Orejuela, K. J., Gorozabel Bazurto, M. B., &amp; Chango Sailema, W. G. (2024). Long polling, websockets y server-sent events: Comunicación para el envío de datos en tiempo real. </w:t>
      </w:r>
      <w:r>
        <w:rPr>
          <w:rFonts w:ascii="Arial" w:cs="Arial" w:eastAsia="Arial" w:hAnsi="Arial"/>
          <w:i/>
          <w:iCs/>
          <w:sz w:val="22"/>
          <w:szCs w:val="22"/>
        </w:rPr>
        <w:t xml:space="preserve">Mikarimin. Revista Científica Multidisciplinaria, 10</w:t>
      </w:r>
      <w:r>
        <w:rPr>
          <w:rFonts w:ascii="Arial" w:cs="Arial" w:eastAsia="Arial" w:hAnsi="Arial"/>
          <w:sz w:val="22"/>
          <w:szCs w:val="22"/>
        </w:rPr>
        <w:t xml:space="preserve">(3), 101–120. https://doi.org/10.61154/mrcm.v10i3.3272</w:t>
      </w:r>
    </w:p>
    <w:p w14:paraId="5D506ED7" w14:textId="77777777" w:rsidR="00302310" w:rsidRPr="00385D2F" w:rsidRDefault="00000000">
      <w:pPr>
        <w:ind w:left="720" w:hanging="720"/>
        <w:jc w:val="left"/>
        <w:rPr>
          <w:lang w:val="en-US"/>
        </w:rPr>
      </w:pPr>
      <w:r w:rsidRPr="00385D2F">
        <w:rPr>
          <w:lang w:val="en-US"/>
        </w:rPr>
        <w:t xml:space="preserve">Gutierrez-Franco, E., Mejia-Argueta, C., &amp; Rabelo, L. (2021). Data-driven methodology to support long-lasting logistics and decision making for urban last-mile operations. </w:t>
      </w:r>
      <w:r w:rsidRPr="00385D2F">
        <w:rPr>
          <w:i/>
          <w:iCs/>
          <w:lang w:val="en-US"/>
        </w:rPr>
        <w:t>Sustainability, 13</w:t>
      </w:r>
      <w:r w:rsidRPr="00385D2F">
        <w:rPr>
          <w:lang w:val="en-US"/>
        </w:rPr>
        <w:t>(11), Article 6230. https://doi.org/10.3390/su13116230</w:t>
      </w:r>
    </w:p>
    <w:p>
      <w:pPr>
        <w:spacing w:after="0"/>
        <w:ind w:left="720" w:hanging="720"/>
        <w:jc w:val="left"/>
      </w:pPr>
      <w:r>
        <w:rPr>
          <w:rFonts w:ascii="Arial" w:cs="Arial" w:eastAsia="Arial" w:hAnsi="Arial"/>
          <w:sz w:val="22"/>
          <w:szCs w:val="22"/>
        </w:rPr>
        <w:t xml:space="preserve">Hernández-Sampieri, R., &amp; Mendoza Torres, C. P. (2018). </w:t>
      </w:r>
      <w:r>
        <w:rPr>
          <w:rFonts w:ascii="Arial" w:cs="Arial" w:eastAsia="Arial" w:hAnsi="Arial"/>
          <w:i/>
          <w:iCs/>
          <w:sz w:val="22"/>
          <w:szCs w:val="22"/>
        </w:rPr>
        <w:t xml:space="preserve">Metodología de la investigación: Las rutas cuantitativa, cualitativa y mixta</w:t>
      </w:r>
      <w:r>
        <w:rPr>
          <w:rFonts w:ascii="Arial" w:cs="Arial" w:eastAsia="Arial" w:hAnsi="Arial"/>
          <w:sz w:val="22"/>
          <w:szCs w:val="22"/>
        </w:rPr>
        <w:t xml:space="preserve">. McGraw-Hill Interamericana.</w:t>
      </w:r>
    </w:p>
    <w:p>
      <w:pPr>
        <w:spacing w:after="0"/>
        <w:ind w:left="720" w:hanging="720"/>
        <w:jc w:val="left"/>
      </w:pPr>
      <w:r>
        <w:rPr>
          <w:rFonts w:ascii="Arial" w:cs="Arial" w:eastAsia="Arial" w:hAnsi="Arial"/>
          <w:sz w:val="22"/>
          <w:szCs w:val="22"/>
        </w:rPr>
        <w:t xml:space="preserve">ISO/IEC/IEEE. (2018). </w:t>
      </w:r>
      <w:r>
        <w:rPr>
          <w:rFonts w:ascii="Arial" w:cs="Arial" w:eastAsia="Arial" w:hAnsi="Arial"/>
          <w:i/>
          <w:iCs/>
          <w:sz w:val="22"/>
          <w:szCs w:val="22"/>
        </w:rPr>
        <w:t xml:space="preserve">Systems and software engineering — Life cycle processes — Requirements engineering</w:t>
      </w:r>
      <w:r>
        <w:rPr>
          <w:rFonts w:ascii="Arial" w:cs="Arial" w:eastAsia="Arial" w:hAnsi="Arial"/>
          <w:sz w:val="22"/>
          <w:szCs w:val="22"/>
        </w:rPr>
        <w:t xml:space="preserve"> (ISO/IEC/IEEE 29148:2018, 2.ª ed.). https://www.iso.org/standard/72089.html</w:t>
      </w:r>
    </w:p>
    <w:p w14:paraId="71B90E50" w14:textId="77777777" w:rsidR="00302310" w:rsidRDefault="00000000">
      <w:pPr>
        <w:ind w:left="720" w:hanging="720"/>
        <w:jc w:val="left"/>
      </w:pPr>
      <w:r w:rsidRPr="00385D2F">
        <w:rPr>
          <w:lang w:val="en-US"/>
        </w:rPr>
        <w:t xml:space="preserve">Janinhoff, L., Klein, R., Sailer, D., &amp; Schoppa, J. M. (2024). Out-of-home delivery in last-mile logistics: A review. </w:t>
      </w:r>
      <w:proofErr w:type="spellStart"/>
      <w:r>
        <w:rPr>
          <w:i/>
          <w:iCs/>
        </w:rPr>
        <w:t>Computers</w:t>
      </w:r>
      <w:proofErr w:type="spellEnd"/>
      <w:r>
        <w:rPr>
          <w:i/>
          <w:iCs/>
        </w:rPr>
        <w:t xml:space="preserve"> &amp; </w:t>
      </w:r>
      <w:proofErr w:type="spellStart"/>
      <w:r>
        <w:rPr>
          <w:i/>
          <w:iCs/>
        </w:rPr>
        <w:t>Operations</w:t>
      </w:r>
      <w:proofErr w:type="spellEnd"/>
      <w:r>
        <w:rPr>
          <w:i/>
          <w:iCs/>
        </w:rPr>
        <w:t xml:space="preserve"> Research, 168</w:t>
      </w:r>
      <w:r>
        <w:t xml:space="preserve">, </w:t>
      </w:r>
      <w:proofErr w:type="spellStart"/>
      <w:r>
        <w:t>Article</w:t>
      </w:r>
      <w:proofErr w:type="spellEnd"/>
      <w:r>
        <w:t xml:space="preserve"> 106686. https://doi.org/10.1016/j.cor.2024.106686</w:t>
      </w:r>
    </w:p>
    <w:p>
      <w:pPr>
        <w:spacing w:after="0"/>
        <w:ind w:left="720" w:hanging="720"/>
        <w:jc w:val="left"/>
      </w:pPr>
      <w:r>
        <w:rPr>
          <w:rFonts w:ascii="Arial" w:cs="Arial" w:eastAsia="Arial" w:hAnsi="Arial"/>
          <w:sz w:val="22"/>
          <w:szCs w:val="22"/>
        </w:rPr>
        <w:t xml:space="preserve">Jazemi, R., Alidadiani, E., Ahn, K., &amp; Jang, J. (2023). A review of literature on vehicle routing problems of last-mile delivery in urban areas. </w:t>
      </w:r>
      <w:r>
        <w:rPr>
          <w:rFonts w:ascii="Arial" w:cs="Arial" w:eastAsia="Arial" w:hAnsi="Arial"/>
          <w:i/>
          <w:iCs/>
          <w:sz w:val="22"/>
          <w:szCs w:val="22"/>
        </w:rPr>
        <w:t xml:space="preserve">Applied Sciences, 13</w:t>
      </w:r>
      <w:r>
        <w:rPr>
          <w:rFonts w:ascii="Arial" w:cs="Arial" w:eastAsia="Arial" w:hAnsi="Arial"/>
          <w:sz w:val="22"/>
          <w:szCs w:val="22"/>
        </w:rPr>
        <w:t xml:space="preserve">(24), Article 13015. https://doi.org/10.3390/app132413015</w:t>
      </w:r>
    </w:p>
    <w:p>
      <w:pPr>
        <w:spacing w:after="0"/>
        <w:ind w:left="720" w:hanging="720"/>
        <w:jc w:val="left"/>
      </w:pPr>
      <w:r>
        <w:rPr>
          <w:rFonts w:ascii="Arial" w:cs="Arial" w:eastAsia="Arial" w:hAnsi="Arial"/>
          <w:sz w:val="22"/>
          <w:szCs w:val="22"/>
        </w:rPr>
        <w:t xml:space="preserve">Kuhrmann, M., Tell, P., Hebig, R., Klunder, J., Munch, J., Linssen, O., Pfahl, D., Felderer, M., Prause, C. R., MacDonell, S. G., Nakatumba-Nabende, J., Raffo, D., Beecham, S., Tuzun, E., Lopez, G., Paez, N., Fontdevila, D., Licorish, S. A., Kupper, S., . . . Richardson, I. (2022). What makes agile software development agile? </w:t>
      </w:r>
      <w:r>
        <w:rPr>
          <w:rFonts w:ascii="Arial" w:cs="Arial" w:eastAsia="Arial" w:hAnsi="Arial"/>
          <w:i/>
          <w:iCs/>
          <w:sz w:val="22"/>
          <w:szCs w:val="22"/>
        </w:rPr>
        <w:t xml:space="preserve">IEEE Transactions on Software Engineering, 48</w:t>
      </w:r>
      <w:r>
        <w:rPr>
          <w:rFonts w:ascii="Arial" w:cs="Arial" w:eastAsia="Arial" w:hAnsi="Arial"/>
          <w:sz w:val="22"/>
          <w:szCs w:val="22"/>
        </w:rPr>
        <w:t xml:space="preserve">(9), 3523–3539. https://doi.org/10.1109/TSE.2021.3099532</w:t>
      </w:r>
    </w:p>
    <w:p>
      <w:pPr>
        <w:spacing w:after="0"/>
        <w:ind w:left="720" w:hanging="720"/>
        <w:jc w:val="left"/>
      </w:pPr>
      <w:r>
        <w:rPr>
          <w:rFonts w:ascii="Arial" w:cs="Arial" w:eastAsia="Arial" w:hAnsi="Arial"/>
          <w:sz w:val="22"/>
          <w:szCs w:val="22"/>
        </w:rPr>
        <w:t xml:space="preserve">Ley 1581 de 2012. (2012, 17 de octubre). Por la cual se dictan disposiciones generales para la protección de datos personales. Diario Oficial No. 48.587. http://www.secretariasenado.gov.co/senado/basedoc/ley_1581_2012.html</w:t>
      </w:r>
    </w:p>
    <w:p>
      <w:pPr>
        <w:spacing w:after="0"/>
        <w:ind w:left="720" w:hanging="720"/>
        <w:jc w:val="left"/>
      </w:pPr>
      <w:r>
        <w:rPr>
          <w:rFonts w:ascii="Arial" w:cs="Arial" w:eastAsia="Arial" w:hAnsi="Arial"/>
          <w:sz w:val="22"/>
          <w:szCs w:val="22"/>
        </w:rPr>
        <w:t xml:space="preserve">Ley 23 de 1982. (1982, 19 de febrero). Sobre derechos de autor. Diario Oficial No. 35.949. https://normativa.colpensiones.gov.co/compilacion/docs/ley_0023_1982.htm</w:t>
      </w:r>
    </w:p>
    <w:p>
      <w:pPr>
        <w:spacing w:after="0"/>
        <w:ind w:left="720" w:hanging="720"/>
        <w:jc w:val="left"/>
      </w:pPr>
      <w:r>
        <w:rPr>
          <w:rFonts w:ascii="Arial" w:cs="Arial" w:eastAsia="Arial" w:hAnsi="Arial"/>
          <w:sz w:val="22"/>
          <w:szCs w:val="22"/>
        </w:rPr>
        <w:t xml:space="preserve">Madhwal, Y., Borbon-Galvez, Y., Etemadi, N., Yanovich, Y., &amp; Creazza, A. (2022). Proof of delivery smart contract for performance measurements. </w:t>
      </w:r>
      <w:r>
        <w:rPr>
          <w:rFonts w:ascii="Arial" w:cs="Arial" w:eastAsia="Arial" w:hAnsi="Arial"/>
          <w:i/>
          <w:iCs/>
          <w:sz w:val="22"/>
          <w:szCs w:val="22"/>
        </w:rPr>
        <w:t xml:space="preserve">IEEE Access, 10</w:t>
      </w:r>
      <w:r>
        <w:rPr>
          <w:rFonts w:ascii="Arial" w:cs="Arial" w:eastAsia="Arial" w:hAnsi="Arial"/>
          <w:sz w:val="22"/>
          <w:szCs w:val="22"/>
        </w:rPr>
        <w:t xml:space="preserve">, 69147–69159. https://doi.org/10.1109/access.2022.3185634</w:t>
      </w:r>
    </w:p>
    <w:p w14:paraId="6366F597" w14:textId="77777777" w:rsidR="00302310" w:rsidRDefault="00000000">
      <w:pPr>
        <w:ind w:left="720" w:hanging="720"/>
        <w:jc w:val="left"/>
      </w:pPr>
      <w:r>
        <w:t xml:space="preserve">Ministerio de Tecnologías de la Información y las Comunicaciones. (2026). </w:t>
      </w:r>
      <w:r>
        <w:rPr>
          <w:i/>
          <w:iCs/>
        </w:rPr>
        <w:t>Boletín trimestral del sector postal: Cuarto trimestre de 2025</w:t>
      </w:r>
      <w:r>
        <w:t>. Colombia TIC. https://colombiatic.mintic.gov.co/679/articles-428453_presentacion_cifras.pdf</w:t>
      </w:r>
    </w:p>
    <w:p>
      <w:pPr>
        <w:spacing w:after="0"/>
        <w:ind w:left="720" w:hanging="720"/>
        <w:jc w:val="left"/>
      </w:pPr>
      <w:r>
        <w:rPr>
          <w:rFonts w:ascii="Arial" w:cs="Arial" w:eastAsia="Arial" w:hAnsi="Arial"/>
          <w:sz w:val="22"/>
          <w:szCs w:val="22"/>
        </w:rPr>
        <w:t xml:space="preserve">Mogire, E., Kilbourn, P. J., &amp; Luke, R. (2023). Customer satisfaction with last-mile delivery in Kenya: An online customer perspective. </w:t>
      </w:r>
      <w:r>
        <w:rPr>
          <w:rFonts w:ascii="Arial" w:cs="Arial" w:eastAsia="Arial" w:hAnsi="Arial"/>
          <w:i/>
          <w:iCs/>
          <w:sz w:val="22"/>
          <w:szCs w:val="22"/>
        </w:rPr>
        <w:t xml:space="preserve">Journal of Transport and Supply Chain Management, 17</w:t>
      </w:r>
      <w:r>
        <w:rPr>
          <w:rFonts w:ascii="Arial" w:cs="Arial" w:eastAsia="Arial" w:hAnsi="Arial"/>
          <w:sz w:val="22"/>
          <w:szCs w:val="22"/>
        </w:rPr>
        <w:t xml:space="preserve">. https://doi.org/10.4102/jtscm.v17i0.844</w:t>
      </w:r>
    </w:p>
    <w:p w14:paraId="7FE89CA9" w14:textId="77777777" w:rsidR="00302310" w:rsidRPr="00385D2F" w:rsidRDefault="00000000">
      <w:pPr>
        <w:ind w:left="720" w:hanging="720"/>
        <w:jc w:val="left"/>
        <w:rPr>
          <w:lang w:val="en-US"/>
        </w:rPr>
      </w:pPr>
      <w:r>
        <w:t xml:space="preserve">Mohammad, W. A. M., Nazih Diab, Y., </w:t>
      </w:r>
      <w:proofErr w:type="spellStart"/>
      <w:r>
        <w:t>Elomri</w:t>
      </w:r>
      <w:proofErr w:type="spellEnd"/>
      <w:r>
        <w:t xml:space="preserve">, A., &amp; Triki, C. (2023). </w:t>
      </w:r>
      <w:r w:rsidRPr="00385D2F">
        <w:rPr>
          <w:lang w:val="en-US"/>
        </w:rPr>
        <w:t xml:space="preserve">Innovative solutions in last mile delivery: Concepts, practices, challenges, and future directions. </w:t>
      </w:r>
      <w:r w:rsidRPr="00385D2F">
        <w:rPr>
          <w:i/>
          <w:iCs/>
          <w:lang w:val="en-US"/>
        </w:rPr>
        <w:t>Supply Chain Forum: An International Journal, 24</w:t>
      </w:r>
      <w:r w:rsidRPr="00385D2F">
        <w:rPr>
          <w:lang w:val="en-US"/>
        </w:rPr>
        <w:t>(2), 151–169. https://doi.org/10.1080/16258312.2023.2173488</w:t>
      </w:r>
    </w:p>
    <w:p>
      <w:pPr>
        <w:spacing w:after="0"/>
        <w:ind w:left="720" w:hanging="720"/>
        <w:jc w:val="left"/>
      </w:pPr>
      <w:r>
        <w:rPr>
          <w:rFonts w:ascii="Arial" w:cs="Arial" w:eastAsia="Arial" w:hAnsi="Arial"/>
          <w:sz w:val="22"/>
          <w:szCs w:val="22"/>
        </w:rPr>
        <w:t xml:space="preserve">OWASP API Security Project. (2023). </w:t>
      </w:r>
      <w:r>
        <w:rPr>
          <w:rFonts w:ascii="Arial" w:cs="Arial" w:eastAsia="Arial" w:hAnsi="Arial"/>
          <w:i/>
          <w:iCs/>
          <w:sz w:val="22"/>
          <w:szCs w:val="22"/>
        </w:rPr>
        <w:t xml:space="preserve">OWASP API security top 10 – 2023</w:t>
      </w:r>
      <w:r>
        <w:rPr>
          <w:rFonts w:ascii="Arial" w:cs="Arial" w:eastAsia="Arial" w:hAnsi="Arial"/>
          <w:sz w:val="22"/>
          <w:szCs w:val="22"/>
        </w:rPr>
        <w:t xml:space="preserve">. OWASP Foundation. https://api-security.owasp.org/editions/2023/en/0x11-t10/</w:t>
      </w:r>
    </w:p>
    <w:p>
      <w:pPr>
        <w:spacing w:after="0"/>
        <w:ind w:left="720" w:hanging="720"/>
        <w:jc w:val="left"/>
      </w:pPr>
      <w:r>
        <w:rPr>
          <w:rFonts w:ascii="Arial" w:cs="Arial" w:eastAsia="Arial" w:hAnsi="Arial"/>
          <w:sz w:val="22"/>
          <w:szCs w:val="22"/>
        </w:rPr>
        <w:t xml:space="preserve">Parizi, R., Prestes, M., Marczak, S., &amp; Conte, T. (2022). How has design thinking being used and integrated into software development activities? A systematic mapping. </w:t>
      </w:r>
      <w:r>
        <w:rPr>
          <w:rFonts w:ascii="Arial" w:cs="Arial" w:eastAsia="Arial" w:hAnsi="Arial"/>
          <w:i/>
          <w:iCs/>
          <w:sz w:val="22"/>
          <w:szCs w:val="22"/>
        </w:rPr>
        <w:t xml:space="preserve">Journal of Systems and Software, 187</w:t>
      </w:r>
      <w:r>
        <w:rPr>
          <w:rFonts w:ascii="Arial" w:cs="Arial" w:eastAsia="Arial" w:hAnsi="Arial"/>
          <w:sz w:val="22"/>
          <w:szCs w:val="22"/>
        </w:rPr>
        <w:t xml:space="preserve">, Artículo 111217. https://doi.org/10.1016/j.jss.2022.111217</w:t>
      </w:r>
    </w:p>
    <w:p>
      <w:pPr>
        <w:spacing w:after="0"/>
        <w:ind w:left="720" w:hanging="720"/>
        <w:jc w:val="left"/>
      </w:pPr>
      <w:r>
        <w:rPr>
          <w:rFonts w:ascii="Arial" w:cs="Arial" w:eastAsia="Arial" w:hAnsi="Arial"/>
          <w:sz w:val="22"/>
          <w:szCs w:val="22"/>
        </w:rPr>
        <w:t xml:space="preserve">Peffers, K., Tuunanen, T., Rothenberger, M. A., &amp; Chatterjee, S. (2007). A design science research methodology for information systems research. </w:t>
      </w:r>
      <w:r>
        <w:rPr>
          <w:rFonts w:ascii="Arial" w:cs="Arial" w:eastAsia="Arial" w:hAnsi="Arial"/>
          <w:i/>
          <w:iCs/>
          <w:sz w:val="22"/>
          <w:szCs w:val="22"/>
        </w:rPr>
        <w:t xml:space="preserve">Journal of Management Information Systems, 24</w:t>
      </w:r>
      <w:r>
        <w:rPr>
          <w:rFonts w:ascii="Arial" w:cs="Arial" w:eastAsia="Arial" w:hAnsi="Arial"/>
          <w:sz w:val="22"/>
          <w:szCs w:val="22"/>
        </w:rPr>
        <w:t xml:space="preserve">(3), 45–77. https://doi.org/10.2753/MIS0742-1222240302</w:t>
      </w:r>
    </w:p>
    <w:p>
      <w:pPr>
        <w:spacing w:after="0"/>
        <w:ind w:left="720" w:hanging="720"/>
        <w:jc w:val="left"/>
      </w:pPr>
      <w:r>
        <w:rPr>
          <w:rFonts w:ascii="Arial" w:cs="Arial" w:eastAsia="Arial" w:hAnsi="Arial"/>
          <w:sz w:val="22"/>
          <w:szCs w:val="22"/>
        </w:rPr>
        <w:t xml:space="preserve">Pérez, V., &amp; Aybar, C. (2024). Challenges in geocoding: An analysis of R packages and web scraping approaches. </w:t>
      </w:r>
      <w:r>
        <w:rPr>
          <w:rFonts w:ascii="Arial" w:cs="Arial" w:eastAsia="Arial" w:hAnsi="Arial"/>
          <w:i/>
          <w:iCs/>
          <w:sz w:val="22"/>
          <w:szCs w:val="22"/>
        </w:rPr>
        <w:t xml:space="preserve">ISPRS International Journal of Geo-Information, 13</w:t>
      </w:r>
      <w:r>
        <w:rPr>
          <w:rFonts w:ascii="Arial" w:cs="Arial" w:eastAsia="Arial" w:hAnsi="Arial"/>
          <w:sz w:val="22"/>
          <w:szCs w:val="22"/>
        </w:rPr>
        <w:t xml:space="preserve">(6), Article 170. https://doi.org/10.3390/ijgi13060170</w:t>
      </w:r>
    </w:p>
    <w:p>
      <w:pPr>
        <w:spacing w:after="0"/>
        <w:ind w:left="720" w:hanging="720"/>
        <w:jc w:val="left"/>
      </w:pPr>
      <w:r>
        <w:rPr>
          <w:rFonts w:ascii="Arial" w:cs="Arial" w:eastAsia="Arial" w:hAnsi="Arial"/>
          <w:sz w:val="22"/>
          <w:szCs w:val="22"/>
        </w:rPr>
        <w:t xml:space="preserve">Randerath, S., &amp; Friedrich, K. (2025). Off-grid? Resistant media operations by delivery gig workers in response to app-based tracking. </w:t>
      </w:r>
      <w:r>
        <w:rPr>
          <w:rFonts w:ascii="Arial" w:cs="Arial" w:eastAsia="Arial" w:hAnsi="Arial"/>
          <w:i/>
          <w:iCs/>
          <w:sz w:val="22"/>
          <w:szCs w:val="22"/>
        </w:rPr>
        <w:t xml:space="preserve">Mobile Media &amp; Communication, 13</w:t>
      </w:r>
      <w:r>
        <w:rPr>
          <w:rFonts w:ascii="Arial" w:cs="Arial" w:eastAsia="Arial" w:hAnsi="Arial"/>
          <w:sz w:val="22"/>
          <w:szCs w:val="22"/>
        </w:rPr>
        <w:t xml:space="preserve">(1), 214–233. https://doi.org/10.1177/20501579241270785</w:t>
      </w:r>
    </w:p>
    <w:p w14:paraId="19CEF46F" w14:textId="77777777" w:rsidR="00302310" w:rsidRPr="00385D2F" w:rsidRDefault="00000000">
      <w:pPr>
        <w:ind w:left="720" w:hanging="720"/>
        <w:jc w:val="left"/>
        <w:rPr>
          <w:lang w:val="en-US"/>
        </w:rPr>
      </w:pPr>
      <w:r w:rsidRPr="00385D2F">
        <w:rPr>
          <w:lang w:val="en-US"/>
        </w:rPr>
        <w:t xml:space="preserve">Restrepo-Betancur, B., Sanchez-Diaz, I., &amp; Gonzalez-Calderon, C. A. (2026). How e-commerce influences last-mile practices that foster informality. </w:t>
      </w:r>
      <w:r w:rsidRPr="00385D2F">
        <w:rPr>
          <w:i/>
          <w:iCs/>
          <w:lang w:val="en-US"/>
        </w:rPr>
        <w:t xml:space="preserve">Transportation Research </w:t>
      </w:r>
      <w:r w:rsidRPr="00385D2F">
        <w:rPr>
          <w:i/>
          <w:iCs/>
          <w:lang w:val="en-US"/>
        </w:rPr>
        <w:lastRenderedPageBreak/>
        <w:t>Interdisciplinary Perspectives, 39</w:t>
      </w:r>
      <w:r w:rsidRPr="00385D2F">
        <w:rPr>
          <w:lang w:val="en-US"/>
        </w:rPr>
        <w:t>, Article 102181. https://doi.org/10.1016/j.trip.2026.102181</w:t>
      </w:r>
    </w:p>
    <w:p>
      <w:pPr>
        <w:spacing w:after="0"/>
        <w:ind w:left="720" w:hanging="720"/>
        <w:jc w:val="left"/>
      </w:pPr>
      <w:r>
        <w:rPr>
          <w:rFonts w:ascii="Arial" w:cs="Arial" w:eastAsia="Arial" w:hAnsi="Arial"/>
          <w:sz w:val="22"/>
          <w:szCs w:val="22"/>
        </w:rPr>
        <w:t xml:space="preserve">Schwaber, K., &amp; Sutherland, J. (2020). </w:t>
      </w:r>
      <w:r>
        <w:rPr>
          <w:rFonts w:ascii="Arial" w:cs="Arial" w:eastAsia="Arial" w:hAnsi="Arial"/>
          <w:i/>
          <w:iCs/>
          <w:sz w:val="22"/>
          <w:szCs w:val="22"/>
        </w:rPr>
        <w:t xml:space="preserve">The Scrum Guide: The definitive guide to Scrum: The rules of the game</w:t>
      </w:r>
      <w:r>
        <w:rPr>
          <w:rFonts w:ascii="Arial" w:cs="Arial" w:eastAsia="Arial" w:hAnsi="Arial"/>
          <w:sz w:val="22"/>
          <w:szCs w:val="22"/>
        </w:rPr>
        <w:t xml:space="preserve">. Scrum Guides. https://scrumguides.org/scrum-guide.html</w:t>
      </w:r>
    </w:p>
    <w:p w14:paraId="338415AD" w14:textId="77777777" w:rsidR="00302310" w:rsidRDefault="00000000">
      <w:pPr>
        <w:ind w:left="720" w:hanging="720"/>
        <w:jc w:val="left"/>
      </w:pPr>
      <w:r w:rsidRPr="00385D2F">
        <w:rPr>
          <w:lang w:val="en-US"/>
        </w:rPr>
        <w:t xml:space="preserve">Seghezzi, A., &amp; Mangiaracina, R. (2023). Smart home devices and B2C e-commerce: A way to reduce failed deliveries. </w:t>
      </w:r>
      <w:r>
        <w:rPr>
          <w:i/>
          <w:iCs/>
        </w:rPr>
        <w:t xml:space="preserve">Industrial Management &amp; Data </w:t>
      </w:r>
      <w:proofErr w:type="spellStart"/>
      <w:r>
        <w:rPr>
          <w:i/>
          <w:iCs/>
        </w:rPr>
        <w:t>Systems</w:t>
      </w:r>
      <w:proofErr w:type="spellEnd"/>
      <w:r>
        <w:rPr>
          <w:i/>
          <w:iCs/>
        </w:rPr>
        <w:t>, 123</w:t>
      </w:r>
      <w:r>
        <w:t>(5), 1624–1645. https://doi.org/10.1108/imds-10-2022-0651</w:t>
      </w:r>
    </w:p>
    <w:p>
      <w:pPr>
        <w:spacing w:after="0"/>
        <w:ind w:left="720" w:hanging="720"/>
        <w:jc w:val="left"/>
      </w:pPr>
      <w:r>
        <w:rPr>
          <w:rFonts w:ascii="Arial" w:cs="Arial" w:eastAsia="Arial" w:hAnsi="Arial"/>
          <w:sz w:val="22"/>
          <w:szCs w:val="22"/>
        </w:rPr>
        <w:t xml:space="preserve">Sommerville, I. (2005). </w:t>
      </w:r>
      <w:r>
        <w:rPr>
          <w:rFonts w:ascii="Arial" w:cs="Arial" w:eastAsia="Arial" w:hAnsi="Arial"/>
          <w:i/>
          <w:iCs/>
          <w:sz w:val="22"/>
          <w:szCs w:val="22"/>
        </w:rPr>
        <w:t xml:space="preserve">Ingeniería del software</w:t>
      </w:r>
      <w:r>
        <w:rPr>
          <w:rFonts w:ascii="Arial" w:cs="Arial" w:eastAsia="Arial" w:hAnsi="Arial"/>
          <w:sz w:val="22"/>
          <w:szCs w:val="22"/>
        </w:rPr>
        <w:t xml:space="preserve"> (7.ª ed.). Pearson Educación.</w:t>
      </w:r>
    </w:p>
    <w:p>
      <w:pPr>
        <w:spacing w:after="0"/>
        <w:ind w:left="720" w:hanging="720"/>
        <w:jc w:val="left"/>
      </w:pPr>
      <w:r>
        <w:rPr>
          <w:rFonts w:ascii="Arial" w:cs="Arial" w:eastAsia="Arial" w:hAnsi="Arial"/>
          <w:sz w:val="22"/>
          <w:szCs w:val="22"/>
        </w:rPr>
        <w:t xml:space="preserve">Souza, N. L. S. de, Stradioto Neto, L. A., Fettermann, D. de C., &amp; Frazzon, E. M. (2022). Evaluation of the customer requirements for last mile delivery in Brazil. </w:t>
      </w:r>
      <w:r>
        <w:rPr>
          <w:rFonts w:ascii="Arial" w:cs="Arial" w:eastAsia="Arial" w:hAnsi="Arial"/>
          <w:i/>
          <w:iCs/>
          <w:sz w:val="22"/>
          <w:szCs w:val="22"/>
        </w:rPr>
        <w:t xml:space="preserve">Brazilian Journal of Operations &amp; Production Management, 19</w:t>
      </w:r>
      <w:r>
        <w:rPr>
          <w:rFonts w:ascii="Arial" w:cs="Arial" w:eastAsia="Arial" w:hAnsi="Arial"/>
          <w:sz w:val="22"/>
          <w:szCs w:val="22"/>
        </w:rPr>
        <w:t xml:space="preserve">(3), 1–12. https://doi.org/10.14488/bjopm.2022.1360</w:t>
      </w:r>
    </w:p>
    <w:sectPr w:rsidR="00302310">
      <w:head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6A5C" w14:textId="77777777" w:rsidR="00B2401C" w:rsidRDefault="00B2401C">
      <w:pPr>
        <w:spacing w:line="240" w:lineRule="auto"/>
      </w:pPr>
      <w:r>
        <w:separator/>
      </w:r>
    </w:p>
  </w:endnote>
  <w:endnote w:type="continuationSeparator" w:id="0">
    <w:p w14:paraId="60F42AD0" w14:textId="77777777" w:rsidR="00B2401C" w:rsidRDefault="00B24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B1361" w14:textId="77777777" w:rsidR="00B2401C" w:rsidRDefault="00B2401C">
      <w:pPr>
        <w:spacing w:line="240" w:lineRule="auto"/>
      </w:pPr>
      <w:r>
        <w:separator/>
      </w:r>
    </w:p>
  </w:footnote>
  <w:footnote w:type="continuationSeparator" w:id="0">
    <w:p w14:paraId="3B1D0B0D" w14:textId="77777777" w:rsidR="00B2401C" w:rsidRDefault="00B240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646C" w14:textId="13C13438" w:rsidR="00302310" w:rsidRDefault="00000000">
    <w:pPr>
      <w:jc w:val="right"/>
    </w:pPr>
    <w:r>
      <w:fldChar w:fldCharType="begin"/>
    </w:r>
    <w:r>
      <w:instrText>PAGE</w:instrText>
    </w:r>
    <w:r>
      <w:fldChar w:fldCharType="separate"/>
    </w:r>
    <w:r w:rsidR="00385D2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1080"/>
    <w:multiLevelType w:val="hybridMultilevel"/>
    <w:tmpl w:val="742C3F00"/>
    <w:lvl w:ilvl="0" w:tplc="74963E88">
      <w:start w:val="1"/>
      <w:numFmt w:val="decimal"/>
      <w:lvlText w:val="%1."/>
      <w:lvlJc w:val="left"/>
      <w:pPr>
        <w:ind w:left="720" w:hanging="360"/>
      </w:pPr>
    </w:lvl>
    <w:lvl w:ilvl="1" w:tplc="532C3AD4">
      <w:numFmt w:val="decimal"/>
      <w:lvlText w:val=""/>
      <w:lvlJc w:val="left"/>
    </w:lvl>
    <w:lvl w:ilvl="2" w:tplc="4B08F578">
      <w:numFmt w:val="decimal"/>
      <w:lvlText w:val=""/>
      <w:lvlJc w:val="left"/>
    </w:lvl>
    <w:lvl w:ilvl="3" w:tplc="B798BBCC">
      <w:numFmt w:val="decimal"/>
      <w:lvlText w:val=""/>
      <w:lvlJc w:val="left"/>
    </w:lvl>
    <w:lvl w:ilvl="4" w:tplc="1C068F1E">
      <w:numFmt w:val="decimal"/>
      <w:lvlText w:val=""/>
      <w:lvlJc w:val="left"/>
    </w:lvl>
    <w:lvl w:ilvl="5" w:tplc="1376E680">
      <w:numFmt w:val="decimal"/>
      <w:lvlText w:val=""/>
      <w:lvlJc w:val="left"/>
    </w:lvl>
    <w:lvl w:ilvl="6" w:tplc="584812C2">
      <w:numFmt w:val="decimal"/>
      <w:lvlText w:val=""/>
      <w:lvlJc w:val="left"/>
    </w:lvl>
    <w:lvl w:ilvl="7" w:tplc="EA9ABED4">
      <w:numFmt w:val="decimal"/>
      <w:lvlText w:val=""/>
      <w:lvlJc w:val="left"/>
    </w:lvl>
    <w:lvl w:ilvl="8" w:tplc="5EB8369E">
      <w:numFmt w:val="decimal"/>
      <w:lvlText w:val=""/>
      <w:lvlJc w:val="left"/>
    </w:lvl>
  </w:abstractNum>
  <w:abstractNum w:abstractNumId="1" w15:restartNumberingAfterBreak="0">
    <w:nsid w:val="4A03212F"/>
    <w:multiLevelType w:val="hybridMultilevel"/>
    <w:tmpl w:val="64F80E62"/>
    <w:lvl w:ilvl="0" w:tplc="0C9E502E" w:tentative="1">
      <w:start w:val="1"/>
      <w:numFmt w:val="bullet"/>
      <w:lvlText w:val="•"/>
      <w:lvlJc w:val="left"/>
      <w:pPr>
        <w:ind w:left="720" w:hanging="360"/>
      </w:pPr>
    </w:lvl>
    <w:lvl w:ilvl="1" w:tplc="4DEEFBEA">
      <w:numFmt w:val="decimal"/>
      <w:lvlText w:val=""/>
      <w:lvlJc w:val="left"/>
    </w:lvl>
    <w:lvl w:ilvl="2" w:tplc="D5501258">
      <w:numFmt w:val="decimal"/>
      <w:lvlText w:val=""/>
      <w:lvlJc w:val="left"/>
    </w:lvl>
    <w:lvl w:ilvl="3" w:tplc="06C2A0EE">
      <w:numFmt w:val="decimal"/>
      <w:lvlText w:val=""/>
      <w:lvlJc w:val="left"/>
    </w:lvl>
    <w:lvl w:ilvl="4" w:tplc="4CDE6570">
      <w:numFmt w:val="decimal"/>
      <w:lvlText w:val=""/>
      <w:lvlJc w:val="left"/>
    </w:lvl>
    <w:lvl w:ilvl="5" w:tplc="D01E9E0A">
      <w:numFmt w:val="decimal"/>
      <w:lvlText w:val=""/>
      <w:lvlJc w:val="left"/>
    </w:lvl>
    <w:lvl w:ilvl="6" w:tplc="93E2C740">
      <w:numFmt w:val="decimal"/>
      <w:lvlText w:val=""/>
      <w:lvlJc w:val="left"/>
    </w:lvl>
    <w:lvl w:ilvl="7" w:tplc="9A646592">
      <w:numFmt w:val="decimal"/>
      <w:lvlText w:val=""/>
      <w:lvlJc w:val="left"/>
    </w:lvl>
    <w:lvl w:ilvl="8" w:tplc="F4AAA184">
      <w:numFmt w:val="decimal"/>
      <w:lvlText w:val=""/>
      <w:lvlJc w:val="left"/>
    </w:lvl>
  </w:abstractNum>
  <w:abstractNum w:abstractNumId="2" w15:restartNumberingAfterBreak="0">
    <w:nsid w:val="5D7D5657"/>
    <w:multiLevelType w:val="hybridMultilevel"/>
    <w:tmpl w:val="19ECF168"/>
    <w:lvl w:ilvl="0" w:tplc="BFD24CFA" w:tentative="1">
      <w:start w:val="1"/>
      <w:numFmt w:val="bullet"/>
      <w:lvlText w:val="●"/>
      <w:lvlJc w:val="left"/>
      <w:pPr>
        <w:ind w:left="720" w:hanging="360"/>
      </w:pPr>
    </w:lvl>
    <w:lvl w:ilvl="1" w:tplc="6A269F88" w:tentative="1">
      <w:start w:val="1"/>
      <w:numFmt w:val="bullet"/>
      <w:lvlText w:val="○"/>
      <w:lvlJc w:val="left"/>
      <w:pPr>
        <w:ind w:left="1440" w:hanging="360"/>
      </w:pPr>
    </w:lvl>
    <w:lvl w:ilvl="2" w:tplc="C3DC8C1E" w:tentative="1">
      <w:start w:val="1"/>
      <w:numFmt w:val="bullet"/>
      <w:lvlText w:val="■"/>
      <w:lvlJc w:val="left"/>
      <w:pPr>
        <w:ind w:left="2160" w:hanging="360"/>
      </w:pPr>
    </w:lvl>
    <w:lvl w:ilvl="3" w:tplc="D630A3C2" w:tentative="1">
      <w:start w:val="1"/>
      <w:numFmt w:val="bullet"/>
      <w:lvlText w:val="●"/>
      <w:lvlJc w:val="left"/>
      <w:pPr>
        <w:ind w:left="2880" w:hanging="360"/>
      </w:pPr>
    </w:lvl>
    <w:lvl w:ilvl="4" w:tplc="F16AFBAC" w:tentative="1">
      <w:start w:val="1"/>
      <w:numFmt w:val="bullet"/>
      <w:lvlText w:val="○"/>
      <w:lvlJc w:val="left"/>
      <w:pPr>
        <w:ind w:left="3600" w:hanging="360"/>
      </w:pPr>
    </w:lvl>
    <w:lvl w:ilvl="5" w:tplc="C11A89DC" w:tentative="1">
      <w:start w:val="1"/>
      <w:numFmt w:val="bullet"/>
      <w:lvlText w:val="■"/>
      <w:lvlJc w:val="left"/>
      <w:pPr>
        <w:ind w:left="4320" w:hanging="360"/>
      </w:pPr>
    </w:lvl>
    <w:lvl w:ilvl="6" w:tplc="4DFAC52E" w:tentative="1">
      <w:start w:val="1"/>
      <w:numFmt w:val="bullet"/>
      <w:lvlText w:val="●"/>
      <w:lvlJc w:val="left"/>
      <w:pPr>
        <w:ind w:left="5040" w:hanging="360"/>
      </w:pPr>
    </w:lvl>
    <w:lvl w:ilvl="7" w:tplc="1EAAE816" w:tentative="1">
      <w:start w:val="1"/>
      <w:numFmt w:val="bullet"/>
      <w:lvlText w:val="●"/>
      <w:lvlJc w:val="left"/>
      <w:pPr>
        <w:ind w:left="5760" w:hanging="360"/>
      </w:pPr>
    </w:lvl>
    <w:lvl w:ilvl="8" w:tplc="2C5C3904" w:tentative="1">
      <w:start w:val="1"/>
      <w:numFmt w:val="bullet"/>
      <w:lvlText w:val="●"/>
      <w:lvlJc w:val="left"/>
      <w:pPr>
        <w:ind w:left="6480" w:hanging="360"/>
      </w:pPr>
    </w:lvl>
  </w:abstractNum>
  <w:num w:numId="1" w16cid:durableId="1811902964">
    <w:abstractNumId w:val="2"/>
    <w:lvlOverride w:ilvl="0">
      <w:startOverride w:val="1"/>
    </w:lvlOverride>
  </w:num>
  <w:num w:numId="2" w16cid:durableId="1336497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310"/>
    <w:rsid w:val="00101AFB"/>
    <w:rsid w:val="00302310"/>
    <w:rsid w:val="00385D2F"/>
    <w:rsid w:val="004A3559"/>
    <w:rsid w:val="009A3889"/>
    <w:rsid w:val="00B2401C"/>
    <w:rsid w:val="00BE2C1E"/>
    <w:rsid w:val="00EE039B"/>
    <w:rsid w:val="00FA74B6"/>
    <w:rsid w:val="00FF0D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A679"/>
  <w15:docId w15:val="{F6880B37-3A82-433F-AA0C-1283AB04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20"/>
      <w:jc w:val="left"/>
      <w:outlineLvl w:val="0"/>
    </w:pPr>
    <w:rPr>
      <w:b/>
      <w:bCs/>
      <w:color w:val="000000"/>
      <w:sz w:val="26"/>
      <w:szCs w:val="26"/>
    </w:rPr>
  </w:style>
  <w:style w:type="paragraph" w:styleId="Ttulo2">
    <w:name w:val="heading 2"/>
    <w:basedOn w:val="Normal"/>
    <w:next w:val="Normal"/>
    <w:uiPriority w:val="9"/>
    <w:unhideWhenUsed/>
    <w:qFormat/>
    <w:pPr>
      <w:spacing w:before="240" w:after="120"/>
      <w:jc w:val="left"/>
      <w:outlineLvl w:val="1"/>
    </w:pPr>
    <w:rPr>
      <w:b/>
      <w:bCs/>
      <w:color w:val="000000"/>
      <w:sz w:val="24"/>
      <w:szCs w:val="24"/>
    </w:rPr>
  </w:style>
  <w:style w:type="paragraph" w:styleId="Ttulo3">
    <w:name w:val="heading 3"/>
    <w:basedOn w:val="Normal"/>
    <w:next w:val="Normal"/>
    <w:uiPriority w:val="9"/>
    <w:semiHidden/>
    <w:unhideWhenUsed/>
    <w:qFormat/>
    <w:pPr>
      <w:spacing w:before="240" w:after="120"/>
      <w:jc w:val="left"/>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Textodelmarcadordeposicin">
    <w:name w:val="Placeholder Text"/>
    <w:basedOn w:val="Fuentedeprrafopredeter"/>
    <w:uiPriority w:val="99"/>
    <w:semiHidden/>
    <w:rsid w:val="00385D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41eeb33101bfa9598a9f1059f1627cf3684ac97a.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602EC0-3DF7-470E-AA7E-5B1F7414E5B1}"/>
      </w:docPartPr>
      <w:docPartBody>
        <w:p w:rsidR="00E948AA" w:rsidRDefault="00E63AE7">
          <w:r w:rsidRPr="0058735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E7"/>
    <w:rsid w:val="003014AC"/>
    <w:rsid w:val="00CA075F"/>
    <w:rsid w:val="00E63AE7"/>
    <w:rsid w:val="00E948AA"/>
    <w:rsid w:val="00EE039B"/>
    <w:rsid w:val="00FA74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63A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CDCAF3-4CDC-4B76-A6E1-912FB80263C4}">
  <we:reference id="wa104382081" version="1.55.1.0" store="es-ES" storeType="OMEX"/>
  <we:alternateReferences>
    <we:reference id="WA104382081" version="1.55.1.0" store="WA104382081" storeType="OMEX"/>
  </we:alternateReferences>
  <we:properties>
    <we:property name="MENDELEY_CITATIONS" value="[{&quot;citationID&quot;:&quot;MENDELEY_CITATION_448f9fcf-84d6-4247-824c-2f955dd85593&quot;,&quot;properties&quot;:{&quot;noteIndex&quot;:0},&quot;isEdited&quot;:false,&quot;manualOverride&quot;:{&quot;isManuallyOverridden&quot;:false,&quot;citeprocText&quot;:&quot;(Mohammad et al., 2023)&quot;,&quot;manualOverrideText&quot;:&quot;&quot;},&quot;citationTag&quot;:&quot;MENDELEY_CITATION_v3_eyJjaXRhdGlvbklEIjoiTUVOREVMRVlfQ0lUQVRJT05fNDQ4ZjlmY2YtODRkNi00MjQ3LTgyNGMtMmY5NTVkZDg1NTkzIiwicHJvcGVydGllcyI6eyJub3RlSW5kZXgiOjB9LCJpc0VkaXRlZCI6ZmFsc2UsIm1hbnVhbE92ZXJyaWRlIjp7ImlzTWFudWFsbHlPdmVycmlkZGVuIjpmYWxzZSwiY2l0ZXByb2NUZXh0IjoiKE1vaGFtbWFkIGV0IGFsLiwgMjAyMykiLCJtYW51YWxPdmVycmlkZVRleHQiOiIifSwiY2l0YXRpb25JdGVtcyI6W3siaWQiOiJlZWQxZGI1OS03ZTE2LTMxMTktODQ4NC0xZTcxNzZmY2JlZjYiLCJpdGVtRGF0YSI6eyJ0eXBlIjoiYXJ0aWNsZS1qb3VybmFsIiwiaWQiOiJlZWQxZGI1OS03ZTE2LTMxMTktODQ4NC0xZTcxNzZmY2JlZjYiLCJ0aXRsZSI6Iklubm92YXRpdmUgc29sdXRpb25zIGluIGxhc3QgbWlsZSBkZWxpdmVyeTogQ29uY2VwdHMsIHByYWN0aWNlcywgY2hhbGxlbmdlcywgYW5kIGZ1dHVyZSBkaXJlY3Rpb25zIiwiYXV0aG9yIjpbeyJmYW1pbHkiOiJNb2hhbW1hZCIsImdpdmVuIjoiV2Fzc2VuIEEgTSIsInBhcnNlLW5hbWVzIjpmYWxzZSwiZHJvcHBpbmctcGFydGljbGUiOiIiLCJub24tZHJvcHBpbmctcGFydGljbGUiOiIifSx7ImZhbWlseSI6Ik5hemloIERpYWIiLCJnaXZlbiI6IllvdXNlZiIsInBhcnNlLW5hbWVzIjpmYWxzZSwiZHJvcHBpbmctcGFydGljbGUiOiIiLCJub24tZHJvcHBpbmctcGFydGljbGUiOiIifSx7ImZhbWlseSI6IkVsb21yaSIsImdpdmVuIjoiQWRlbCIsInBhcnNlLW5hbWVzIjpmYWxzZSwiZHJvcHBpbmctcGFydGljbGUiOiIiLCJub24tZHJvcHBpbmctcGFydGljbGUiOiIifSx7ImZhbWlseSI6IlRyaWtpIiwiZ2l2ZW4iOiJDaGVmaSIsInBhcnNlLW5hbWVzIjpmYWxzZSwiZHJvcHBpbmctcGFydGljbGUiOiIiLCJub24tZHJvcHBpbmctcGFydGljbGUiOiIifV0sImNvbnRhaW5lci10aXRsZSI6IlN1cHBseSBDaGFpbiBGb3J1bTogQW4gSW50ZXJuYXRpb25hbCBKb3VybmFsIiwiRE9JIjoiMTAuMTA4MC8xNjI1ODMxMi4yMDIzLjIxNzM0ODgiLCJVUkwiOiJodHRwczovL2RvaS5vcmcvMTAuMTA4MC8xNjI1ODMxMi4yMDIzLjIxNzM0ODgiLCJpc3N1ZWQiOnsiZGF0ZS1wYXJ0cyI6W1syMDIzXV19LCJwYWdlIjoiMTUxLTE2OSIsImlzc3VlIjoiMiIsInZvbHVtZSI6IjI0IiwiY29udGFpbmVyLXRpdGxlLXNob3J0IjoiIn0sImlzVGVtcG9yYXJ5IjpmYWxzZSwic3VwcHJlc3MtYXV0aG9yIjpmYWxzZSwiY29tcG9zaXRlIjpmYWxzZSwiYXV0aG9yLW9ubHkiOmZhbHNlfV19&quot;,&quot;citationItems&quot;:[{&quot;id&quot;:&quot;eed1db59-7e16-3119-8484-1e7176fcbef6&quot;,&quot;itemData&quot;:{&quot;type&quot;:&quot;article-journal&quot;,&quot;id&quot;:&quot;eed1db59-7e16-3119-8484-1e7176fcbef6&quot;,&quot;title&quot;:&quot;Innovative solutions in last mile delivery: Concepts, practices, challenges, and future directions&quot;,&quot;author&quot;:[{&quot;family&quot;:&quot;Mohammad&quot;,&quot;given&quot;:&quot;Wassen A M&quot;,&quot;parse-names&quot;:false,&quot;dropping-particle&quot;:&quot;&quot;,&quot;non-dropping-particle&quot;:&quot;&quot;},{&quot;family&quot;:&quot;Nazih Diab&quot;,&quot;given&quot;:&quot;Yousef&quot;,&quot;parse-names&quot;:false,&quot;dropping-particle&quot;:&quot;&quot;,&quot;non-dropping-particle&quot;:&quot;&quot;},{&quot;family&quot;:&quot;Elomri&quot;,&quot;given&quot;:&quot;Adel&quot;,&quot;parse-names&quot;:false,&quot;dropping-particle&quot;:&quot;&quot;,&quot;non-dropping-particle&quot;:&quot;&quot;},{&quot;family&quot;:&quot;Triki&quot;,&quot;given&quot;:&quot;Chefi&quot;,&quot;parse-names&quot;:false,&quot;dropping-particle&quot;:&quot;&quot;,&quot;non-dropping-particle&quot;:&quot;&quot;}],&quot;container-title&quot;:&quot;Supply Chain Forum: An International Journal&quot;,&quot;DOI&quot;:&quot;10.1080/16258312.2023.2173488&quot;,&quot;URL&quot;:&quot;https://doi.org/10.1080/16258312.2023.2173488&quot;,&quot;issued&quot;:{&quot;date-parts&quot;:[[2023]]},&quot;page&quot;:&quot;151-169&quot;,&quot;issue&quot;:&quot;2&quot;,&quot;volume&quot;:&quot;24&quot;,&quot;container-title-short&quot;:&quot;&quot;},&quot;isTemporary&quot;:false,&quot;suppress-author&quot;:false,&quot;composite&quot;:false,&quot;author-only&quot;:false}]},{&quot;citationID&quot;:&quot;MENDELEY_CITATION_5070e9c2-a767-4220-bdd4-84d7dfd83a51&quot;,&quot;properties&quot;:{&quot;noteIndex&quot;:0},&quot;isEdited&quot;:false,&quot;manualOverride&quot;:{&quot;isManuallyOverridden&quot;:false,&quot;citeprocText&quot;:&quot;(Janinhoff et al., 2024)&quot;,&quot;manualOverrideText&quot;:&quot;&quot;},&quot;citationTag&quot;:&quot;MENDELEY_CITATION_v3_eyJjaXRhdGlvbklEIjoiTUVOREVMRVlfQ0lUQVRJT05fNTA3MGU5YzItYTc2Ny00MjIwLWJkZDQtODRkN2RmZDgzYTUxIiwicHJvcGVydGllcyI6eyJub3RlSW5kZXgiOjB9LCJpc0VkaXRlZCI6ZmFsc2UsIm1hbnVhbE92ZXJyaWRlIjp7ImlzTWFudWFsbHlPdmVycmlkZGVuIjpmYWxzZSwiY2l0ZXByb2NUZXh0IjoiKEphbmluaG9mZiBldCBhbC4sIDIwMjQpIiwibWFudWFsT3ZlcnJpZGVUZXh0IjoiIn0sImNpdGF0aW9uSXRlbXMiOlt7ImlkIjoiYmY4MzQzM2EtZWVlMi0zODExLTlhZmUtMThhM2FjZjZhZDIzIiwiaXRlbURhdGEiOnsidHlwZSI6ImFydGljbGUtam91cm5hbCIsImlkIjoiYmY4MzQzM2EtZWVlMi0zODExLTlhZmUtMThhM2FjZjZhZDIzIiwidGl0bGUiOiJPdXQtb2YtaG9tZSBkZWxpdmVyeSBpbiBsYXN0LW1pbGUgbG9naXN0aWNzOiBBIHJldmlldyIsImF1dGhvciI6W3siZmFtaWx5IjoiSmFuaW5ob2ZmIiwiZ2l2ZW4iOiJMdWthcyIsInBhcnNlLW5hbWVzIjpmYWxzZSwiZHJvcHBpbmctcGFydGljbGUiOiIiLCJub24tZHJvcHBpbmctcGFydGljbGUiOiIifSx7ImZhbWlseSI6IktsZWluIiwiZ2l2ZW4iOiJSb2JlcnQiLCJwYXJzZS1uYW1lcyI6ZmFsc2UsImRyb3BwaW5nLXBhcnRpY2xlIjoiIiwibm9uLWRyb3BwaW5nLXBhcnRpY2xlIjoiIn0seyJmYW1pbHkiOiJTYWlsZXIiLCJnaXZlbiI6IkRhbmllbGEiLCJwYXJzZS1uYW1lcyI6ZmFsc2UsImRyb3BwaW5nLXBhcnRpY2xlIjoiIiwibm9uLWRyb3BwaW5nLXBhcnRpY2xlIjoiIn0seyJmYW1pbHkiOiJTY2hvcHBhIiwiZ2l2ZW4iOiJKaW0gTW9ydGVuIiwicGFyc2UtbmFtZXMiOmZhbHNlLCJkcm9wcGluZy1wYXJ0aWNsZSI6IiIsIm5vbi1kcm9wcGluZy1wYXJ0aWNsZSI6IiJ9XSwiY29udGFpbmVyLXRpdGxlIjoiQ29tcHV0ZXJzICYgT3BlcmF0aW9ucyBSZXNlYXJjaCIsImNvbnRhaW5lci10aXRsZS1zaG9ydCI6IkNvbXB1dC4gT3Blci4gUmVzLiIsIkRPSSI6IjEwLjEwMTYvai5jb3IuMjAyNC4xMDY2ODYiLCJVUkwiOiJodHRwczovL2RvaS5vcmcvMTAuMTAxNi9qLmNvci4yMDI0LjEwNjY4NiIsImlzc3VlZCI6eyJkYXRlLXBhcnRzIjpbWzIwMjRdXX0sInBhZ2UiOiIxMDY2ODYiLCJ2b2x1bWUiOiIxNjgifSwiaXNUZW1wb3JhcnkiOmZhbHNlfV19&quot;,&quot;citationItems&quot;:[{&quot;id&quot;:&quot;bf83433a-eee2-3811-9afe-18a3acf6ad23&quot;,&quot;itemData&quot;:{&quot;type&quot;:&quot;article-journal&quot;,&quot;id&quot;:&quot;bf83433a-eee2-3811-9afe-18a3acf6ad23&quot;,&quot;title&quot;:&quot;Out-of-home delivery in last-mile logistics: A review&quot;,&quot;author&quot;:[{&quot;family&quot;:&quot;Janinhoff&quot;,&quot;given&quot;:&quot;Lukas&quot;,&quot;parse-names&quot;:false,&quot;dropping-particle&quot;:&quot;&quot;,&quot;non-dropping-particle&quot;:&quot;&quot;},{&quot;family&quot;:&quot;Klein&quot;,&quot;given&quot;:&quot;Robert&quot;,&quot;parse-names&quot;:false,&quot;dropping-particle&quot;:&quot;&quot;,&quot;non-dropping-particle&quot;:&quot;&quot;},{&quot;family&quot;:&quot;Sailer&quot;,&quot;given&quot;:&quot;Daniela&quot;,&quot;parse-names&quot;:false,&quot;dropping-particle&quot;:&quot;&quot;,&quot;non-dropping-particle&quot;:&quot;&quot;},{&quot;family&quot;:&quot;Schoppa&quot;,&quot;given&quot;:&quot;Jim Morten&quot;,&quot;parse-names&quot;:false,&quot;dropping-particle&quot;:&quot;&quot;,&quot;non-dropping-particle&quot;:&quot;&quot;}],&quot;container-title&quot;:&quot;Computers &amp; Operations Research&quot;,&quot;container-title-short&quot;:&quot;Comput. Oper. Res.&quot;,&quot;DOI&quot;:&quot;10.1016/j.cor.2024.106686&quot;,&quot;URL&quot;:&quot;https://doi.org/10.1016/j.cor.2024.106686&quot;,&quot;issued&quot;:{&quot;date-parts&quot;:[[2024]]},&quot;page&quot;:&quot;106686&quot;,&quot;volume&quot;:&quot;168&quot;},&quot;isTemporary&quot;:false}]},{&quot;citationID&quot;:&quot;MENDELEY_CITATION_83e31786-79f2-4db7-9e29-4d44cc8c379f&quot;,&quot;properties&quot;:{&quot;noteIndex&quot;:0},&quot;isEdited&quot;:false,&quot;manualOverride&quot;:{&quot;isManuallyOverridden&quot;:true,&quot;citeprocText&quot;:&quot;(Electrónico, 2025)&quot;,&quot;manualOverrideText&quot;:&quot;(CCCE, 2025)&quot;},&quot;citationTag&quot;:&quot;MENDELEY_CITATION_v3_eyJjaXRhdGlvbklEIjoiTUVOREVMRVlfQ0lUQVRJT05fODNlMzE3ODYtNzlmMi00ZGI3LTllMjktNGQ0NGNjOGMzNzlmIiwicHJvcGVydGllcyI6eyJub3RlSW5kZXgiOjB9LCJpc0VkaXRlZCI6ZmFsc2UsIm1hbnVhbE92ZXJyaWRlIjp7ImlzTWFudWFsbHlPdmVycmlkZGVuIjp0cnVlLCJjaXRlcHJvY1RleHQiOiIoRWxlY3Ryw7NuaWNvLCAyMDI1KSIsIm1hbnVhbE92ZXJyaWRlVGV4dCI6IihDQ0NFLCAyMDI1KSJ9LCJjaXRhdGlvbkl0ZW1zIjpbeyJpZCI6IjE5MzI2NzQyLTc0ZDItMzg2Yi1hOWJjLWZkNTU0MDNiNDkxZSIsIml0ZW1EYXRhIjp7InR5cGUiOiJyZXBvcnQiLCJpZCI6IjE5MzI2NzQyLTc0ZDItMzg2Yi1hOWJjLWZkNTU0MDNiNDkxZSIsInRpdGxlIjoiSW5mb3JtZSBkZSBjaWVycmUgZGVsIGNvbWVyY2lvIGVsZWN0csOzbmljbyBlbiBDb2xvbWJpYSDigJMgMjAyNSIsImF1dGhvciI6W3siZmFtaWx5IjoiRWxlY3Ryw7NuaWNvIiwiZ2l2ZW4iOiJDw6FtYXJhIENvbG9tYmlhbmEgZGUgQ29tZXJjaW8iLCJwYXJzZS1uYW1lcyI6ZmFsc2UsImRyb3BwaW5nLXBhcnRpY2xlIjoiIiwibm9uLWRyb3BwaW5nLXBhcnRpY2xlIjoiIn1dLCJVUkwiOiJodHRwczovL2NjY2Uub3JnLmNvL3dwLWNvbnRlbnQvdXBsb2Fkcy8yMDE3LzA2L1YyLTEtUFVCTElDTy1JTkZPUk1FLURFLUNJRVJSRS0yMDI1LnBkZiIsImlzc3VlZCI6eyJkYXRlLXBhcnRzIjpbWzIwMjVdXX0sImNvbnRhaW5lci10aXRsZS1zaG9ydCI6IiJ9LCJpc1RlbXBvcmFyeSI6ZmFsc2UsInN1cHByZXNzLWF1dGhvciI6ZmFsc2UsImNvbXBvc2l0ZSI6ZmFsc2UsImF1dGhvci1vbmx5IjpmYWxzZX1dfQ==&quot;,&quot;citationItems&quot;:[{&quot;id&quot;:&quot;19326742-74d2-386b-a9bc-fd55403b491e&quot;,&quot;itemData&quot;:{&quot;type&quot;:&quot;report&quot;,&quot;id&quot;:&quot;19326742-74d2-386b-a9bc-fd55403b491e&quot;,&quot;title&quot;:&quot;Informe de cierre del comercio electrónico en Colombia – 2025&quot;,&quot;author&quot;:[{&quot;family&quot;:&quot;Electrónico&quot;,&quot;given&quot;:&quot;Cámara Colombiana de Comercio&quot;,&quot;parse-names&quot;:false,&quot;dropping-particle&quot;:&quot;&quot;,&quot;non-dropping-particle&quot;:&quot;&quot;}],&quot;URL&quot;:&quot;https://ccce.org.co/wp-content/uploads/2017/06/V2-1-PUBLICO-INFORME-DE-CIERRE-2025.pdf&quot;,&quot;issued&quot;:{&quot;date-parts&quot;:[[2025]]},&quot;container-title-short&quot;:&quot;&quot;},&quot;isTemporary&quot;:false,&quot;suppress-author&quot;:false,&quot;composite&quot;:false,&quot;author-only&quot;:false}]},{&quot;citationID&quot;:&quot;MENDELEY_CITATION_133f132f-293a-4bf1-bac7-293e9adfbfaf&quot;,&quot;properties&quot;:{&quot;noteIndex&quot;:0},&quot;isEdited&quot;:false,&quot;manualOverride&quot;:{&quot;isManuallyOverridden&quot;:true,&quot;citeprocText&quot;:&quot;(Comunicaciones, 2026; Planeación, 2023)&quot;,&quot;manualOverrideText&quot;:&quot;(MinTic, 2026)&quot;},&quot;citationTag&quot;:&quot;MENDELEY_CITATION_v3_eyJjaXRhdGlvbklEIjoiTUVOREVMRVlfQ0lUQVRJT05fMTMzZjEzMmYtMjkzYS00YmYxLWJhYzctMjkzZTlhZGZiZmFmIiwicHJvcGVydGllcyI6eyJub3RlSW5kZXgiOjB9LCJpc0VkaXRlZCI6ZmFsc2UsIm1hbnVhbE92ZXJyaWRlIjp7ImlzTWFudWFsbHlPdmVycmlkZGVuIjp0cnVlLCJjaXRlcHJvY1RleHQiOiIoQ29tdW5pY2FjaW9uZXMsIDIwMjY7IFBsYW5lYWNpw7NuLCAyMDIzKSIsIm1hbnVhbE92ZXJyaWRlVGV4dCI6IihNaW5UaWMsIDIwMjYpIn0sImNpdGF0aW9uSXRlbXMiOlt7ImlkIjoiOWYxYTU5YjktMmZhMy0zYjAyLWI0MDgtODgwZTJjZjAwYzEzIiwiaXRlbURhdGEiOnsidHlwZSI6InJlcG9ydCIsImlkIjoiOWYxYTU5YjktMmZhMy0zYjAyLWI0MDgtODgwZTJjZjAwYzEzIiwidGl0bGUiOiJCb2xldMOtbiB0cmltZXN0cmFsIGRlbCBzZWN0b3IgcG9zdGFsOiBDdWFydG8gdHJpbWVzdHJlIGRlIDIwMjUiLCJhdXRob3IiOlt7ImZhbWlseSI6IkNvbXVuaWNhY2lvbmVzIiwiZ2l2ZW4iOiJNaW5pc3RlcmlvIGRlIFRlY25vbG9nw61hcyBkZSBsYSBJbmZvcm1hY2nDs24geSIsInBhcnNlLW5hbWVzIjpmYWxzZSwiZHJvcHBpbmctcGFydGljbGUiOiJsYXMiLCJub24tZHJvcHBpbmctcGFydGljbGUiOiIifV0sIlVSTCI6Imh0dHBzOi8vY29sb21iaWF0aWMubWludGljLmdvdi5jby82NzkvYXJ0aWNsZXMtNDI4NDUzX3ByZXNlbnRhY2lvbl9jaWZyYXMucGRmIiwiaXNzdWVkIjp7ImRhdGUtcGFydHMiOltbMjAyNl1dfSwicHVibGlzaGVyIjoiQ29sb21iaWEgVElDIiwiY29udGFpbmVyLXRpdGxlLXNob3J0IjoiIn0sImlzVGVtcG9yYXJ5IjpmYWxzZSwic3VwcHJlc3MtYXV0aG9yIjpmYWxzZSwiY29tcG9zaXRlIjpmYWxzZSwiYXV0aG9yLW9ubHkiOmZhbHNlfSx7ImlkIjoiMGVlYTBhZGYtNGVlZC0zNjc3LThlOTQtYjUzMWQwZmEwZDBjIiwiaXRlbURhdGEiOnsidHlwZSI6ImFydGljbGUiLCJpZCI6IjBlZWEwYWRmLTRlZWQtMzY3Ny04ZTk0LWI1MzFkMGZhMGQwYyIsInRpdGxlIjoiRWwgRE5QIHJldmVsw7MgcXVlIGVsIGNvc3RvIGxvZ8Otc3RpY28gbmFjaW9uYWwgc2UgdWJpY8OzIGVuIDE3LDklLCA1IHAucC4gcG9yIGVuY2ltYSBkZSBsYSBtZXRhIGRlIDEyLDklIiwiYXV0aG9yIjpbeyJmYW1pbHkiOiJQbGFuZWFjacOzbiIsImdpdmVuIjoiRGVwYXJ0YW1lbnRvIE5hY2lvbmFsIiwicGFyc2UtbmFtZXMiOmZhbHNlLCJkcm9wcGluZy1wYXJ0aWNsZSI6ImRlIiwibm9uLWRyb3BwaW5nLXBhcnRpY2xlIjoiIn1dLCJVUkwiOiJodHRwczovL3d3dy5kbnAuZ292LmNvL1ByZW5zYV8vTm90aWNpYXMvUGFnaW5hcy9lbC1kbnAtcmV2ZWxvLXF1ZS1lbC1jb3N0by1sb2dpc3RpY28tbmFjaW9uYWwtc2UtdWJpY28tZW4tMTctOS01LXAtcC1wb3ItZW5jaW1hLWRlLWxhLW1ldGEtZGUtMTItOS5hc3B4IiwiaXNzdWVkIjp7ImRhdGUtcGFydHMiOltbMjAyM11dfX0sImlzVGVtcG9yYXJ5IjpmYWxzZX1dfQ==&quot;,&quot;citationItems&quot;:[{&quot;id&quot;:&quot;9f1a59b9-2fa3-3b02-b408-880e2cf00c13&quot;,&quot;itemData&quot;:{&quot;type&quot;:&quot;report&quot;,&quot;id&quot;:&quot;9f1a59b9-2fa3-3b02-b408-880e2cf00c13&quot;,&quot;title&quot;:&quot;Boletín trimestral del sector postal: Cuarto trimestre de 2025&quot;,&quot;author&quot;:[{&quot;family&quot;:&quot;Comunicaciones&quot;,&quot;given&quot;:&quot;Ministerio de Tecnologías de la Información y&quot;,&quot;parse-names&quot;:false,&quot;dropping-particle&quot;:&quot;las&quot;,&quot;non-dropping-particle&quot;:&quot;&quot;}],&quot;URL&quot;:&quot;https://colombiatic.mintic.gov.co/679/articles-428453_presentacion_cifras.pdf&quot;,&quot;issued&quot;:{&quot;date-parts&quot;:[[2026]]},&quot;publisher&quot;:&quot;Colombia TIC&quot;,&quot;container-title-short&quot;:&quot;&quot;},&quot;isTemporary&quot;:false,&quot;suppress-author&quot;:false,&quot;composite&quot;:false,&quot;author-only&quot;:false},{&quot;id&quot;:&quot;0eea0adf-4eed-3677-8e94-b531d0fa0d0c&quot;,&quot;itemData&quot;:{&quot;type&quot;:&quot;article&quot;,&quot;id&quot;:&quot;0eea0adf-4eed-3677-8e94-b531d0fa0d0c&quot;,&quot;title&quot;:&quot;El DNP reveló que el costo logístico nacional se ubicó en 17,9%, 5 p.p. por encima de la meta de 12,9%&quot;,&quot;author&quot;:[{&quot;family&quot;:&quot;Planeación&quot;,&quot;given&quot;:&quot;Departamento Nacional&quot;,&quot;parse-names&quot;:false,&quot;dropping-particle&quot;:&quot;de&quot;,&quot;non-dropping-particle&quot;:&quot;&quot;}],&quot;URL&quot;:&quot;https://www.dnp.gov.co/Prensa_/Noticias/Paginas/el-dnp-revelo-que-el-costo-logistico-nacional-se-ubico-en-17-9-5-p-p-por-encima-de-la-meta-de-12-9.aspx&quot;,&quot;issued&quot;:{&quot;date-parts&quot;:[[2023]]}},&quot;isTemporary&quot;:false}]},{&quot;citationID&quot;:&quot;MENDELEY_CITATION_f9b2cd40-127f-48ee-9696-eb4fd22e3f9d&quot;,&quot;properties&quot;:{&quot;noteIndex&quot;:0},&quot;isEdited&quot;:false,&quot;manualOverride&quot;:{&quot;isManuallyOverridden&quot;:true,&quot;citeprocText&quot;:&quot;(Planeación, 2023)&quot;,&quot;manualOverrideText&quot;:&quot;(DPN, 2023)&quot;},&quot;citationItems&quot;:[{&quot;id&quot;:&quot;0eea0adf-4eed-3677-8e94-b531d0fa0d0c&quot;,&quot;itemData&quot;:{&quot;type&quot;:&quot;article&quot;,&quot;id&quot;:&quot;0eea0adf-4eed-3677-8e94-b531d0fa0d0c&quot;,&quot;title&quot;:&quot;El DNP reveló que el costo logístico nacional se ubicó en 17,9%, 5 p.p. por encima de la meta de 12,9%&quot;,&quot;author&quot;:[{&quot;family&quot;:&quot;Planeación&quot;,&quot;given&quot;:&quot;Departamento Nacional&quot;,&quot;parse-names&quot;:false,&quot;dropping-particle&quot;:&quot;de&quot;,&quot;non-dropping-particle&quot;:&quot;&quot;}],&quot;URL&quot;:&quot;https://www.dnp.gov.co/Prensa_/Noticias/Paginas/el-dnp-revelo-que-el-costo-logistico-nacional-se-ubico-en-17-9-5-p-p-por-encima-de-la-meta-de-12-9.aspx&quot;,&quot;issued&quot;:{&quot;date-parts&quot;:[[2023]]},&quot;container-title-short&quot;:&quot;&quot;},&quot;isTemporary&quot;:false,&quot;suppress-author&quot;:false,&quot;composite&quot;:false,&quot;author-only&quot;:false}],&quot;citationTag&quot;:&quot;MENDELEY_CITATION_v3_eyJjaXRhdGlvbklEIjoiTUVOREVMRVlfQ0lUQVRJT05fZjliMmNkNDAtMTI3Zi00OGVlLTk2OTYtZWI0ZmQyMmUzZjlkIiwicHJvcGVydGllcyI6eyJub3RlSW5kZXgiOjB9LCJpc0VkaXRlZCI6ZmFsc2UsIm1hbnVhbE92ZXJyaWRlIjp7ImlzTWFudWFsbHlPdmVycmlkZGVuIjp0cnVlLCJjaXRlcHJvY1RleHQiOiIoUGxhbmVhY2nDs24sIDIwMjMpIiwibWFudWFsT3ZlcnJpZGVUZXh0IjoiKERQTiwgMjAyMykifSwiY2l0YXRpb25JdGVtcyI6W3siaWQiOiIwZWVhMGFkZi00ZWVkLTM2NzctOGU5NC1iNTMxZDBmYTBkMGMiLCJpdGVtRGF0YSI6eyJ0eXBlIjoiYXJ0aWNsZSIsImlkIjoiMGVlYTBhZGYtNGVlZC0zNjc3LThlOTQtYjUzMWQwZmEwZDBjIiwidGl0bGUiOiJFbCBETlAgcmV2ZWzDsyBxdWUgZWwgY29zdG8gbG9nw61zdGljbyBuYWNpb25hbCBzZSB1Ymljw7MgZW4gMTcsOSUsIDUgcC5wLiBwb3IgZW5jaW1hIGRlIGxhIG1ldGEgZGUgMTIsOSUiLCJhdXRob3IiOlt7ImZhbWlseSI6IlBsYW5lYWNpw7NuIiwiZ2l2ZW4iOiJEZXBhcnRhbWVudG8gTmFjaW9uYWwiLCJwYXJzZS1uYW1lcyI6ZmFsc2UsImRyb3BwaW5nLXBhcnRpY2xlIjoiZGUiLCJub24tZHJvcHBpbmctcGFydGljbGUiOiIifV0sIlVSTCI6Imh0dHBzOi8vd3d3LmRucC5nb3YuY28vUHJlbnNhXy9Ob3RpY2lhcy9QYWdpbmFzL2VsLWRucC1yZXZlbG8tcXVlLWVsLWNvc3RvLWxvZ2lzdGljby1uYWNpb25hbC1zZS11Ymljby1lbi0xNy05LTUtcC1wLXBvci1lbmNpbWEtZGUtbGEtbWV0YS1kZS0xMi05LmFzcHgiLCJpc3N1ZWQiOnsiZGF0ZS1wYXJ0cyI6W1syMDIzXV19LCJjb250YWluZXItdGl0bGUtc2hvcnQiOiIifSwiaXNUZW1wb3JhcnkiOmZhbHNlLCJzdXBwcmVzcy1hdXRob3IiOmZhbHNlLCJjb21wb3NpdGUiOmZhbHNlLCJhdXRob3Itb25seSI6ZmFsc2V9XX0=&quot;},{&quot;citationID&quot;:&quot;MENDELEY_CITATION_78d02393-9075-4edd-843e-447f6d3ff7df&quot;,&quot;properties&quot;:{&quot;noteIndex&quot;:0},&quot;isEdited&quot;:false,&quot;manualOverride&quot;:{&quot;isManuallyOverridden&quot;:false,&quot;citeprocText&quot;:&quot;(Planeación, 2025)&quot;,&quot;manualOverrideText&quot;:&quot;&quot;},&quot;citationTag&quot;:&quot;MENDELEY_CITATION_v3_eyJjaXRhdGlvbklEIjoiTUVOREVMRVlfQ0lUQVRJT05fNzhkMDIzOTMtOTA3NS00ZWRkLTg0M2UtNDQ3ZjZkM2ZmN2RmIiwicHJvcGVydGllcyI6eyJub3RlSW5kZXgiOjB9LCJpc0VkaXRlZCI6ZmFsc2UsIm1hbnVhbE92ZXJyaWRlIjp7ImlzTWFudWFsbHlPdmVycmlkZGVuIjpmYWxzZSwiY2l0ZXByb2NUZXh0IjoiKFBsYW5lYWNpw7NuLCAyMDI1KSIsIm1hbnVhbE92ZXJyaWRlVGV4dCI6IiJ9LCJjaXRhdGlvbkl0ZW1zIjpbeyJpZCI6IjBhMDVjNTQxLWE5N2QtMzVlNy1hOTUxLWI0NzgxMmZkOWVlNyIsIml0ZW1EYXRhIjp7InR5cGUiOiJhcnRpY2xlIiwiaWQiOiIwYTA1YzU0MS1hOTdkLTM1ZTctYTk1MS1iNDc4MTJmZDllZTciLCJ0aXRsZSI6IkxhIGxvZ8Otc3RpY2EgZGVsIHBhw61zIGF2YW56YSBpbXB1bHNhZGEgcG9yIGxhcyByZWdpb25lczogTWVub3JlcyBjb3N0b3MgeSBsYSBsb2fDrXN0aWNhIHZlcmRlIHNlIGRlc3RhY2FuIGVuIGxhIEVOTCAyMDI0IChFbmN1ZXN0YSBOYWNpb25hbCBMb2fDrXN0aWNhKSIsImF1dGhvciI6W3siZmFtaWx5IjoiUGxhbmVhY2nDs24iLCJnaXZlbiI6IkRlcGFydGFtZW50byBOYWNpb25hbCIsInBhcnNlLW5hbWVzIjpmYWxzZSwiZHJvcHBpbmctcGFydGljbGUiOiJkZSIsIm5vbi1kcm9wcGluZy1wYXJ0aWNsZSI6IiJ9XSwiVVJMIjoiaHR0cHM6Ly9kbnAuZ292LmNvL1ByZW5zYV8vTm90aWNpYXMvUGFnaW5hcy9MYS1sb2dpc3RpY2EtZGVsLXBhaXMtYXZhbnphLWltcHVsc2FkYS1wb3ItcmVnaW9uZXMtbWVub3Jlcy1jb3N0b3MtZW5jdWVzdGEtbmFjaW9uYWwtbG9naXN0aWNhLmFzcHgiLCJpc3N1ZWQiOnsiZGF0ZS1wYXJ0cyI6W1syMDI1XV19LCJjb250YWluZXItdGl0bGUtc2hvcnQiOiIifSwiaXNUZW1wb3JhcnkiOmZhbHNlLCJzdXBwcmVzcy1hdXRob3IiOmZhbHNlLCJjb21wb3NpdGUiOmZhbHNlLCJhdXRob3Itb25seSI6ZmFsc2V9XX0=&quot;,&quot;citationItems&quot;:[{&quot;id&quot;:&quot;0a05c541-a97d-35e7-a951-b47812fd9ee7&quot;,&quot;itemData&quot;:{&quot;type&quot;:&quot;article&quot;,&quot;id&quot;:&quot;0a05c541-a97d-35e7-a951-b47812fd9ee7&quot;,&quot;title&quot;:&quot;La logística del país avanza impulsada por las regiones: Menores costos y la logística verde se destacan en la ENL 2024 (Encuesta Nacional Logística)&quot;,&quot;author&quot;:[{&quot;family&quot;:&quot;Planeación&quot;,&quot;given&quot;:&quot;Departamento Nacional&quot;,&quot;parse-names&quot;:false,&quot;dropping-particle&quot;:&quot;de&quot;,&quot;non-dropping-particle&quot;:&quot;&quot;}],&quot;URL&quot;:&quot;https://dnp.gov.co/Prensa_/Noticias/Paginas/La-logistica-del-pais-avanza-impulsada-por-regiones-menores-costos-encuesta-nacional-logistica.aspx&quot;,&quot;issued&quot;:{&quot;date-parts&quot;:[[2025]]},&quot;container-title-short&quot;:&quot;&quot;},&quot;isTemporary&quot;:false,&quot;suppress-author&quot;:false,&quot;composite&quot;:false,&quot;author-only&quot;:false}]},{&quot;citationID&quot;:&quot;MENDELEY_CITATION_0bda5742-65ba-448d-b4b3-9093130d09c1&quot;,&quot;properties&quot;:{&quot;noteIndex&quot;:0},&quot;isEdited&quot;:false,&quot;manualOverride&quot;:{&quot;isManuallyOverridden&quot;:true,&quot;citeprocText&quot;:&quot;(Gutierrez-Franco et al., 2021)&quot;,&quot;manualOverrideText&quot;:&quot;(Gutiérrez-Franco et al., 2021)&quot;},&quot;citationTag&quot;:&quot;MENDELEY_CITATION_v3_eyJjaXRhdGlvbklEIjoiTUVOREVMRVlfQ0lUQVRJT05fMGJkYTU3NDItNjViYS00NDhkLWI0YjMtOTA5MzEzMGQwOWMxIiwicHJvcGVydGllcyI6eyJub3RlSW5kZXgiOjB9LCJpc0VkaXRlZCI6ZmFsc2UsIm1hbnVhbE92ZXJyaWRlIjp7ImlzTWFudWFsbHlPdmVycmlkZGVuIjp0cnVlLCJjaXRlcHJvY1RleHQiOiIoR3V0aWVycmV6LUZyYW5jbyBldCBhbC4sIDIwMjEpIiwibWFudWFsT3ZlcnJpZGVUZXh0IjoiKEd1dGnDqXJyZXotRnJhbmNvIGV0IGFsLiwgMjAyMSkifSwiY2l0YXRpb25JdGVtcyI6W3siaWQiOiIzN2Y4NGY5Yy0yMTg2LTMzODAtOWMzNC00MTFiYzQ4YjJiMGUiLCJpdGVtRGF0YSI6eyJ0eXBlIjoiYXJ0aWNsZS1qb3VybmFsIiwiaWQiOiIzN2Y4NGY5Yy0yMTg2LTMzODAtOWMzNC00MTFiYzQ4YjJiMGUiLCJ0aXRsZSI6IkRhdGEtZHJpdmVuIG1ldGhvZG9sb2d5IHRvIHN1cHBvcnQgbG9uZy1sYXN0aW5nIGxvZ2lzdGljcyBhbmQgZGVjaXNpb24gbWFraW5nIGZvciB1cmJhbiBsYXN0LW1pbGUgb3BlcmF0aW9ucyIsImF1dGhvciI6W3siZmFtaWx5IjoiR3V0aWVycmV6LUZyYW5jbyIsImdpdmVuIjoiRWRnYXIiLCJwYXJzZS1uYW1lcyI6ZmFsc2UsImRyb3BwaW5nLXBhcnRpY2xlIjoiIiwibm9uLWRyb3BwaW5nLXBhcnRpY2xlIjoiIn0seyJmYW1pbHkiOiJNZWppYS1Bcmd1ZXRhIiwiZ2l2ZW4iOiJDaHJpc3RvcGhlciIsInBhcnNlLW5hbWVzIjpmYWxzZSwiZHJvcHBpbmctcGFydGljbGUiOiIiLCJub24tZHJvcHBpbmctcGFydGljbGUiOiIifSx7ImZhbWlseSI6IlJhYmVsbyIsImdpdmVuIjoiTHVpcyIsInBhcnNlLW5hbWVzIjpmYWxzZSwiZHJvcHBpbmctcGFydGljbGUiOiIiLCJub24tZHJvcHBpbmctcGFydGljbGUiOiIifV0sImNvbnRhaW5lci10aXRsZSI6IlN1c3RhaW5hYmlsaXR5IiwiY29udGFpbmVyLXRpdGxlLXNob3J0IjoiU3VzdGFpbmFiaWxpdHkiLCJET0kiOiIxMC4zMzkwL3N1MTMxMTYyMzAiLCJVUkwiOiJodHRwczovL2RvaS5vcmcvMTAuMzM5MC9zdTEzMTE2MjMwIiwiaXNzdWVkIjp7ImRhdGUtcGFydHMiOltbMjAyMV1dfSwicGFnZSI6IjYyMzAiLCJpc3N1ZSI6IjExIiwidm9sdW1lIjoiMTMifSwiaXNUZW1wb3JhcnkiOmZhbHNlfV19&quot;,&quot;citationItems&quot;:[{&quot;id&quot;:&quot;37f84f9c-2186-3380-9c34-411bc48b2b0e&quot;,&quot;itemData&quot;:{&quot;type&quot;:&quot;article-journal&quot;,&quot;id&quot;:&quot;37f84f9c-2186-3380-9c34-411bc48b2b0e&quot;,&quot;title&quot;:&quot;Data-driven methodology to support long-lasting logistics and decision making for urban last-mile operations&quot;,&quot;author&quot;:[{&quot;family&quot;:&quot;Gutierrez-Franco&quot;,&quot;given&quot;:&quot;Edgar&quot;,&quot;parse-names&quot;:false,&quot;dropping-particle&quot;:&quot;&quot;,&quot;non-dropping-particle&quot;:&quot;&quot;},{&quot;family&quot;:&quot;Mejia-Argueta&quot;,&quot;given&quot;:&quot;Christopher&quot;,&quot;parse-names&quot;:false,&quot;dropping-particle&quot;:&quot;&quot;,&quot;non-dropping-particle&quot;:&quot;&quot;},{&quot;family&quot;:&quot;Rabelo&quot;,&quot;given&quot;:&quot;Luis&quot;,&quot;parse-names&quot;:false,&quot;dropping-particle&quot;:&quot;&quot;,&quot;non-dropping-particle&quot;:&quot;&quot;}],&quot;container-title&quot;:&quot;Sustainability&quot;,&quot;container-title-short&quot;:&quot;Sustainability&quot;,&quot;DOI&quot;:&quot;10.3390/su13116230&quot;,&quot;URL&quot;:&quot;https://doi.org/10.3390/su13116230&quot;,&quot;issued&quot;:{&quot;date-parts&quot;:[[2021]]},&quot;page&quot;:&quot;6230&quot;,&quot;issue&quot;:&quot;11&quot;,&quot;volume&quot;:&quot;13&quot;},&quot;isTemporary&quot;:false}]},{&quot;citationID&quot;:&quot;MENDELEY_CITATION_7441692f-3691-440e-8ed0-423fc74283b0&quot;,&quot;properties&quot;:{&quot;noteIndex&quot;:0},&quot;isEdited&quot;:false,&quot;manualOverride&quot;:{&quot;isManuallyOverridden&quot;:false,&quot;citeprocText&quot;:&quot;(Restrepo-Betancur et al., 2026)&quot;,&quot;manualOverrideText&quot;:&quot;&quot;},&quot;citationTag&quot;:&quot;MENDELEY_CITATION_v3_eyJjaXRhdGlvbklEIjoiTUVOREVMRVlfQ0lUQVRJT05fNzQ0MTY5MmYtMzY5MS00NDBlLThlZDAtNDIzZmM3NDI4M2IwIiwicHJvcGVydGllcyI6eyJub3RlSW5kZXgiOjB9LCJpc0VkaXRlZCI6ZmFsc2UsIm1hbnVhbE92ZXJyaWRlIjp7ImlzTWFudWFsbHlPdmVycmlkZGVuIjpmYWxzZSwiY2l0ZXByb2NUZXh0IjoiKFJlc3RyZXBvLUJldGFuY3VyIGV0IGFsLiwgMjAyNikiLCJtYW51YWxPdmVycmlkZVRleHQiOiIifSwiY2l0YXRpb25JdGVtcyI6W3siaWQiOiI1OTFmYzUwNS1lMzE4LTM0YTQtODlkMC02ZWMwZjQ4MjZiOTMiLCJpdGVtRGF0YSI6eyJ0eXBlIjoiYXJ0aWNsZS1qb3VybmFsIiwiaWQiOiI1OTFmYzUwNS1lMzE4LTM0YTQtODlkMC02ZWMwZjQ4MjZiOTMiLCJ0aXRsZSI6IkhvdyBlLWNvbW1lcmNlIGluZmx1ZW5jZXMgbGFzdC1taWxlIHByYWN0aWNlcyB0aGF0IGZvc3RlciBpbmZvcm1hbGl0eSIsImF1dGhvciI6W3siZmFtaWx5IjoiUmVzdHJlcG8tQmV0YW5jdXIiLCJnaXZlbiI6IkJhc2lsaW8iLCJwYXJzZS1uYW1lcyI6ZmFsc2UsImRyb3BwaW5nLXBhcnRpY2xlIjoiIiwibm9uLWRyb3BwaW5nLXBhcnRpY2xlIjoiIn0seyJmYW1pbHkiOiJTYW5jaGV6LURpYXoiLCJnaXZlbiI6Ikl2YW4iLCJwYXJzZS1uYW1lcyI6ZmFsc2UsImRyb3BwaW5nLXBhcnRpY2xlIjoiIiwibm9uLWRyb3BwaW5nLXBhcnRpY2xlIjoiIn0seyJmYW1pbHkiOiJHb256YWxlei1DYWxkZXJvbiIsImdpdmVuIjoiQ2FybG9zIEEiLCJwYXJzZS1uYW1lcyI6ZmFsc2UsImRyb3BwaW5nLXBhcnRpY2xlIjoiIiwibm9uLWRyb3BwaW5nLXBhcnRpY2xlIjoiIn1dLCJjb250YWluZXItdGl0bGUiOiJUcmFuc3BvcnRhdGlvbiBSZXNlYXJjaCBJbnRlcmRpc2NpcGxpbmFyeSBQZXJzcGVjdGl2ZXMiLCJjb250YWluZXItdGl0bGUtc2hvcnQiOiJUcmFuc3AuIFJlcy4gSW50ZXJkaXNjaXAuIFBlcnNwZWN0LiIsIkRPSSI6IjEwLjEwMTYvai50cmlwLjIwMjYuMTAyMTgxIiwiVVJMIjoiaHR0cHM6Ly9kb2kub3JnLzEwLjEwMTYvai50cmlwLjIwMjYuMTAyMTgxIiwiaXNzdWVkIjp7ImRhdGUtcGFydHMiOltbMjAyNl1dfSwicGFnZSI6IjEwMjE4MSIsInZvbHVtZSI6IjM5In0sImlzVGVtcG9yYXJ5IjpmYWxzZSwic3VwcHJlc3MtYXV0aG9yIjpmYWxzZSwiY29tcG9zaXRlIjpmYWxzZSwiYXV0aG9yLW9ubHkiOmZhbHNlfV19&quot;,&quot;citationItems&quot;:[{&quot;id&quot;:&quot;591fc505-e318-34a4-89d0-6ec0f4826b93&quot;,&quot;itemData&quot;:{&quot;type&quot;:&quot;article-journal&quot;,&quot;id&quot;:&quot;591fc505-e318-34a4-89d0-6ec0f4826b93&quot;,&quot;title&quot;:&quot;How e-commerce influences last-mile practices that foster informality&quot;,&quot;author&quot;:[{&quot;family&quot;:&quot;Restrepo-Betancur&quot;,&quot;given&quot;:&quot;Basilio&quot;,&quot;parse-names&quot;:false,&quot;dropping-particle&quot;:&quot;&quot;,&quot;non-dropping-particle&quot;:&quot;&quot;},{&quot;family&quot;:&quot;Sanchez-Diaz&quot;,&quot;given&quot;:&quot;Ivan&quot;,&quot;parse-names&quot;:false,&quot;dropping-particle&quot;:&quot;&quot;,&quot;non-dropping-particle&quot;:&quot;&quot;},{&quot;family&quot;:&quot;Gonzalez-Calderon&quot;,&quot;given&quot;:&quot;Carlos A&quot;,&quot;parse-names&quot;:false,&quot;dropping-particle&quot;:&quot;&quot;,&quot;non-dropping-particle&quot;:&quot;&quot;}],&quot;container-title&quot;:&quot;Transportation Research Interdisciplinary Perspectives&quot;,&quot;container-title-short&quot;:&quot;Transp. Res. Interdiscip. Perspect.&quot;,&quot;DOI&quot;:&quot;10.1016/j.trip.2026.102181&quot;,&quot;URL&quot;:&quot;https://doi.org/10.1016/j.trip.2026.102181&quot;,&quot;issued&quot;:{&quot;date-parts&quot;:[[2026]]},&quot;page&quot;:&quot;102181&quot;,&quot;volume&quot;:&quot;39&quot;},&quot;isTemporary&quot;:false,&quot;suppress-author&quot;:false,&quot;composite&quot;:false,&quot;author-only&quot;:false}]},{&quot;citationID&quot;:&quot;MENDELEY_CITATION_f75c789d-f382-43e4-8477-126ee5cf690a&quot;,&quot;properties&quot;:{&quot;noteIndex&quot;:0},&quot;isEdited&quot;:false,&quot;manualOverride&quot;:{&quot;isManuallyOverridden&quot;:false,&quot;citeprocText&quot;:&quot;(Seghezzi &amp;#38; Mangiaracina, 2023)&quot;,&quot;manualOverrideText&quot;:&quot;&quot;},&quot;citationTag&quot;:&quot;MENDELEY_CITATION_v3_eyJjaXRhdGlvbklEIjoiTUVOREVMRVlfQ0lUQVRJT05fZjc1Yzc4OWQtZjM4Mi00M2U0LTg0NzctMTI2ZWU1Y2Y2OTBhIiwicHJvcGVydGllcyI6eyJub3RlSW5kZXgiOjB9LCJpc0VkaXRlZCI6ZmFsc2UsIm1hbnVhbE92ZXJyaWRlIjp7ImlzTWFudWFsbHlPdmVycmlkZGVuIjpmYWxzZSwiY2l0ZXByb2NUZXh0IjoiKFNlZ2hlenppICYjMzg7IE1hbmdpYXJhY2luYSwgMjAyMykiLCJtYW51YWxPdmVycmlkZVRleHQiOiIifSwiY2l0YXRpb25JdGVtcyI6W3siaWQiOiJkOTgzMzdmNi0wYjNhLTNkZTEtOTMxYS01MWJjODI5YzlhNTIiLCJpdGVtRGF0YSI6eyJ0eXBlIjoiYXJ0aWNsZS1qb3VybmFsIiwiaWQiOiJkOTgzMzdmNi0wYjNhLTNkZTEtOTMxYS01MWJjODI5YzlhNTIiLCJ0aXRsZSI6IlNtYXJ0IGhvbWUgZGV2aWNlcyBhbmQgQjJDIGUtY29tbWVyY2U6IEEgd2F5IHRvIHJlZHVjZSBmYWlsZWQgZGVsaXZlcmllcyIsImF1dGhvciI6W3siZmFtaWx5IjoiU2VnaGV6emkiLCJnaXZlbiI6IkFyaWFubmEiLCJwYXJzZS1uYW1lcyI6ZmFsc2UsImRyb3BwaW5nLXBhcnRpY2xlIjoiIiwibm9uLWRyb3BwaW5nLXBhcnRpY2xlIjoiIn0seyJmYW1pbHkiOiJNYW5naWFyYWNpbmEiLCJnaXZlbiI6IlJpY2NhcmRvIiwicGFyc2UtbmFtZXMiOmZhbHNlLCJkcm9wcGluZy1wYXJ0aWNsZSI6IiIsIm5vbi1kcm9wcGluZy1wYXJ0aWNsZSI6IiJ9XSwiY29udGFpbmVyLXRpdGxlIjoiSW5kdXN0cmlhbCBNYW5hZ2VtZW50IFxcJiBEYXRhIFN5c3RlbXMiLCJET0kiOiIxMC4xMTA4L2ltZHMtMTAtMjAyMi0wNjUxIiwiVVJMIjoiaHR0cHM6Ly9kb2kub3JnLzEwLjExMDgvaW1kcy0xMC0yMDIyLTA2NTEiLCJpc3N1ZWQiOnsiZGF0ZS1wYXJ0cyI6W1syMDIzXV19LCJwYWdlIjoiMTYyNC0xNjQ1IiwiaXNzdWUiOiI1Iiwidm9sdW1lIjoiMTIzIiwiY29udGFpbmVyLXRpdGxlLXNob3J0IjoiIn0sImlzVGVtcG9yYXJ5IjpmYWxzZX1dfQ==&quot;,&quot;citationItems&quot;:[{&quot;id&quot;:&quot;d98337f6-0b3a-3de1-931a-51bc829c9a52&quot;,&quot;itemData&quot;:{&quot;type&quot;:&quot;article-journal&quot;,&quot;id&quot;:&quot;d98337f6-0b3a-3de1-931a-51bc829c9a52&quot;,&quot;title&quot;:&quot;Smart home devices and B2C e-commerce: A way to reduce failed deliveries&quot;,&quot;author&quot;:[{&quot;family&quot;:&quot;Seghezzi&quot;,&quot;given&quot;:&quot;Arianna&quot;,&quot;parse-names&quot;:false,&quot;dropping-particle&quot;:&quot;&quot;,&quot;non-dropping-particle&quot;:&quot;&quot;},{&quot;family&quot;:&quot;Mangiaracina&quot;,&quot;given&quot;:&quot;Riccardo&quot;,&quot;parse-names&quot;:false,&quot;dropping-particle&quot;:&quot;&quot;,&quot;non-dropping-particle&quot;:&quot;&quot;}],&quot;container-title&quot;:&quot;Industrial Management \\&amp; Data Systems&quot;,&quot;DOI&quot;:&quot;10.1108/imds-10-2022-0651&quot;,&quot;URL&quot;:&quot;https://doi.org/10.1108/imds-10-2022-0651&quot;,&quot;issued&quot;:{&quot;date-parts&quot;:[[2023]]},&quot;page&quot;:&quot;1624-1645&quot;,&quot;issue&quot;:&quot;5&quot;,&quot;volume&quot;:&quot;123&quot;,&quot;container-title-short&quot;:&quot;&quot;},&quot;isTemporary&quot;:false}]},{&quot;citationID&quot;:&quot;MENDELEY_CITATION_493fb131-9d7f-4fa8-bb57-b5bddadabb0a&quot;,&quot;properties&quot;:{&quot;noteIndex&quot;:0},&quot;isEdited&quot;:false,&quot;manualOverride&quot;:{&quot;isManuallyOverridden&quot;:false,&quot;citeprocText&quot;:&quot;(Boom-Cárcamo et al., 2024)&quot;,&quot;manualOverrideText&quot;:&quot;&quot;},&quot;citationTag&quot;:&quot;MENDELEY_CITATION_v3_eyJjaXRhdGlvbklEIjoiTUVOREVMRVlfQ0lUQVRJT05fNDkzZmIxMzEtOWQ3Zi00ZmE4LWJiNTctYjViZGRhZGFiYjBhIiwicHJvcGVydGllcyI6eyJub3RlSW5kZXgiOjB9LCJpc0VkaXRlZCI6ZmFsc2UsIm1hbnVhbE92ZXJyaWRlIjp7ImlzTWFudWFsbHlPdmVycmlkZGVuIjpmYWxzZSwiY2l0ZXByb2NUZXh0IjoiKEJvb20tQ8OhcmNhbW8gZXQgYWwuLCAyMDI0KSIsIm1hbnVhbE92ZXJyaWRlVGV4dCI6IiJ9LCJjaXRhdGlvbkl0ZW1zIjpbeyJpZCI6ImRhYzc3NzMzLWMxN2YtM2NiOC1iNWIzLTIxZmNiNjY3ZDcxYiIsIml0ZW1EYXRhIjp7InR5cGUiOiJhcnRpY2xlLWpvdXJuYWwiLCJpZCI6ImRhYzc3NzMzLWMxN2YtM2NiOC1iNWIzLTIxZmNiNjY3ZDcxYiIsInRpdGxlIjoiQmFycmllcnMgYW5kIHN0cmF0ZWdpZXMgZm9yIGRpZ2l0YWwgbWFya2V0aW5nIGFuZCBzbWFydCBkZWxpdmVyeSBpbiB1cmJhbiBjb3VyaWVyIGNvbXBhbmllcyBpbiBkZXZlbG9waW5nIGNvdW50cmllcyIsImF1dGhvciI6W3siZmFtaWx5IjoiQm9vbS1Dw6FyY2FtbyIsImdpdmVuIjoiRWZyYWluIiwicGFyc2UtbmFtZXMiOmZhbHNlLCJkcm9wcGluZy1wYXJ0aWNsZSI6IiIsIm5vbi1kcm9wcGluZy1wYXJ0aWNsZSI6IiJ9LHsiZmFtaWx5IjoiTW9saW5hLVJvbWVybyIsImdpdmVuIjoiU2NobmV5ZGVyIiwicGFyc2UtbmFtZXMiOmZhbHNlLCJkcm9wcGluZy1wYXJ0aWNsZSI6IiIsIm5vbi1kcm9wcGluZy1wYXJ0aWNsZSI6IiJ9LHsiZmFtaWx5IjoiR2FsaW5kby1Bbmd1bG8iLCJnaXZlbiI6IkNlc2FyIiwicGFyc2UtbmFtZXMiOmZhbHNlLCJkcm9wcGluZy1wYXJ0aWNsZSI6IiIsIm5vbi1kcm9wcGluZy1wYXJ0aWNsZSI6IiJ9LHsiZmFtaWx5IjoiTWFyIFJlc3RyZXBvIiwiZ2l2ZW4iOiJNYXLDrWEiLCJwYXJzZS1uYW1lcyI6ZmFsc2UsImRyb3BwaW5nLXBhcnRpY2xlIjoiIiwibm9uLWRyb3BwaW5nLXBhcnRpY2xlIjoiZGVsIn1dLCJjb250YWluZXItdGl0bGUiOiJKb3VybmFsIG9mIHRoZSBLbm93bGVkZ2UgRWNvbm9teSIsIkRPSSI6IjEwLjEwMDcvczEzMTMyLTAyNC0wMTgyMy0xIiwiVVJMIjoiaHR0cHM6Ly9kb2kub3JnLzEwLjEwMDcvczEzMTMyLTAyNC0wMTgyMy0xIiwiaXNzdWVkIjp7ImRhdGUtcGFydHMiOltbMjAyNF1dfSwicGFnZSI6IjE5MjAzLTE5MjMyIiwiaXNzdWUiOiI0Iiwidm9sdW1lIjoiMTUiLCJjb250YWluZXItdGl0bGUtc2hvcnQiOiIifSwiaXNUZW1wb3JhcnkiOmZhbHNlfV19&quot;,&quot;citationItems&quot;:[{&quot;id&quot;:&quot;dac77733-c17f-3cb8-b5b3-21fcb667d71b&quot;,&quot;itemData&quot;:{&quot;type&quot;:&quot;article-journal&quot;,&quot;id&quot;:&quot;dac77733-c17f-3cb8-b5b3-21fcb667d71b&quot;,&quot;title&quot;:&quot;Barriers and strategies for digital marketing and smart delivery in urban courier companies in developing countries&quot;,&quot;author&quot;:[{&quot;family&quot;:&quot;Boom-Cárcamo&quot;,&quot;given&quot;:&quot;Efrain&quot;,&quot;parse-names&quot;:false,&quot;dropping-particle&quot;:&quot;&quot;,&quot;non-dropping-particle&quot;:&quot;&quot;},{&quot;family&quot;:&quot;Molina-Romero&quot;,&quot;given&quot;:&quot;Schneyder&quot;,&quot;parse-names&quot;:false,&quot;dropping-particle&quot;:&quot;&quot;,&quot;non-dropping-particle&quot;:&quot;&quot;},{&quot;family&quot;:&quot;Galindo-Angulo&quot;,&quot;given&quot;:&quot;Cesar&quot;,&quot;parse-names&quot;:false,&quot;dropping-particle&quot;:&quot;&quot;,&quot;non-dropping-particle&quot;:&quot;&quot;},{&quot;family&quot;:&quot;Mar Restrepo&quot;,&quot;given&quot;:&quot;María&quot;,&quot;parse-names&quot;:false,&quot;dropping-particle&quot;:&quot;&quot;,&quot;non-dropping-particle&quot;:&quot;del&quot;}],&quot;container-title&quot;:&quot;Journal of the Knowledge Economy&quot;,&quot;DOI&quot;:&quot;10.1007/s13132-024-01823-1&quot;,&quot;URL&quot;:&quot;https://doi.org/10.1007/s13132-024-01823-1&quot;,&quot;issued&quot;:{&quot;date-parts&quot;:[[2024]]},&quot;page&quot;:&quot;19203-19232&quot;,&quot;issue&quot;:&quot;4&quot;,&quot;volume&quot;:&quot;15&quot;,&quot;container-title-short&quot;:&quot;&quot;},&quot;isTemporary&quot;:false}]},{&quot;citationID&quot;:&quot;MENDELEY_CITATION_49ce4f6a-4a6f-48e1-b869-836d1e6b9eb7&quot;,&quot;properties&quot;:{&quot;noteIndex&quot;:0},&quot;isEdited&quot;:false,&quot;manualOverride&quot;:{&quot;isManuallyOverridden&quot;:false,&quot;citeprocText&quot;:&quot;(Janinhoff et al., 2024)&quot;,&quot;manualOverrideText&quot;:&quot;&quot;},&quot;citationTag&quot;:&quot;MENDELEY_CITATION_v3_eyJjaXRhdGlvbklEIjoiTUVOREVMRVlfQ0lUQVRJT05fNDljZTRmNmEtNGE2Zi00OGUxLWI4NjktODM2ZDFlNmI5ZWI3IiwicHJvcGVydGllcyI6eyJub3RlSW5kZXgiOjB9LCJpc0VkaXRlZCI6ZmFsc2UsIm1hbnVhbE92ZXJyaWRlIjp7ImlzTWFudWFsbHlPdmVycmlkZGVuIjpmYWxzZSwiY2l0ZXByb2NUZXh0IjoiKEphbmluaG9mZiBldCBhbC4sIDIwMjQpIiwibWFudWFsT3ZlcnJpZGVUZXh0IjoiIn0sImNpdGF0aW9uSXRlbXMiOlt7ImlkIjoiYmY4MzQzM2EtZWVlMi0zODExLTlhZmUtMThhM2FjZjZhZDIzIiwiaXRlbURhdGEiOnsidHlwZSI6ImFydGljbGUtam91cm5hbCIsImlkIjoiYmY4MzQzM2EtZWVlMi0zODExLTlhZmUtMThhM2FjZjZhZDIzIiwidGl0bGUiOiJPdXQtb2YtaG9tZSBkZWxpdmVyeSBpbiBsYXN0LW1pbGUgbG9naXN0aWNzOiBBIHJldmlldyIsImF1dGhvciI6W3siZmFtaWx5IjoiSmFuaW5ob2ZmIiwiZ2l2ZW4iOiJMdWthcyIsInBhcnNlLW5hbWVzIjpmYWxzZSwiZHJvcHBpbmctcGFydGljbGUiOiIiLCJub24tZHJvcHBpbmctcGFydGljbGUiOiIifSx7ImZhbWlseSI6IktsZWluIiwiZ2l2ZW4iOiJSb2JlcnQiLCJwYXJzZS1uYW1lcyI6ZmFsc2UsImRyb3BwaW5nLXBhcnRpY2xlIjoiIiwibm9uLWRyb3BwaW5nLXBhcnRpY2xlIjoiIn0seyJmYW1pbHkiOiJTYWlsZXIiLCJnaXZlbiI6IkRhbmllbGEiLCJwYXJzZS1uYW1lcyI6ZmFsc2UsImRyb3BwaW5nLXBhcnRpY2xlIjoiIiwibm9uLWRyb3BwaW5nLXBhcnRpY2xlIjoiIn0seyJmYW1pbHkiOiJTY2hvcHBhIiwiZ2l2ZW4iOiJKaW0gTW9ydGVuIiwicGFyc2UtbmFtZXMiOmZhbHNlLCJkcm9wcGluZy1wYXJ0aWNsZSI6IiIsIm5vbi1kcm9wcGluZy1wYXJ0aWNsZSI6IiJ9XSwiY29udGFpbmVyLXRpdGxlIjoiQ29tcHV0ZXJzICYgT3BlcmF0aW9ucyBSZXNlYXJjaCIsImNvbnRhaW5lci10aXRsZS1zaG9ydCI6IkNvbXB1dC4gT3Blci4gUmVzLiIsIkRPSSI6IjEwLjEwMTYvai5jb3IuMjAyNC4xMDY2ODYiLCJVUkwiOiJodHRwczovL2RvaS5vcmcvMTAuMTAxNi9qLmNvci4yMDI0LjEwNjY4NiIsImlzc3VlZCI6eyJkYXRlLXBhcnRzIjpbWzIwMjRdXX0sInBhZ2UiOiIxMDY2ODYiLCJ2b2x1bWUiOiIxNjgifSwiaXNUZW1wb3JhcnkiOmZhbHNlfV19&quot;,&quot;citationItems&quot;:[{&quot;id&quot;:&quot;bf83433a-eee2-3811-9afe-18a3acf6ad23&quot;,&quot;itemData&quot;:{&quot;type&quot;:&quot;article-journal&quot;,&quot;id&quot;:&quot;bf83433a-eee2-3811-9afe-18a3acf6ad23&quot;,&quot;title&quot;:&quot;Out-of-home delivery in last-mile logistics: A review&quot;,&quot;author&quot;:[{&quot;family&quot;:&quot;Janinhoff&quot;,&quot;given&quot;:&quot;Lukas&quot;,&quot;parse-names&quot;:false,&quot;dropping-particle&quot;:&quot;&quot;,&quot;non-dropping-particle&quot;:&quot;&quot;},{&quot;family&quot;:&quot;Klein&quot;,&quot;given&quot;:&quot;Robert&quot;,&quot;parse-names&quot;:false,&quot;dropping-particle&quot;:&quot;&quot;,&quot;non-dropping-particle&quot;:&quot;&quot;},{&quot;family&quot;:&quot;Sailer&quot;,&quot;given&quot;:&quot;Daniela&quot;,&quot;parse-names&quot;:false,&quot;dropping-particle&quot;:&quot;&quot;,&quot;non-dropping-particle&quot;:&quot;&quot;},{&quot;family&quot;:&quot;Schoppa&quot;,&quot;given&quot;:&quot;Jim Morten&quot;,&quot;parse-names&quot;:false,&quot;dropping-particle&quot;:&quot;&quot;,&quot;non-dropping-particle&quot;:&quot;&quot;}],&quot;container-title&quot;:&quot;Computers &amp; Operations Research&quot;,&quot;container-title-short&quot;:&quot;Comput. Oper. Res.&quot;,&quot;DOI&quot;:&quot;10.1016/j.cor.2024.106686&quot;,&quot;URL&quot;:&quot;https://doi.org/10.1016/j.cor.2024.106686&quot;,&quot;issued&quot;:{&quot;date-parts&quot;:[[2024]]},&quot;page&quot;:&quot;106686&quot;,&quot;volume&quot;:&quot;168&quot;},&quot;isTemporary&quot;:false}]},{&quot;citationID&quot;:&quot;MENDELEY_CITATION_648df3a0-fc30-481a-a447-28c77dafdbcb&quot;,&quot;properties&quot;:{&quot;noteIndex&quot;:0},&quot;isEdited&quot;:false,&quot;manualOverride&quot;:{&quot;isManuallyOverridden&quot;:false,&quot;citeprocText&quot;:&quot;(Restrepo-Betancur et al., 2026)&quot;,&quot;manualOverrideText&quot;:&quot;&quot;},&quot;citationTag&quot;:&quot;MENDELEY_CITATION_v3_eyJjaXRhdGlvbklEIjoiTUVOREVMRVlfQ0lUQVRJT05fNjQ4ZGYzYTAtZmMzMC00ODFhLWE0NDctMjhjNzdkYWZkYmNiIiwicHJvcGVydGllcyI6eyJub3RlSW5kZXgiOjB9LCJpc0VkaXRlZCI6ZmFsc2UsIm1hbnVhbE92ZXJyaWRlIjp7ImlzTWFudWFsbHlPdmVycmlkZGVuIjpmYWxzZSwiY2l0ZXByb2NUZXh0IjoiKFJlc3RyZXBvLUJldGFuY3VyIGV0IGFsLiwgMjAyNikiLCJtYW51YWxPdmVycmlkZVRleHQiOiIifSwiY2l0YXRpb25JdGVtcyI6W3siaWQiOiI1OTFmYzUwNS1lMzE4LTM0YTQtODlkMC02ZWMwZjQ4MjZiOTMiLCJpdGVtRGF0YSI6eyJ0eXBlIjoiYXJ0aWNsZS1qb3VybmFsIiwiaWQiOiI1OTFmYzUwNS1lMzE4LTM0YTQtODlkMC02ZWMwZjQ4MjZiOTMiLCJ0aXRsZSI6IkhvdyBlLWNvbW1lcmNlIGluZmx1ZW5jZXMgbGFzdC1taWxlIHByYWN0aWNlcyB0aGF0IGZvc3RlciBpbmZvcm1hbGl0eSIsImF1dGhvciI6W3siZmFtaWx5IjoiUmVzdHJlcG8tQmV0YW5jdXIiLCJnaXZlbiI6IkJhc2lsaW8iLCJwYXJzZS1uYW1lcyI6ZmFsc2UsImRyb3BwaW5nLXBhcnRpY2xlIjoiIiwibm9uLWRyb3BwaW5nLXBhcnRpY2xlIjoiIn0seyJmYW1pbHkiOiJTYW5jaGV6LURpYXoiLCJnaXZlbiI6Ikl2YW4iLCJwYXJzZS1uYW1lcyI6ZmFsc2UsImRyb3BwaW5nLXBhcnRpY2xlIjoiIiwibm9uLWRyb3BwaW5nLXBhcnRpY2xlIjoiIn0seyJmYW1pbHkiOiJHb256YWxlei1DYWxkZXJvbiIsImdpdmVuIjoiQ2FybG9zIEEiLCJwYXJzZS1uYW1lcyI6ZmFsc2UsImRyb3BwaW5nLXBhcnRpY2xlIjoiIiwibm9uLWRyb3BwaW5nLXBhcnRpY2xlIjoiIn1dLCJjb250YWluZXItdGl0bGUiOiJUcmFuc3BvcnRhdGlvbiBSZXNlYXJjaCBJbnRlcmRpc2NpcGxpbmFyeSBQZXJzcGVjdGl2ZXMiLCJjb250YWluZXItdGl0bGUtc2hvcnQiOiJUcmFuc3AuIFJlcy4gSW50ZXJkaXNjaXAuIFBlcnNwZWN0LiIsIkRPSSI6IjEwLjEwMTYvai50cmlwLjIwMjYuMTAyMTgxIiwiVVJMIjoiaHR0cHM6Ly9kb2kub3JnLzEwLjEwMTYvai50cmlwLjIwMjYuMTAyMTgxIiwiaXNzdWVkIjp7ImRhdGUtcGFydHMiOltbMjAyNl1dfSwicGFnZSI6IjEwMjE4MSIsInZvbHVtZSI6IjM5In0sImlzVGVtcG9yYXJ5IjpmYWxzZX1dfQ==&quot;,&quot;citationItems&quot;:[{&quot;id&quot;:&quot;591fc505-e318-34a4-89d0-6ec0f4826b93&quot;,&quot;itemData&quot;:{&quot;type&quot;:&quot;article-journal&quot;,&quot;id&quot;:&quot;591fc505-e318-34a4-89d0-6ec0f4826b93&quot;,&quot;title&quot;:&quot;How e-commerce influences last-mile practices that foster informality&quot;,&quot;author&quot;:[{&quot;family&quot;:&quot;Restrepo-Betancur&quot;,&quot;given&quot;:&quot;Basilio&quot;,&quot;parse-names&quot;:false,&quot;dropping-particle&quot;:&quot;&quot;,&quot;non-dropping-particle&quot;:&quot;&quot;},{&quot;family&quot;:&quot;Sanchez-Diaz&quot;,&quot;given&quot;:&quot;Ivan&quot;,&quot;parse-names&quot;:false,&quot;dropping-particle&quot;:&quot;&quot;,&quot;non-dropping-particle&quot;:&quot;&quot;},{&quot;family&quot;:&quot;Gonzalez-Calderon&quot;,&quot;given&quot;:&quot;Carlos A&quot;,&quot;parse-names&quot;:false,&quot;dropping-particle&quot;:&quot;&quot;,&quot;non-dropping-particle&quot;:&quot;&quot;}],&quot;container-title&quot;:&quot;Transportation Research Interdisciplinary Perspectives&quot;,&quot;container-title-short&quot;:&quot;Transp. Res. Interdiscip. Perspect.&quot;,&quot;DOI&quot;:&quot;10.1016/j.trip.2026.102181&quot;,&quot;URL&quot;:&quot;https://doi.org/10.1016/j.trip.2026.102181&quot;,&quot;issued&quot;:{&quot;date-parts&quot;:[[2026]]},&quot;page&quot;:&quot;102181&quot;,&quot;volume&quot;:&quot;39&quot;},&quot;isTemporary&quot;:false}]},{&quot;citationID&quot;:&quot;MENDELEY_CITATION_0e30705a-d27e-44ef-b4b4-6dee19d969c1&quot;,&quot;properties&quot;:{&quot;noteIndex&quot;:0},&quot;isEdited&quot;:false,&quot;manualOverride&quot;:{&quot;isManuallyOverridden&quot;:false,&quot;citeprocText&quot;:&quot;(Departamento Nacional de Planeación, 2023)&quot;,&quot;manualOverrideText&quot;:&quot;&quot;},&quot;citationTag&quot;:&quot;MENDELEY_CITATION_v3_eyJjaXRhdGlvbklEIjoiTUVOREVMRVlfQ0lUQVRJT05fMGUzMDcwNWEtZDI3ZS00NGVmLWI0YjQtNmRlZTE5ZDk2OWMxIiwicHJvcGVydGllcyI6eyJub3RlSW5kZXgiOjB9LCJpc0VkaXRlZCI6ZmFsc2UsIm1hbnVhbE92ZXJyaWRlIjp7ImlzTWFudWFsbHlPdmVycmlkZGVuIjpmYWxzZSwiY2l0ZXByb2NUZXh0IjoiKERlcGFydGFtZW50byBOYWNpb25hbCBkZSBQbGFuZWFjacOzbiwgMjAyMykiLCJtYW51YWxPdmVycmlkZVRleHQiOiIifSwiY2l0YXRpb25JdGVtcyI6W3siaWQiOiI5ODVhNWEyNS1iZDgyLTNkMWYtODI5My01MGYzMmY2NGVkMjIiLCJpdGVtRGF0YSI6eyJ0eXBlIjoiYXJ0aWNsZSIsImlkIjoiOTg1YTVhMjUtYmQ4Mi0zZDFmLTgyOTMtNTBmMzJmNjRlZDIyIiwidGl0bGUiOiJFbCBETlAgcmV2ZWzDsyBxdWUgZWwgY29zdG8gbG9nw61zdGljbyBuYWNpb25hbCBzZSB1Ymljw7MgZW4gMTcsOSUsIDUgcC5wLiBwb3IgZW5jaW1hIGRlIGxhIG1ldGEgZGUgMTIsOSUiLCJhdXRob3IiOlt7ImZhbWlseSI6IkRlcGFydGFtZW50byBOYWNpb25hbCBkZSBQbGFuZWFjacOzbiIsImdpdmVuIjoiIiwicGFyc2UtbmFtZXMiOmZhbHNlLCJkcm9wcGluZy1wYXJ0aWNsZSI6IiIsIm5vbi1kcm9wcGluZy1wYXJ0aWNsZSI6IiJ9XSwiVVJMIjoiaHR0cHM6Ly93d3cuZG5wLmdvdi5jby9QcmVuc2FfL05vdGljaWFzL1BhZ2luYXMvZWwtZG5wLXJldmVsby1xdWUtZWwtY29zdG8tbG9naXN0aWNvLW5hY2lvbmFsLXNlLXViaWNvLWVuLTE3LTktNS1wLXAtcG9yLWVuY2ltYS1kZS1sYS1tZXRhLWRlLTEyLTkuYXNweCIsImlzc3VlZCI6eyJkYXRlLXBhcnRzIjpbWzIwMjMsMTFdXX0sImNvbnRhaW5lci10aXRsZS1zaG9ydCI6IiJ9LCJpc1RlbXBvcmFyeSI6ZmFsc2UsInN1cHByZXNzLWF1dGhvciI6ZmFsc2UsImNvbXBvc2l0ZSI6ZmFsc2UsImF1dGhvci1vbmx5IjpmYWxzZX1dfQ==&quot;,&quot;citationItems&quot;:[{&quot;id&quot;:&quot;985a5a25-bd82-3d1f-8293-50f32f64ed22&quot;,&quot;itemData&quot;:{&quot;type&quot;:&quot;article&quot;,&quot;id&quot;:&quot;985a5a25-bd82-3d1f-8293-50f32f64ed22&quot;,&quot;title&quot;:&quot;El DNP reveló que el costo logístico nacional se ubicó en 17,9%, 5 p.p. por encima de la meta de 12,9%&quot;,&quot;author&quot;:[{&quot;family&quot;:&quot;Departamento Nacional de Planeación&quot;,&quot;given&quot;:&quot;&quot;,&quot;parse-names&quot;:false,&quot;dropping-particle&quot;:&quot;&quot;,&quot;non-dropping-particle&quot;:&quot;&quot;}],&quot;URL&quot;:&quot;https://www.dnp.gov.co/Prensa_/Noticias/Paginas/el-dnp-revelo-que-el-costo-logistico-nacional-se-ubico-en-17-9-5-p-p-por-encima-de-la-meta-de-12-9.aspx&quot;,&quot;issued&quot;:{&quot;date-parts&quot;:[[2023,11]]},&quot;container-title-short&quot;:&quot;&quot;},&quot;isTemporary&quot;:false,&quot;suppress-author&quot;:false,&quot;composite&quot;:false,&quot;author-only&quot;:false}]},{&quot;citationID&quot;:&quot;MENDELEY_CITATION_e4d5795c-7368-4dc8-9002-0be6c6b57747&quot;,&quot;properties&quot;:{&quot;noteIndex&quot;:0},&quot;isEdited&quot;:false,&quot;manualOverride&quot;:{&quot;isManuallyOverridden&quot;:false,&quot;citeprocText&quot;:&quot;(Seghezzi &amp;#38; Mangiaracina, 2023)&quot;,&quot;manualOverrideText&quot;:&quot;&quot;},&quot;citationTag&quot;:&quot;MENDELEY_CITATION_v3_eyJjaXRhdGlvbklEIjoiTUVOREVMRVlfQ0lUQVRJT05fZTRkNTc5NWMtNzM2OC00ZGM4LTkwMDItMGJlNmM2YjU3NzQ3IiwicHJvcGVydGllcyI6eyJub3RlSW5kZXgiOjB9LCJpc0VkaXRlZCI6ZmFsc2UsIm1hbnVhbE92ZXJyaWRlIjp7ImlzTWFudWFsbHlPdmVycmlkZGVuIjpmYWxzZSwiY2l0ZXByb2NUZXh0IjoiKFNlZ2hlenppICYjMzg7IE1hbmdpYXJhY2luYSwgMjAyMykiLCJtYW51YWxPdmVycmlkZVRleHQiOiIifSwiY2l0YXRpb25JdGVtcyI6W3siaWQiOiJkOTgzMzdmNi0wYjNhLTNkZTEtOTMxYS01MWJjODI5YzlhNTIiLCJpdGVtRGF0YSI6eyJ0eXBlIjoiYXJ0aWNsZS1qb3VybmFsIiwiaWQiOiJkOTgzMzdmNi0wYjNhLTNkZTEtOTMxYS01MWJjODI5YzlhNTIiLCJ0aXRsZSI6IlNtYXJ0IGhvbWUgZGV2aWNlcyBhbmQgQjJDIGUtY29tbWVyY2U6IEEgd2F5IHRvIHJlZHVjZSBmYWlsZWQgZGVsaXZlcmllcyIsImF1dGhvciI6W3siZmFtaWx5IjoiU2VnaGV6emkiLCJnaXZlbiI6IkFyaWFubmEiLCJwYXJzZS1uYW1lcyI6ZmFsc2UsImRyb3BwaW5nLXBhcnRpY2xlIjoiIiwibm9uLWRyb3BwaW5nLXBhcnRpY2xlIjoiIn0seyJmYW1pbHkiOiJNYW5naWFyYWNpbmEiLCJnaXZlbiI6IlJpY2NhcmRvIiwicGFyc2UtbmFtZXMiOmZhbHNlLCJkcm9wcGluZy1wYXJ0aWNsZSI6IiIsIm5vbi1kcm9wcGluZy1wYXJ0aWNsZSI6IiJ9XSwiY29udGFpbmVyLXRpdGxlIjoiSW5kdXN0cmlhbCBNYW5hZ2VtZW50IFxcJiBEYXRhIFN5c3RlbXMiLCJET0kiOiIxMC4xMTA4L2ltZHMtMTAtMjAyMi0wNjUxIiwiVVJMIjoiaHR0cHM6Ly9kb2kub3JnLzEwLjExMDgvaW1kcy0xMC0yMDIyLTA2NTEiLCJpc3N1ZWQiOnsiZGF0ZS1wYXJ0cyI6W1syMDIzXV19LCJwYWdlIjoiMTYyNC0xNjQ1IiwiaXNzdWUiOiI1Iiwidm9sdW1lIjoiMTIzIiwiY29udGFpbmVyLXRpdGxlLXNob3J0IjoiIn0sImlzVGVtcG9yYXJ5IjpmYWxzZX1dfQ==&quot;,&quot;citationItems&quot;:[{&quot;id&quot;:&quot;d98337f6-0b3a-3de1-931a-51bc829c9a52&quot;,&quot;itemData&quot;:{&quot;type&quot;:&quot;article-journal&quot;,&quot;id&quot;:&quot;d98337f6-0b3a-3de1-931a-51bc829c9a52&quot;,&quot;title&quot;:&quot;Smart home devices and B2C e-commerce: A way to reduce failed deliveries&quot;,&quot;author&quot;:[{&quot;family&quot;:&quot;Seghezzi&quot;,&quot;given&quot;:&quot;Arianna&quot;,&quot;parse-names&quot;:false,&quot;dropping-particle&quot;:&quot;&quot;,&quot;non-dropping-particle&quot;:&quot;&quot;},{&quot;family&quot;:&quot;Mangiaracina&quot;,&quot;given&quot;:&quot;Riccardo&quot;,&quot;parse-names&quot;:false,&quot;dropping-particle&quot;:&quot;&quot;,&quot;non-dropping-particle&quot;:&quot;&quot;}],&quot;container-title&quot;:&quot;Industrial Management \\&amp; Data Systems&quot;,&quot;DOI&quot;:&quot;10.1108/imds-10-2022-0651&quot;,&quot;URL&quot;:&quot;https://doi.org/10.1108/imds-10-2022-0651&quot;,&quot;issued&quot;:{&quot;date-parts&quot;:[[2023]]},&quot;page&quot;:&quot;1624-1645&quot;,&quot;issue&quot;:&quot;5&quot;,&quot;volume&quot;:&quot;123&quot;,&quot;container-title-short&quot;:&quot;&quot;},&quot;isTemporary&quot;:false}]},{&quot;citationID&quot;:&quot;MENDELEY_CITATION_e53fb7ed-9000-4b7f-9c94-c2f63d321b7f&quot;,&quot;properties&quot;:{&quot;noteIndex&quot;:0},&quot;isEdited&quot;:false,&quot;manualOverride&quot;:{&quot;isManuallyOverridden&quot;:false,&quot;citeprocText&quot;:&quot;(Boom-Cárcamo et al., 2024)&quot;,&quot;manualOverrideText&quot;:&quot;&quot;},&quot;citationTag&quot;:&quot;MENDELEY_CITATION_v3_eyJjaXRhdGlvbklEIjoiTUVOREVMRVlfQ0lUQVRJT05fZTUzZmI3ZWQtOTAwMC00YjdmLTljOTQtYzJmNjNkMzIxYjdmIiwicHJvcGVydGllcyI6eyJub3RlSW5kZXgiOjB9LCJpc0VkaXRlZCI6ZmFsc2UsIm1hbnVhbE92ZXJyaWRlIjp7ImlzTWFudWFsbHlPdmVycmlkZGVuIjpmYWxzZSwiY2l0ZXByb2NUZXh0IjoiKEJvb20tQ8OhcmNhbW8gZXQgYWwuLCAyMDI0KSIsIm1hbnVhbE92ZXJyaWRlVGV4dCI6IiJ9LCJjaXRhdGlvbkl0ZW1zIjpbeyJpZCI6ImRhYzc3NzMzLWMxN2YtM2NiOC1iNWIzLTIxZmNiNjY3ZDcxYiIsIml0ZW1EYXRhIjp7InR5cGUiOiJhcnRpY2xlLWpvdXJuYWwiLCJpZCI6ImRhYzc3NzMzLWMxN2YtM2NiOC1iNWIzLTIxZmNiNjY3ZDcxYiIsInRpdGxlIjoiQmFycmllcnMgYW5kIHN0cmF0ZWdpZXMgZm9yIGRpZ2l0YWwgbWFya2V0aW5nIGFuZCBzbWFydCBkZWxpdmVyeSBpbiB1cmJhbiBjb3VyaWVyIGNvbXBhbmllcyBpbiBkZXZlbG9waW5nIGNvdW50cmllcyIsImF1dGhvciI6W3siZmFtaWx5IjoiQm9vbS1Dw6FyY2FtbyIsImdpdmVuIjoiRWZyYWluIiwicGFyc2UtbmFtZXMiOmZhbHNlLCJkcm9wcGluZy1wYXJ0aWNsZSI6IiIsIm5vbi1kcm9wcGluZy1wYXJ0aWNsZSI6IiJ9LHsiZmFtaWx5IjoiTW9saW5hLVJvbWVybyIsImdpdmVuIjoiU2NobmV5ZGVyIiwicGFyc2UtbmFtZXMiOmZhbHNlLCJkcm9wcGluZy1wYXJ0aWNsZSI6IiIsIm5vbi1kcm9wcGluZy1wYXJ0aWNsZSI6IiJ9LHsiZmFtaWx5IjoiR2FsaW5kby1Bbmd1bG8iLCJnaXZlbiI6IkNlc2FyIiwicGFyc2UtbmFtZXMiOmZhbHNlLCJkcm9wcGluZy1wYXJ0aWNsZSI6IiIsIm5vbi1kcm9wcGluZy1wYXJ0aWNsZSI6IiJ9LHsiZmFtaWx5IjoiTWFyIFJlc3RyZXBvIiwiZ2l2ZW4iOiJNYXLDrWEiLCJwYXJzZS1uYW1lcyI6ZmFsc2UsImRyb3BwaW5nLXBhcnRpY2xlIjoiIiwibm9uLWRyb3BwaW5nLXBhcnRpY2xlIjoiZGVsIn1dLCJjb250YWluZXItdGl0bGUiOiJKb3VybmFsIG9mIHRoZSBLbm93bGVkZ2UgRWNvbm9teSIsIkRPSSI6IjEwLjEwMDcvczEzMTMyLTAyNC0wMTgyMy0xIiwiVVJMIjoiaHR0cHM6Ly9kb2kub3JnLzEwLjEwMDcvczEzMTMyLTAyNC0wMTgyMy0xIiwiaXNzdWVkIjp7ImRhdGUtcGFydHMiOltbMjAyNF1dfSwicGFnZSI6IjE5MjAzLTE5MjMyIiwiaXNzdWUiOiI0Iiwidm9sdW1lIjoiMTUiLCJjb250YWluZXItdGl0bGUtc2hvcnQiOiIifSwiaXNUZW1wb3JhcnkiOmZhbHNlfV19&quot;,&quot;citationItems&quot;:[{&quot;id&quot;:&quot;dac77733-c17f-3cb8-b5b3-21fcb667d71b&quot;,&quot;itemData&quot;:{&quot;type&quot;:&quot;article-journal&quot;,&quot;id&quot;:&quot;dac77733-c17f-3cb8-b5b3-21fcb667d71b&quot;,&quot;title&quot;:&quot;Barriers and strategies for digital marketing and smart delivery in urban courier companies in developing countries&quot;,&quot;author&quot;:[{&quot;family&quot;:&quot;Boom-Cárcamo&quot;,&quot;given&quot;:&quot;Efrain&quot;,&quot;parse-names&quot;:false,&quot;dropping-particle&quot;:&quot;&quot;,&quot;non-dropping-particle&quot;:&quot;&quot;},{&quot;family&quot;:&quot;Molina-Romero&quot;,&quot;given&quot;:&quot;Schneyder&quot;,&quot;parse-names&quot;:false,&quot;dropping-particle&quot;:&quot;&quot;,&quot;non-dropping-particle&quot;:&quot;&quot;},{&quot;family&quot;:&quot;Galindo-Angulo&quot;,&quot;given&quot;:&quot;Cesar&quot;,&quot;parse-names&quot;:false,&quot;dropping-particle&quot;:&quot;&quot;,&quot;non-dropping-particle&quot;:&quot;&quot;},{&quot;family&quot;:&quot;Mar Restrepo&quot;,&quot;given&quot;:&quot;María&quot;,&quot;parse-names&quot;:false,&quot;dropping-particle&quot;:&quot;&quot;,&quot;non-dropping-particle&quot;:&quot;del&quot;}],&quot;container-title&quot;:&quot;Journal of the Knowledge Economy&quot;,&quot;DOI&quot;:&quot;10.1007/s13132-024-01823-1&quot;,&quot;URL&quot;:&quot;https://doi.org/10.1007/s13132-024-01823-1&quot;,&quot;issued&quot;:{&quot;date-parts&quot;:[[2024]]},&quot;page&quot;:&quot;19203-19232&quot;,&quot;issue&quot;:&quot;4&quot;,&quot;volume&quot;:&quot;15&quot;,&quot;container-title-short&quot;:&quot;&quot;},&quot;isTemporary&quot;:false}]},{&quot;citationID&quot;:&quot;MENDELEY_CITATION_8103adb9-14a4-4993-a878-4987b9742907&quot;,&quot;properties&quot;:{&quot;noteIndex&quot;:0},&quot;isEdited&quot;:false,&quot;manualOverride&quot;:{&quot;isManuallyOverridden&quot;:false,&quot;citeprocText&quot;:&quot;(Electrónico, 2025)&quot;,&quot;manualOverrideText&quot;:&quot;&quot;},&quot;citationTag&quot;:&quot;MENDELEY_CITATION_v3_eyJjaXRhdGlvbklEIjoiTUVOREVMRVlfQ0lUQVRJT05fODEwM2FkYjktMTRhNC00OTkzLWE4NzgtNDk4N2I5NzQyOTA3IiwicHJvcGVydGllcyI6eyJub3RlSW5kZXgiOjB9LCJpc0VkaXRlZCI6ZmFsc2UsIm1hbnVhbE92ZXJyaWRlIjp7ImlzTWFudWFsbHlPdmVycmlkZGVuIjpmYWxzZSwiY2l0ZXByb2NUZXh0IjoiKEVsZWN0csOzbmljbywgMjAyNSkiLCJtYW51YWxPdmVycmlkZVRleHQiOiIifSwiY2l0YXRpb25JdGVtcyI6W3siaWQiOiIxOTMyNjc0Mi03NGQyLTM4NmItYTliYy1mZDU1NDAzYjQ5MWUiLCJpdGVtRGF0YSI6eyJ0eXBlIjoicmVwb3J0IiwiaWQiOiIxOTMyNjc0Mi03NGQyLTM4NmItYTliYy1mZDU1NDAzYjQ5MWUiLCJ0aXRsZSI6IkluZm9ybWUgZGUgY2llcnJlIGRlbCBjb21lcmNpbyBlbGVjdHLDs25pY28gZW4gQ29sb21iaWEg4oCTIDIwMjUiLCJhdXRob3IiOlt7ImZhbWlseSI6IkVsZWN0csOzbmljbyIsImdpdmVuIjoiQ8OhbWFyYSBDb2xvbWJpYW5hIGRlIENvbWVyY2lvIiwicGFyc2UtbmFtZXMiOmZhbHNlLCJkcm9wcGluZy1wYXJ0aWNsZSI6IiIsIm5vbi1kcm9wcGluZy1wYXJ0aWNsZSI6IiJ9XSwiVVJMIjoiaHR0cHM6Ly9jY2NlLm9yZy5jby93cC1jb250ZW50L3VwbG9hZHMvMjAxNy8wNi9WMi0xLVBVQkxJQ08tSU5GT1JNRS1ERS1DSUVSUkUtMjAyNS5wZGYiLCJpc3N1ZWQiOnsiZGF0ZS1wYXJ0cyI6W1syMDI1XV19LCJjb250YWluZXItdGl0bGUtc2hvcnQiOiIifSwiaXNUZW1wb3JhcnkiOmZhbHNlfV19&quot;,&quot;citationItems&quot;:[{&quot;id&quot;:&quot;19326742-74d2-386b-a9bc-fd55403b491e&quot;,&quot;itemData&quot;:{&quot;type&quot;:&quot;report&quot;,&quot;id&quot;:&quot;19326742-74d2-386b-a9bc-fd55403b491e&quot;,&quot;title&quot;:&quot;Informe de cierre del comercio electrónico en Colombia – 2025&quot;,&quot;author&quot;:[{&quot;family&quot;:&quot;Electrónico&quot;,&quot;given&quot;:&quot;Cámara Colombiana de Comercio&quot;,&quot;parse-names&quot;:false,&quot;dropping-particle&quot;:&quot;&quot;,&quot;non-dropping-particle&quot;:&quot;&quot;}],&quot;URL&quot;:&quot;https://ccce.org.co/wp-content/uploads/2017/06/V2-1-PUBLICO-INFORME-DE-CIERRE-2025.pdf&quot;,&quot;issued&quot;:{&quot;date-parts&quot;:[[2025]]},&quot;container-title-short&quot;:&quot;&quot;},&quot;isTemporary&quot;:false}]},{&quot;citationID&quot;:&quot;MENDELEY_CITATION_6506930b-1852-40c5-aa3e-1e0a423c021c&quot;,&quot;properties&quot;:{&quot;noteIndex&quot;:0},&quot;isEdited&quot;:false,&quot;manualOverride&quot;:{&quot;isManuallyOverridden&quot;:true,&quot;citeprocText&quot;:&quot;(Comunicaciones, 2026)&quot;,&quot;manualOverrideText&quot;:&quot;(MinTic, 2026)&quot;},&quot;citationTag&quot;:&quot;MENDELEY_CITATION_v3_eyJjaXRhdGlvbklEIjoiTUVOREVMRVlfQ0lUQVRJT05fNjUwNjkzMGItMTg1Mi00MGM1LWFhM2UtMWUwYTQyM2MwMjFjIiwicHJvcGVydGllcyI6eyJub3RlSW5kZXgiOjB9LCJpc0VkaXRlZCI6ZmFsc2UsIm1hbnVhbE92ZXJyaWRlIjp7ImlzTWFudWFsbHlPdmVycmlkZGVuIjp0cnVlLCJjaXRlcHJvY1RleHQiOiIoQ29tdW5pY2FjaW9uZXMsIDIwMjYpIiwibWFudWFsT3ZlcnJpZGVUZXh0IjoiKE1pblRpYywgMjAyNikifSwiY2l0YXRpb25JdGVtcyI6W3siaWQiOiI5ZjFhNTliOS0yZmEzLTNiMDItYjQwOC04ODBlMmNmMDBjMTMiLCJpdGVtRGF0YSI6eyJ0eXBlIjoicmVwb3J0IiwiaWQiOiI5ZjFhNTliOS0yZmEzLTNiMDItYjQwOC04ODBlMmNmMDBjMTMiLCJ0aXRsZSI6IkJvbGV0w61uIHRyaW1lc3RyYWwgZGVsIHNlY3RvciBwb3N0YWw6IEN1YXJ0byB0cmltZXN0cmUgZGUgMjAyNSIsImF1dGhvciI6W3siZmFtaWx5IjoiQ29tdW5pY2FjaW9uZXMiLCJnaXZlbiI6Ik1pbmlzdGVyaW8gZGUgVGVjbm9sb2fDrWFzIGRlIGxhIEluZm9ybWFjacOzbiB5IiwicGFyc2UtbmFtZXMiOmZhbHNlLCJkcm9wcGluZy1wYXJ0aWNsZSI6ImxhcyIsIm5vbi1kcm9wcGluZy1wYXJ0aWNsZSI6IiJ9XSwiVVJMIjoiaHR0cHM6Ly9jb2xvbWJpYXRpYy5taW50aWMuZ292LmNvLzY3OS9hcnRpY2xlcy00Mjg0NTNfcHJlc2VudGFjaW9uX2NpZnJhcy5wZGYiLCJpc3N1ZWQiOnsiZGF0ZS1wYXJ0cyI6W1syMDI2XV19LCJwdWJsaXNoZXIiOiJDb2xvbWJpYSBUSUMiLCJjb250YWluZXItdGl0bGUtc2hvcnQiOiIifSwiaXNUZW1wb3JhcnkiOmZhbHNlLCJzdXBwcmVzcy1hdXRob3IiOmZhbHNlLCJjb21wb3NpdGUiOmZhbHNlLCJhdXRob3Itb25seSI6ZmFsc2V9XX0=&quot;,&quot;citationItems&quot;:[{&quot;id&quot;:&quot;9f1a59b9-2fa3-3b02-b408-880e2cf00c13&quot;,&quot;itemData&quot;:{&quot;type&quot;:&quot;report&quot;,&quot;id&quot;:&quot;9f1a59b9-2fa3-3b02-b408-880e2cf00c13&quot;,&quot;title&quot;:&quot;Boletín trimestral del sector postal: Cuarto trimestre de 2025&quot;,&quot;author&quot;:[{&quot;family&quot;:&quot;Comunicaciones&quot;,&quot;given&quot;:&quot;Ministerio de Tecnologías de la Información y&quot;,&quot;parse-names&quot;:false,&quot;dropping-particle&quot;:&quot;las&quot;,&quot;non-dropping-particle&quot;:&quot;&quot;}],&quot;URL&quot;:&quot;https://colombiatic.mintic.gov.co/679/articles-428453_presentacion_cifras.pdf&quot;,&quot;issued&quot;:{&quot;date-parts&quot;:[[2026]]},&quot;publisher&quot;:&quot;Colombia TIC&quot;,&quot;container-title-short&quot;:&quot;&quot;},&quot;isTemporary&quot;:false,&quot;suppress-author&quot;:false,&quot;composite&quot;:false,&quot;author-only&quot;:false}]},{&quot;citationID&quot;:&quot;MENDELEY_CITATION_df18456b-a698-4550-a0ec-6f569bd2f42e&quot;,&quot;properties&quot;:{&quot;noteIndex&quot;:0},&quot;isEdited&quot;:false,&quot;manualOverride&quot;:{&quot;isManuallyOverridden&quot;:false,&quot;citeprocText&quot;:&quot;(Departamento Nacional de Planeación, 2025)&quot;,&quot;manualOverrideText&quot;:&quot;&quot;},&quot;citationTag&quot;:&quot;MENDELEY_CITATION_v3_eyJjaXRhdGlvbklEIjoiTUVOREVMRVlfQ0lUQVRJT05fZGYxODQ1NmItYTY5OC00NTUwLWEwZWMtNmY1NjliZDJmNDJlIiwicHJvcGVydGllcyI6eyJub3RlSW5kZXgiOjB9LCJpc0VkaXRlZCI6ZmFsc2UsIm1hbnVhbE92ZXJyaWRlIjp7ImlzTWFudWFsbHlPdmVycmlkZGVuIjpmYWxzZSwiY2l0ZXByb2NUZXh0IjoiKERlcGFydGFtZW50byBOYWNpb25hbCBkZSBQbGFuZWFjacOzbiwgMjAyNSkiLCJtYW51YWxPdmVycmlkZVRleHQiOiIifSwiY2l0YXRpb25JdGVtcyI6W3siaWQiOiJiYmY4N2QxYy04MzAwLTNhODctYTNjMy0yMDg5MmFiZmRmOGMiLCJpdGVtRGF0YSI6eyJ0eXBlIjoiYXJ0aWNsZSIsImlkIjoiYmJmODdkMWMtODMwMC0zYTg3LWEzYzMtMjA4OTJhYmZkZjhjIiwidGl0bGUiOiJMYSBsb2fDrXN0aWNhIGRlbCBwYcOtcyBhdmFuemEgaW1wdWxzYWRhIHBvciBsYXMgcmVnaW9uZXM6IE1lbm9yZXMgY29zdG9zIHkgbGEgbG9nw61zdGljYSB2ZXJkZSBzZSBkZXN0YWNhbiBlbiBsYSBFTkwgMjAyNCAoRW5jdWVzdGEgTmFjaW9uYWwgTG9nw61zdGljYSkiLCJhdXRob3IiOlt7ImZhbWlseSI6IkRlcGFydGFtZW50byBOYWNpb25hbCBkZSBQbGFuZWFjacOzbiIsImdpdmVuIjoiIiwicGFyc2UtbmFtZXMiOmZhbHNlLCJkcm9wcGluZy1wYXJ0aWNsZSI6IiIsIm5vbi1kcm9wcGluZy1wYXJ0aWNsZSI6IiJ9XSwiVVJMIjoiaHR0cHM6Ly9kbnAuZ292LmNvL1ByZW5zYV8vTm90aWNpYXMvUGFnaW5hcy9MYS1sb2dpc3RpY2EtZGVsLXBhaXMtYXZhbnphLWltcHVsc2FkYS1wb3ItcmVnaW9uZXMtbWVub3Jlcy1jb3N0b3MtZW5jdWVzdGEtbmFjaW9uYWwtbG9naXN0aWNhLmFzcHgiLCJpc3N1ZWQiOnsiZGF0ZS1wYXJ0cyI6W1syMDI1LDExXV19LCJjb250YWluZXItdGl0bGUtc2hvcnQiOiIifSwiaXNUZW1wb3JhcnkiOmZhbHNlLCJzdXBwcmVzcy1hdXRob3IiOmZhbHNlLCJjb21wb3NpdGUiOmZhbHNlLCJhdXRob3Itb25seSI6ZmFsc2V9XX0=&quot;,&quot;citationItems&quot;:[{&quot;id&quot;:&quot;bbf87d1c-8300-3a87-a3c3-20892abfdf8c&quot;,&quot;itemData&quot;:{&quot;type&quot;:&quot;article&quot;,&quot;id&quot;:&quot;bbf87d1c-8300-3a87-a3c3-20892abfdf8c&quot;,&quot;title&quot;:&quot;La logística del país avanza impulsada por las regiones: Menores costos y la logística verde se destacan en la ENL 2024 (Encuesta Nacional Logística)&quot;,&quot;author&quot;:[{&quot;family&quot;:&quot;Departamento Nacional de Planeación&quot;,&quot;given&quot;:&quot;&quot;,&quot;parse-names&quot;:false,&quot;dropping-particle&quot;:&quot;&quot;,&quot;non-dropping-particle&quot;:&quot;&quot;}],&quot;URL&quot;:&quot;https://dnp.gov.co/Prensa_/Noticias/Paginas/La-logistica-del-pais-avanza-impulsada-por-regiones-menores-costos-encuesta-nacional-logistica.aspx&quot;,&quot;issued&quot;:{&quot;date-parts&quot;:[[2025,11]]},&quot;container-title-short&quot;:&quot;&quot;},&quot;isTemporary&quot;:false,&quot;suppress-author&quot;:false,&quot;composite&quot;:false,&quot;author-only&quot;:false}]},{&quot;citationID&quot;:&quot;MENDELEY_CITATION_6a7002f2-f5df-48b9-b812-866e6f55f04e&quot;,&quot;properties&quot;:{&quot;noteIndex&quot;:0},&quot;isEdited&quot;:false,&quot;manualOverride&quot;:{&quot;isManuallyOverridden&quot;:false,&quot;citeprocText&quot;:&quot;(Boom-Cárcamo et al., 2024)&quot;,&quot;manualOverrideText&quot;:&quot;&quot;},&quot;citationTag&quot;:&quot;MENDELEY_CITATION_v3_eyJjaXRhdGlvbklEIjoiTUVOREVMRVlfQ0lUQVRJT05fNmE3MDAyZjItZjVkZi00OGI5LWI4MTItODY2ZTZmNTVmMDRlIiwicHJvcGVydGllcyI6eyJub3RlSW5kZXgiOjB9LCJpc0VkaXRlZCI6ZmFsc2UsIm1hbnVhbE92ZXJyaWRlIjp7ImlzTWFudWFsbHlPdmVycmlkZGVuIjpmYWxzZSwiY2l0ZXByb2NUZXh0IjoiKEJvb20tQ8OhcmNhbW8gZXQgYWwuLCAyMDI0KSIsIm1hbnVhbE92ZXJyaWRlVGV4dCI6IiJ9LCJjaXRhdGlvbkl0ZW1zIjpbeyJpZCI6ImRhYzc3NzMzLWMxN2YtM2NiOC1iNWIzLTIxZmNiNjY3ZDcxYiIsIml0ZW1EYXRhIjp7InR5cGUiOiJhcnRpY2xlLWpvdXJuYWwiLCJpZCI6ImRhYzc3NzMzLWMxN2YtM2NiOC1iNWIzLTIxZmNiNjY3ZDcxYiIsInRpdGxlIjoiQmFycmllcnMgYW5kIHN0cmF0ZWdpZXMgZm9yIGRpZ2l0YWwgbWFya2V0aW5nIGFuZCBzbWFydCBkZWxpdmVyeSBpbiB1cmJhbiBjb3VyaWVyIGNvbXBhbmllcyBpbiBkZXZlbG9waW5nIGNvdW50cmllcyIsImF1dGhvciI6W3siZmFtaWx5IjoiQm9vbS1Dw6FyY2FtbyIsImdpdmVuIjoiRWZyYWluIiwicGFyc2UtbmFtZXMiOmZhbHNlLCJkcm9wcGluZy1wYXJ0aWNsZSI6IiIsIm5vbi1kcm9wcGluZy1wYXJ0aWNsZSI6IiJ9LHsiZmFtaWx5IjoiTW9saW5hLVJvbWVybyIsImdpdmVuIjoiU2NobmV5ZGVyIiwicGFyc2UtbmFtZXMiOmZhbHNlLCJkcm9wcGluZy1wYXJ0aWNsZSI6IiIsIm5vbi1kcm9wcGluZy1wYXJ0aWNsZSI6IiJ9LHsiZmFtaWx5IjoiR2FsaW5kby1Bbmd1bG8iLCJnaXZlbiI6IkNlc2FyIiwicGFyc2UtbmFtZXMiOmZhbHNlLCJkcm9wcGluZy1wYXJ0aWNsZSI6IiIsIm5vbi1kcm9wcGluZy1wYXJ0aWNsZSI6IiJ9LHsiZmFtaWx5IjoiTWFyIFJlc3RyZXBvIiwiZ2l2ZW4iOiJNYXLDrWEiLCJwYXJzZS1uYW1lcyI6ZmFsc2UsImRyb3BwaW5nLXBhcnRpY2xlIjoiIiwibm9uLWRyb3BwaW5nLXBhcnRpY2xlIjoiZGVsIn1dLCJjb250YWluZXItdGl0bGUiOiJKb3VybmFsIG9mIHRoZSBLbm93bGVkZ2UgRWNvbm9teSIsIkRPSSI6IjEwLjEwMDcvczEzMTMyLTAyNC0wMTgyMy0xIiwiVVJMIjoiaHR0cHM6Ly9kb2kub3JnLzEwLjEwMDcvczEzMTMyLTAyNC0wMTgyMy0xIiwiaXNzdWVkIjp7ImRhdGUtcGFydHMiOltbMjAyNF1dfSwicGFnZSI6IjE5MjAzLTE5MjMyIiwiaXNzdWUiOiI0Iiwidm9sdW1lIjoiMTUiLCJjb250YWluZXItdGl0bGUtc2hvcnQiOiIifSwiaXNUZW1wb3JhcnkiOmZhbHNlLCJzdXBwcmVzcy1hdXRob3IiOmZhbHNlLCJjb21wb3NpdGUiOmZhbHNlLCJhdXRob3Itb25seSI6ZmFsc2V9XX0=&quot;,&quot;citationItems&quot;:[{&quot;id&quot;:&quot;dac77733-c17f-3cb8-b5b3-21fcb667d71b&quot;,&quot;itemData&quot;:{&quot;type&quot;:&quot;article-journal&quot;,&quot;id&quot;:&quot;dac77733-c17f-3cb8-b5b3-21fcb667d71b&quot;,&quot;title&quot;:&quot;Barriers and strategies for digital marketing and smart delivery in urban courier companies in developing countries&quot;,&quot;author&quot;:[{&quot;family&quot;:&quot;Boom-Cárcamo&quot;,&quot;given&quot;:&quot;Efrain&quot;,&quot;parse-names&quot;:false,&quot;dropping-particle&quot;:&quot;&quot;,&quot;non-dropping-particle&quot;:&quot;&quot;},{&quot;family&quot;:&quot;Molina-Romero&quot;,&quot;given&quot;:&quot;Schneyder&quot;,&quot;parse-names&quot;:false,&quot;dropping-particle&quot;:&quot;&quot;,&quot;non-dropping-particle&quot;:&quot;&quot;},{&quot;family&quot;:&quot;Galindo-Angulo&quot;,&quot;given&quot;:&quot;Cesar&quot;,&quot;parse-names&quot;:false,&quot;dropping-particle&quot;:&quot;&quot;,&quot;non-dropping-particle&quot;:&quot;&quot;},{&quot;family&quot;:&quot;Mar Restrepo&quot;,&quot;given&quot;:&quot;María&quot;,&quot;parse-names&quot;:false,&quot;dropping-particle&quot;:&quot;&quot;,&quot;non-dropping-particle&quot;:&quot;del&quot;}],&quot;container-title&quot;:&quot;Journal of the Knowledge Economy&quot;,&quot;DOI&quot;:&quot;10.1007/s13132-024-01823-1&quot;,&quot;URL&quot;:&quot;https://doi.org/10.1007/s13132-024-01823-1&quot;,&quot;issued&quot;:{&quot;date-parts&quot;:[[2024]]},&quot;page&quot;:&quot;19203-19232&quot;,&quot;issue&quot;:&quot;4&quot;,&quot;volume&quot;:&quot;15&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60BD8-BE5D-40F9-885A-DC5D8A30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2930</Words>
  <Characters>16118</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CMEDriver: plataforma orientada a API para la gestión, trazabilidad en tiempo real y comunicación directa cliente-mensajero en servicios de mensajería en Colombia</vt:lpstr>
    </vt:vector>
  </TitlesOfParts>
  <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CMEDriver: plataforma orientada a API para la gestión, trazabilidad en tiempo real y comunicación directa cliente-mensajero en servicios de mensajería en Colombia</dc:title>
  <dc:creator>Estudiante</dc:creator>
  <cp:lastModifiedBy>Mora Osorio, Javier Esteban</cp:lastModifiedBy>
  <cp:revision>4</cp:revision>
  <dcterms:created xsi:type="dcterms:W3CDTF">2026-10-14T00:26:00Z</dcterms:created>
  <dcterms:modified xsi:type="dcterms:W3CDTF">2026-10-14T01:08:00Z</dcterms:modified>
</cp:coreProperties>
</file>