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8C1F7" w14:textId="109429AA" w:rsidR="00BF6C47" w:rsidRDefault="00D43852" w:rsidP="00357B03">
      <w:pPr>
        <w:pStyle w:val="Ttulo"/>
        <w:spacing w:after="240"/>
        <w:rPr>
          <w:b/>
          <w:bCs/>
          <w:color w:val="195C6B"/>
        </w:rPr>
      </w:pPr>
      <w:r w:rsidRPr="00984721">
        <w:rPr>
          <w:b/>
          <w:bCs/>
          <w:color w:val="195C6B"/>
        </w:rPr>
        <w:t xml:space="preserve">Propuesta </w:t>
      </w:r>
      <w:r w:rsidR="009C36D5" w:rsidRPr="00984721">
        <w:rPr>
          <w:b/>
          <w:bCs/>
          <w:color w:val="195C6B"/>
        </w:rPr>
        <w:t>de Caso Práctico</w:t>
      </w:r>
    </w:p>
    <w:p w14:paraId="1D525E31" w14:textId="278C9956" w:rsidR="000E2019" w:rsidRPr="00357B03" w:rsidRDefault="00DA689A" w:rsidP="00357B03">
      <w:pPr>
        <w:spacing w:after="0"/>
        <w:rPr>
          <w:rFonts w:ascii="Arial Nova" w:eastAsiaTheme="majorEastAsia" w:hAnsi="Arial Nova" w:cstheme="minorHAnsi"/>
          <w:color w:val="195C6B"/>
          <w:spacing w:val="-10"/>
          <w:kern w:val="28"/>
          <w:sz w:val="24"/>
          <w:szCs w:val="24"/>
        </w:rPr>
      </w:pPr>
      <w:r w:rsidRPr="00357B03">
        <w:rPr>
          <w:rFonts w:ascii="Arial Nova" w:eastAsiaTheme="majorEastAsia" w:hAnsi="Arial Nova" w:cstheme="minorHAnsi"/>
          <w:color w:val="195C6B"/>
          <w:spacing w:val="-10"/>
          <w:kern w:val="28"/>
          <w:sz w:val="24"/>
          <w:szCs w:val="24"/>
        </w:rPr>
        <w:t>Máster en Ingeniería y Ciencia de Datos – Visualización de da</w:t>
      </w:r>
      <w:r w:rsidR="002C0820" w:rsidRPr="00357B03">
        <w:rPr>
          <w:rFonts w:ascii="Arial Nova" w:eastAsiaTheme="majorEastAsia" w:hAnsi="Arial Nova" w:cstheme="minorHAnsi"/>
          <w:color w:val="195C6B"/>
          <w:spacing w:val="-10"/>
          <w:kern w:val="28"/>
          <w:sz w:val="24"/>
          <w:szCs w:val="24"/>
        </w:rPr>
        <w:t>tos</w:t>
      </w:r>
    </w:p>
    <w:p w14:paraId="4407E160" w14:textId="19C65E19" w:rsidR="002C0820" w:rsidRPr="00357B03" w:rsidRDefault="002C0820" w:rsidP="00357B03">
      <w:pPr>
        <w:spacing w:after="0"/>
        <w:rPr>
          <w:rFonts w:ascii="Arial Nova" w:eastAsiaTheme="majorEastAsia" w:hAnsi="Arial Nova" w:cstheme="minorHAnsi"/>
          <w:color w:val="195C6B"/>
          <w:spacing w:val="-10"/>
          <w:kern w:val="28"/>
          <w:sz w:val="24"/>
          <w:szCs w:val="24"/>
        </w:rPr>
      </w:pPr>
      <w:r w:rsidRPr="00357B03">
        <w:rPr>
          <w:rFonts w:ascii="Arial Nova" w:eastAsiaTheme="majorEastAsia" w:hAnsi="Arial Nova" w:cstheme="minorHAnsi"/>
          <w:color w:val="195C6B"/>
          <w:spacing w:val="-10"/>
          <w:kern w:val="28"/>
          <w:sz w:val="24"/>
          <w:szCs w:val="24"/>
        </w:rPr>
        <w:t>Curso 2023/2024</w:t>
      </w:r>
    </w:p>
    <w:p w14:paraId="3AE8185D" w14:textId="77777777" w:rsidR="00A96CBA" w:rsidRDefault="00A96CBA"/>
    <w:p w14:paraId="16B5F108" w14:textId="4C0731DA" w:rsidR="007836C2" w:rsidRPr="00A935FE" w:rsidRDefault="007836C2">
      <w:pPr>
        <w:rPr>
          <w:rFonts w:ascii="Arial Nova" w:eastAsiaTheme="majorEastAsia" w:hAnsi="Arial Nova" w:cstheme="minorHAnsi"/>
          <w:b/>
          <w:bCs/>
          <w:color w:val="195C6B"/>
          <w:spacing w:val="-10"/>
          <w:kern w:val="28"/>
          <w:sz w:val="24"/>
          <w:szCs w:val="24"/>
        </w:rPr>
      </w:pPr>
      <w:r w:rsidRPr="00A935FE">
        <w:rPr>
          <w:rFonts w:ascii="Arial Nova" w:eastAsiaTheme="majorEastAsia" w:hAnsi="Arial Nova" w:cstheme="minorHAnsi"/>
          <w:b/>
          <w:bCs/>
          <w:color w:val="195C6B"/>
          <w:spacing w:val="-10"/>
          <w:kern w:val="28"/>
          <w:sz w:val="24"/>
          <w:szCs w:val="24"/>
        </w:rPr>
        <w:t>Introducción y objetivos:</w:t>
      </w:r>
    </w:p>
    <w:p w14:paraId="79D91CD1" w14:textId="16FBEE2E" w:rsidR="007836C2" w:rsidRDefault="00CC3CAE" w:rsidP="005A792E">
      <w:pPr>
        <w:spacing w:line="276" w:lineRule="auto"/>
        <w:jc w:val="both"/>
        <w:rPr>
          <w:rFonts w:ascii="Arial Nova" w:hAnsi="Arial Nova"/>
          <w:sz w:val="20"/>
          <w:szCs w:val="20"/>
        </w:rPr>
      </w:pPr>
      <w:r>
        <w:rPr>
          <w:rFonts w:ascii="Arial Nova" w:hAnsi="Arial Nova"/>
          <w:sz w:val="20"/>
          <w:szCs w:val="20"/>
        </w:rPr>
        <w:t xml:space="preserve">Este documento tiene la finalidad de hacer una propuesta de </w:t>
      </w:r>
      <w:r w:rsidRPr="006B7287">
        <w:rPr>
          <w:rFonts w:ascii="Arial Nova" w:hAnsi="Arial Nova"/>
          <w:sz w:val="20"/>
          <w:szCs w:val="20"/>
        </w:rPr>
        <w:t xml:space="preserve">objetivo de la visualización y la fuente de datos a utilizar, para su </w:t>
      </w:r>
      <w:r w:rsidR="006B7287" w:rsidRPr="006B7287">
        <w:rPr>
          <w:rFonts w:ascii="Arial Nova" w:hAnsi="Arial Nova"/>
          <w:sz w:val="20"/>
          <w:szCs w:val="20"/>
        </w:rPr>
        <w:t>posterior aprobación.</w:t>
      </w:r>
      <w:r w:rsidR="006B7287">
        <w:rPr>
          <w:rFonts w:ascii="Arial Nova" w:hAnsi="Arial Nova"/>
          <w:sz w:val="20"/>
          <w:szCs w:val="20"/>
        </w:rPr>
        <w:t xml:space="preserve"> El tema seleccionado ha sido el sistema eléctrico </w:t>
      </w:r>
      <w:r w:rsidR="006B7287" w:rsidRPr="006B7287">
        <w:rPr>
          <w:rFonts w:ascii="Arial Nova" w:hAnsi="Arial Nova"/>
          <w:sz w:val="20"/>
          <w:szCs w:val="20"/>
        </w:rPr>
        <w:t>español</w:t>
      </w:r>
      <w:r w:rsidR="006B7287">
        <w:rPr>
          <w:rFonts w:ascii="Arial Nova" w:hAnsi="Arial Nova"/>
          <w:sz w:val="20"/>
          <w:szCs w:val="20"/>
        </w:rPr>
        <w:t xml:space="preserve"> de los últimos a</w:t>
      </w:r>
      <w:r w:rsidR="006B7287" w:rsidRPr="006B7287">
        <w:rPr>
          <w:rFonts w:ascii="Arial Nova" w:hAnsi="Arial Nova"/>
          <w:sz w:val="20"/>
          <w:szCs w:val="20"/>
        </w:rPr>
        <w:t>ño</w:t>
      </w:r>
      <w:r w:rsidR="006B7287">
        <w:rPr>
          <w:rFonts w:ascii="Arial Nova" w:hAnsi="Arial Nova"/>
          <w:sz w:val="20"/>
          <w:szCs w:val="20"/>
        </w:rPr>
        <w:t>s. A continuación, se realiza una introducción a su motivación:</w:t>
      </w:r>
    </w:p>
    <w:p w14:paraId="7AF59764" w14:textId="793CF6F7" w:rsidR="006B7287" w:rsidRDefault="006B7287" w:rsidP="005A792E">
      <w:pPr>
        <w:spacing w:line="276" w:lineRule="auto"/>
        <w:jc w:val="both"/>
        <w:rPr>
          <w:rFonts w:ascii="Arial Nova" w:hAnsi="Arial Nova"/>
          <w:sz w:val="20"/>
          <w:szCs w:val="20"/>
        </w:rPr>
      </w:pPr>
      <w:r w:rsidRPr="006B7287">
        <w:rPr>
          <w:rFonts w:ascii="Arial Nova" w:hAnsi="Arial Nova"/>
          <w:sz w:val="20"/>
          <w:szCs w:val="20"/>
        </w:rPr>
        <w:t>El mercado eléctrico español ha experimentado un año de gran convulsión, caracterizado por una notable variabilidad de precios y fuentes de generación energética. Esta situación ha despertado un interés particular en su estudio, ya que las fluctuaciones en el mercado eléctrico no solo tienen repercusiones económicas, sino que también influyen en la sostenibilidad ambiental y la seguridad energética del país. Por tanto, en este trabajo se abordará el análisis del mercado eléctrico español, con el objetivo de comprender las dinámicas que han contribuido a esta volatilidad y explorar posibles tendencias futuras</w:t>
      </w:r>
      <w:r>
        <w:rPr>
          <w:rFonts w:ascii="Arial Nova" w:hAnsi="Arial Nova"/>
          <w:sz w:val="20"/>
          <w:szCs w:val="20"/>
        </w:rPr>
        <w:t>.</w:t>
      </w:r>
    </w:p>
    <w:p w14:paraId="69A21767" w14:textId="3A3DAE2D" w:rsidR="005A792E" w:rsidRPr="00984721" w:rsidRDefault="005A792E" w:rsidP="006B7287">
      <w:pPr>
        <w:spacing w:line="276" w:lineRule="auto"/>
        <w:jc w:val="both"/>
        <w:rPr>
          <w:rFonts w:ascii="Arial Nova" w:hAnsi="Arial Nova"/>
          <w:sz w:val="20"/>
          <w:szCs w:val="20"/>
        </w:rPr>
      </w:pPr>
      <w:r>
        <w:rPr>
          <w:rFonts w:ascii="Arial Nova" w:hAnsi="Arial Nova"/>
          <w:sz w:val="20"/>
          <w:szCs w:val="20"/>
        </w:rPr>
        <w:t xml:space="preserve">El objetivo principal para el caso práctico es el análisis del mercado eléctrico </w:t>
      </w:r>
      <w:r w:rsidR="004D7B7D">
        <w:rPr>
          <w:rFonts w:ascii="Arial Nova" w:hAnsi="Arial Nova"/>
          <w:sz w:val="20"/>
          <w:szCs w:val="20"/>
        </w:rPr>
        <w:t>español</w:t>
      </w:r>
      <w:r>
        <w:rPr>
          <w:rFonts w:ascii="Arial Nova" w:eastAsiaTheme="majorEastAsia" w:hAnsi="Arial Nova" w:cstheme="minorHAnsi"/>
          <w:spacing w:val="-10"/>
          <w:kern w:val="28"/>
          <w:sz w:val="20"/>
          <w:szCs w:val="20"/>
        </w:rPr>
        <w:t xml:space="preserve"> de</w:t>
      </w:r>
      <w:r w:rsidR="006B7287">
        <w:rPr>
          <w:rFonts w:ascii="Arial Nova" w:eastAsiaTheme="majorEastAsia" w:hAnsi="Arial Nova" w:cstheme="minorHAnsi"/>
          <w:spacing w:val="-10"/>
          <w:kern w:val="28"/>
          <w:sz w:val="20"/>
          <w:szCs w:val="20"/>
        </w:rPr>
        <w:t xml:space="preserve"> los </w:t>
      </w:r>
      <w:r>
        <w:rPr>
          <w:rFonts w:ascii="Arial Nova" w:eastAsiaTheme="majorEastAsia" w:hAnsi="Arial Nova" w:cstheme="minorHAnsi"/>
          <w:spacing w:val="-10"/>
          <w:kern w:val="28"/>
          <w:sz w:val="20"/>
          <w:szCs w:val="20"/>
        </w:rPr>
        <w:t>último</w:t>
      </w:r>
      <w:r w:rsidR="006B7287">
        <w:rPr>
          <w:rFonts w:ascii="Arial Nova" w:eastAsiaTheme="majorEastAsia" w:hAnsi="Arial Nova" w:cstheme="minorHAnsi"/>
          <w:spacing w:val="-10"/>
          <w:kern w:val="28"/>
          <w:sz w:val="20"/>
          <w:szCs w:val="20"/>
        </w:rPr>
        <w:t>s</w:t>
      </w:r>
      <w:r>
        <w:rPr>
          <w:rFonts w:ascii="Arial Nova" w:eastAsiaTheme="majorEastAsia" w:hAnsi="Arial Nova" w:cstheme="minorHAnsi"/>
          <w:spacing w:val="-10"/>
          <w:kern w:val="28"/>
          <w:sz w:val="20"/>
          <w:szCs w:val="20"/>
        </w:rPr>
        <w:t xml:space="preserve"> año</w:t>
      </w:r>
      <w:r w:rsidR="006B7287">
        <w:rPr>
          <w:rFonts w:ascii="Arial Nova" w:eastAsiaTheme="majorEastAsia" w:hAnsi="Arial Nova" w:cstheme="minorHAnsi"/>
          <w:spacing w:val="-10"/>
          <w:kern w:val="28"/>
          <w:sz w:val="20"/>
          <w:szCs w:val="20"/>
        </w:rPr>
        <w:t>s</w:t>
      </w:r>
      <w:r>
        <w:rPr>
          <w:rFonts w:ascii="Arial Nova" w:eastAsiaTheme="majorEastAsia" w:hAnsi="Arial Nova" w:cstheme="minorHAnsi"/>
          <w:spacing w:val="-10"/>
          <w:kern w:val="28"/>
          <w:sz w:val="20"/>
          <w:szCs w:val="20"/>
        </w:rPr>
        <w:t xml:space="preserve">. Para ello, el estudio analizaría el mercado desde tres perspectivas: una perspectiva técnica de las tecnologías disponibles, una perspectiva económica de la evolución de los precios y una perspectiva medioambiental. </w:t>
      </w:r>
    </w:p>
    <w:p w14:paraId="66DF50B7" w14:textId="77777777" w:rsidR="007836C2" w:rsidRDefault="007836C2"/>
    <w:p w14:paraId="3F59DAF0" w14:textId="76AC9609" w:rsidR="000F411F" w:rsidRDefault="000F411F" w:rsidP="000F411F">
      <w:pPr>
        <w:rPr>
          <w:rFonts w:ascii="Arial Nova" w:eastAsiaTheme="majorEastAsia" w:hAnsi="Arial Nova" w:cstheme="minorHAnsi"/>
          <w:b/>
          <w:bCs/>
          <w:color w:val="195C6B"/>
          <w:spacing w:val="-10"/>
          <w:kern w:val="28"/>
          <w:sz w:val="24"/>
          <w:szCs w:val="24"/>
        </w:rPr>
      </w:pPr>
      <w:r w:rsidRPr="00A935FE">
        <w:rPr>
          <w:rFonts w:ascii="Arial Nova" w:eastAsiaTheme="majorEastAsia" w:hAnsi="Arial Nova" w:cstheme="minorHAnsi"/>
          <w:b/>
          <w:bCs/>
          <w:color w:val="195C6B"/>
          <w:spacing w:val="-10"/>
          <w:kern w:val="28"/>
          <w:sz w:val="24"/>
          <w:szCs w:val="24"/>
        </w:rPr>
        <w:t xml:space="preserve">Descripción de </w:t>
      </w:r>
      <w:r w:rsidR="005A5107" w:rsidRPr="00A935FE">
        <w:rPr>
          <w:rFonts w:ascii="Arial Nova" w:eastAsiaTheme="majorEastAsia" w:hAnsi="Arial Nova" w:cstheme="minorHAnsi"/>
          <w:b/>
          <w:bCs/>
          <w:color w:val="195C6B"/>
          <w:spacing w:val="-10"/>
          <w:kern w:val="28"/>
          <w:sz w:val="24"/>
          <w:szCs w:val="24"/>
        </w:rPr>
        <w:t>la fuente de datos:</w:t>
      </w:r>
    </w:p>
    <w:p w14:paraId="5678557B" w14:textId="00290B9E" w:rsidR="006947A5" w:rsidRDefault="005A792E" w:rsidP="006947A5">
      <w:pPr>
        <w:spacing w:line="276" w:lineRule="auto"/>
        <w:jc w:val="both"/>
        <w:rPr>
          <w:rFonts w:ascii="Arial Nova" w:hAnsi="Arial Nova"/>
          <w:sz w:val="20"/>
          <w:szCs w:val="20"/>
        </w:rPr>
      </w:pPr>
      <w:r w:rsidRPr="005A792E">
        <w:rPr>
          <w:rFonts w:ascii="Arial Nova" w:hAnsi="Arial Nova"/>
          <w:sz w:val="20"/>
          <w:szCs w:val="20"/>
        </w:rPr>
        <w:t>Los datos necesarios para el caso práctico se encuentran disponibles desde la web ESIOS de Red Eléctrica de España (REE)</w:t>
      </w:r>
      <w:r>
        <w:rPr>
          <w:rFonts w:ascii="Arial Nova" w:hAnsi="Arial Nova"/>
          <w:sz w:val="20"/>
          <w:szCs w:val="20"/>
        </w:rPr>
        <w:t xml:space="preserve">. </w:t>
      </w:r>
      <w:r w:rsidR="006947A5">
        <w:rPr>
          <w:rFonts w:ascii="Arial Nova" w:hAnsi="Arial Nova"/>
          <w:sz w:val="20"/>
          <w:szCs w:val="20"/>
        </w:rPr>
        <w:t xml:space="preserve">La </w:t>
      </w:r>
      <w:r w:rsidR="006947A5" w:rsidRPr="00D905AA">
        <w:rPr>
          <w:rFonts w:ascii="Arial Nova" w:hAnsi="Arial Nova"/>
          <w:sz w:val="20"/>
          <w:szCs w:val="20"/>
        </w:rPr>
        <w:t>Web de ESIOS</w:t>
      </w:r>
      <w:r w:rsidR="006947A5">
        <w:rPr>
          <w:rFonts w:ascii="Arial Nova" w:hAnsi="Arial Nova"/>
          <w:sz w:val="20"/>
          <w:szCs w:val="20"/>
        </w:rPr>
        <w:t xml:space="preserve"> es accesible mediante la siguiente url</w:t>
      </w:r>
      <w:r w:rsidR="006947A5" w:rsidRPr="00D905AA">
        <w:rPr>
          <w:rFonts w:ascii="Arial Nova" w:hAnsi="Arial Nova"/>
          <w:sz w:val="20"/>
          <w:szCs w:val="20"/>
        </w:rPr>
        <w:t>:</w:t>
      </w:r>
      <w:r w:rsidR="006947A5">
        <w:t xml:space="preserve"> </w:t>
      </w:r>
      <w:hyperlink r:id="rId8" w:history="1">
        <w:r w:rsidR="006947A5" w:rsidRPr="00D905AA">
          <w:rPr>
            <w:rStyle w:val="Hipervnculo"/>
            <w:rFonts w:ascii="Arial Nova" w:hAnsi="Arial Nova"/>
            <w:sz w:val="20"/>
            <w:szCs w:val="20"/>
          </w:rPr>
          <w:t>https://www.esios.ree.es/es</w:t>
        </w:r>
      </w:hyperlink>
      <w:r w:rsidR="006947A5">
        <w:rPr>
          <w:rFonts w:ascii="Arial Nova" w:hAnsi="Arial Nova"/>
          <w:sz w:val="20"/>
          <w:szCs w:val="20"/>
        </w:rPr>
        <w:t>. Una vez dentro de la página de inicio de la web</w:t>
      </w:r>
      <w:r w:rsidR="00F43404">
        <w:rPr>
          <w:rFonts w:ascii="Arial Nova" w:hAnsi="Arial Nova"/>
          <w:sz w:val="20"/>
          <w:szCs w:val="20"/>
        </w:rPr>
        <w:t xml:space="preserve"> (véase </w:t>
      </w:r>
      <w:r w:rsidR="00F43404">
        <w:rPr>
          <w:rFonts w:ascii="Arial Nova" w:hAnsi="Arial Nova"/>
          <w:sz w:val="20"/>
          <w:szCs w:val="20"/>
        </w:rPr>
        <w:fldChar w:fldCharType="begin"/>
      </w:r>
      <w:r w:rsidR="00F43404">
        <w:rPr>
          <w:rFonts w:ascii="Arial Nova" w:hAnsi="Arial Nova"/>
          <w:sz w:val="20"/>
          <w:szCs w:val="20"/>
        </w:rPr>
        <w:instrText xml:space="preserve"> REF _Ref161783066 \h </w:instrText>
      </w:r>
      <w:r w:rsidR="00F43404">
        <w:rPr>
          <w:rFonts w:ascii="Arial Nova" w:hAnsi="Arial Nova"/>
          <w:sz w:val="20"/>
          <w:szCs w:val="20"/>
        </w:rPr>
      </w:r>
      <w:r w:rsidR="00F43404">
        <w:rPr>
          <w:rFonts w:ascii="Arial Nova" w:hAnsi="Arial Nova"/>
          <w:sz w:val="20"/>
          <w:szCs w:val="20"/>
        </w:rPr>
        <w:fldChar w:fldCharType="separate"/>
      </w:r>
      <w:r w:rsidR="00681F05" w:rsidRPr="00C24518">
        <w:rPr>
          <w:rFonts w:ascii="Arial Nova" w:hAnsi="Arial Nova"/>
          <w:b/>
          <w:bCs/>
          <w:sz w:val="20"/>
          <w:szCs w:val="20"/>
        </w:rPr>
        <w:t xml:space="preserve">Figura </w:t>
      </w:r>
      <w:r w:rsidR="00681F05">
        <w:rPr>
          <w:rFonts w:ascii="Arial Nova" w:hAnsi="Arial Nova"/>
          <w:b/>
          <w:bCs/>
          <w:i/>
          <w:iCs/>
          <w:noProof/>
          <w:sz w:val="20"/>
          <w:szCs w:val="20"/>
        </w:rPr>
        <w:t>1</w:t>
      </w:r>
      <w:r w:rsidR="00F43404">
        <w:rPr>
          <w:rFonts w:ascii="Arial Nova" w:hAnsi="Arial Nova"/>
          <w:sz w:val="20"/>
          <w:szCs w:val="20"/>
        </w:rPr>
        <w:fldChar w:fldCharType="end"/>
      </w:r>
      <w:r w:rsidR="00F43404">
        <w:rPr>
          <w:rFonts w:ascii="Arial Nova" w:hAnsi="Arial Nova"/>
          <w:sz w:val="20"/>
          <w:szCs w:val="20"/>
        </w:rPr>
        <w:t>)</w:t>
      </w:r>
      <w:r w:rsidR="006947A5">
        <w:rPr>
          <w:rFonts w:ascii="Arial Nova" w:hAnsi="Arial Nova"/>
          <w:sz w:val="20"/>
          <w:szCs w:val="20"/>
        </w:rPr>
        <w:t>, se presentan distintos indicadores a tiempo real del mercado eléctrico.</w:t>
      </w:r>
    </w:p>
    <w:p w14:paraId="15AB1C47" w14:textId="554D4658" w:rsidR="005A792E" w:rsidRDefault="006947A5" w:rsidP="006947A5">
      <w:pPr>
        <w:spacing w:line="276" w:lineRule="auto"/>
        <w:jc w:val="both"/>
        <w:rPr>
          <w:rFonts w:ascii="Arial Nova" w:hAnsi="Arial Nova"/>
          <w:sz w:val="20"/>
          <w:szCs w:val="20"/>
        </w:rPr>
      </w:pPr>
      <w:r>
        <w:rPr>
          <w:rFonts w:ascii="Arial Nova" w:hAnsi="Arial Nova"/>
          <w:sz w:val="20"/>
          <w:szCs w:val="20"/>
        </w:rPr>
        <w:t xml:space="preserve">La web permite acceder libremente a una gran variedad de datos del sistema eléctrico, los cuales se encuentran clasificados por indicadores y periodos de tiempo con distinta tasa de muestreo. Los datos son accesibles mediante dos métodos: una interfaz de selección de datos y su formato (véase </w:t>
      </w:r>
      <w:r>
        <w:rPr>
          <w:rFonts w:ascii="Arial Nova" w:hAnsi="Arial Nova"/>
          <w:sz w:val="20"/>
          <w:szCs w:val="20"/>
        </w:rPr>
        <w:fldChar w:fldCharType="begin"/>
      </w:r>
      <w:r>
        <w:rPr>
          <w:rFonts w:ascii="Arial Nova" w:hAnsi="Arial Nova"/>
          <w:sz w:val="20"/>
          <w:szCs w:val="20"/>
        </w:rPr>
        <w:instrText xml:space="preserve"> REF _Ref161782863 \h </w:instrText>
      </w:r>
      <w:r>
        <w:rPr>
          <w:rFonts w:ascii="Arial Nova" w:hAnsi="Arial Nova"/>
          <w:sz w:val="20"/>
          <w:szCs w:val="20"/>
        </w:rPr>
      </w:r>
      <w:r>
        <w:rPr>
          <w:rFonts w:ascii="Arial Nova" w:hAnsi="Arial Nova"/>
          <w:sz w:val="20"/>
          <w:szCs w:val="20"/>
        </w:rPr>
        <w:fldChar w:fldCharType="separate"/>
      </w:r>
      <w:r w:rsidR="00681F05" w:rsidRPr="00C24518">
        <w:rPr>
          <w:rFonts w:ascii="Arial Nova" w:hAnsi="Arial Nova"/>
          <w:b/>
          <w:bCs/>
          <w:sz w:val="20"/>
          <w:szCs w:val="20"/>
        </w:rPr>
        <w:t xml:space="preserve">Figura </w:t>
      </w:r>
      <w:r w:rsidR="00681F05">
        <w:rPr>
          <w:rFonts w:ascii="Arial Nova" w:hAnsi="Arial Nova"/>
          <w:b/>
          <w:bCs/>
          <w:i/>
          <w:iCs/>
          <w:noProof/>
          <w:sz w:val="20"/>
          <w:szCs w:val="20"/>
        </w:rPr>
        <w:t>2</w:t>
      </w:r>
      <w:r>
        <w:rPr>
          <w:rFonts w:ascii="Arial Nova" w:hAnsi="Arial Nova"/>
          <w:sz w:val="20"/>
          <w:szCs w:val="20"/>
        </w:rPr>
        <w:fldChar w:fldCharType="end"/>
      </w:r>
      <w:r>
        <w:rPr>
          <w:rFonts w:ascii="Arial Nova" w:hAnsi="Arial Nova"/>
          <w:sz w:val="20"/>
          <w:szCs w:val="20"/>
        </w:rPr>
        <w:t xml:space="preserve">), la cual permite la descarga de los datos en distintos formatos; y también una API que permite descargar los datos directamente. </w:t>
      </w:r>
    </w:p>
    <w:p w14:paraId="74BAEA53" w14:textId="18A62FEB" w:rsidR="00C64434" w:rsidRPr="00C64434" w:rsidRDefault="00C64434" w:rsidP="00C64434">
      <w:pPr>
        <w:rPr>
          <w:rFonts w:ascii="Arial Nova" w:hAnsi="Arial Nova"/>
          <w:sz w:val="20"/>
          <w:szCs w:val="20"/>
        </w:rPr>
      </w:pPr>
      <w:r w:rsidRPr="00C64434">
        <w:rPr>
          <w:rFonts w:ascii="Arial Nova" w:hAnsi="Arial Nova"/>
          <w:sz w:val="20"/>
          <w:szCs w:val="20"/>
        </w:rPr>
        <w:t>Asimismo, también se obtienen datos sobre la intensidad de emisiones de carbono por unidad de energía generada en los distintos países europeos. Los datos han sido previamente utilizados en un artículo publicado con el título “</w:t>
      </w:r>
      <w:r w:rsidRPr="00D65E9A">
        <w:rPr>
          <w:rFonts w:ascii="Arial Nova" w:hAnsi="Arial Nova"/>
          <w:i/>
          <w:iCs/>
          <w:sz w:val="20"/>
          <w:szCs w:val="20"/>
        </w:rPr>
        <w:t xml:space="preserve">Open-data </w:t>
      </w:r>
      <w:proofErr w:type="spellStart"/>
      <w:r w:rsidRPr="00D65E9A">
        <w:rPr>
          <w:rFonts w:ascii="Arial Nova" w:hAnsi="Arial Nova"/>
          <w:i/>
          <w:iCs/>
          <w:sz w:val="20"/>
          <w:szCs w:val="20"/>
        </w:rPr>
        <w:t>based</w:t>
      </w:r>
      <w:proofErr w:type="spellEnd"/>
      <w:r w:rsidRPr="00D65E9A">
        <w:rPr>
          <w:rFonts w:ascii="Arial Nova" w:hAnsi="Arial Nova"/>
          <w:i/>
          <w:iCs/>
          <w:sz w:val="20"/>
          <w:szCs w:val="20"/>
        </w:rPr>
        <w:t xml:space="preserve"> </w:t>
      </w:r>
      <w:proofErr w:type="spellStart"/>
      <w:r w:rsidRPr="00D65E9A">
        <w:rPr>
          <w:rFonts w:ascii="Arial Nova" w:hAnsi="Arial Nova"/>
          <w:i/>
          <w:iCs/>
          <w:sz w:val="20"/>
          <w:szCs w:val="20"/>
        </w:rPr>
        <w:t>carbon</w:t>
      </w:r>
      <w:proofErr w:type="spellEnd"/>
      <w:r w:rsidRPr="00D65E9A">
        <w:rPr>
          <w:rFonts w:ascii="Arial Nova" w:hAnsi="Arial Nova"/>
          <w:i/>
          <w:iCs/>
          <w:sz w:val="20"/>
          <w:szCs w:val="20"/>
        </w:rPr>
        <w:t xml:space="preserve"> </w:t>
      </w:r>
      <w:proofErr w:type="spellStart"/>
      <w:r w:rsidRPr="00D65E9A">
        <w:rPr>
          <w:rFonts w:ascii="Arial Nova" w:hAnsi="Arial Nova"/>
          <w:i/>
          <w:iCs/>
          <w:sz w:val="20"/>
          <w:szCs w:val="20"/>
        </w:rPr>
        <w:t>emission</w:t>
      </w:r>
      <w:proofErr w:type="spellEnd"/>
      <w:r w:rsidRPr="00D65E9A">
        <w:rPr>
          <w:rFonts w:ascii="Arial Nova" w:hAnsi="Arial Nova"/>
          <w:i/>
          <w:iCs/>
          <w:sz w:val="20"/>
          <w:szCs w:val="20"/>
        </w:rPr>
        <w:t xml:space="preserve"> </w:t>
      </w:r>
      <w:proofErr w:type="spellStart"/>
      <w:r w:rsidRPr="00D65E9A">
        <w:rPr>
          <w:rFonts w:ascii="Arial Nova" w:hAnsi="Arial Nova"/>
          <w:i/>
          <w:iCs/>
          <w:sz w:val="20"/>
          <w:szCs w:val="20"/>
        </w:rPr>
        <w:t>intensity</w:t>
      </w:r>
      <w:proofErr w:type="spellEnd"/>
      <w:r w:rsidRPr="00D65E9A">
        <w:rPr>
          <w:rFonts w:ascii="Arial Nova" w:hAnsi="Arial Nova"/>
          <w:i/>
          <w:iCs/>
          <w:sz w:val="20"/>
          <w:szCs w:val="20"/>
        </w:rPr>
        <w:t xml:space="preserve"> </w:t>
      </w:r>
      <w:proofErr w:type="spellStart"/>
      <w:r w:rsidRPr="00D65E9A">
        <w:rPr>
          <w:rFonts w:ascii="Arial Nova" w:hAnsi="Arial Nova"/>
          <w:i/>
          <w:iCs/>
          <w:sz w:val="20"/>
          <w:szCs w:val="20"/>
        </w:rPr>
        <w:t>signals</w:t>
      </w:r>
      <w:proofErr w:type="spellEnd"/>
      <w:r w:rsidRPr="00D65E9A">
        <w:rPr>
          <w:rFonts w:ascii="Arial Nova" w:hAnsi="Arial Nova"/>
          <w:i/>
          <w:iCs/>
          <w:sz w:val="20"/>
          <w:szCs w:val="20"/>
        </w:rPr>
        <w:t xml:space="preserve"> </w:t>
      </w:r>
      <w:proofErr w:type="spellStart"/>
      <w:r w:rsidRPr="00D65E9A">
        <w:rPr>
          <w:rFonts w:ascii="Arial Nova" w:hAnsi="Arial Nova"/>
          <w:i/>
          <w:iCs/>
          <w:sz w:val="20"/>
          <w:szCs w:val="20"/>
        </w:rPr>
        <w:t>for</w:t>
      </w:r>
      <w:proofErr w:type="spellEnd"/>
      <w:r w:rsidRPr="00D65E9A">
        <w:rPr>
          <w:rFonts w:ascii="Arial Nova" w:hAnsi="Arial Nova"/>
          <w:i/>
          <w:iCs/>
          <w:sz w:val="20"/>
          <w:szCs w:val="20"/>
        </w:rPr>
        <w:t xml:space="preserve"> </w:t>
      </w:r>
      <w:proofErr w:type="spellStart"/>
      <w:r w:rsidRPr="00D65E9A">
        <w:rPr>
          <w:rFonts w:ascii="Arial Nova" w:hAnsi="Arial Nova"/>
          <w:i/>
          <w:iCs/>
          <w:sz w:val="20"/>
          <w:szCs w:val="20"/>
        </w:rPr>
        <w:t>electricity</w:t>
      </w:r>
      <w:proofErr w:type="spellEnd"/>
      <w:r w:rsidRPr="00D65E9A">
        <w:rPr>
          <w:rFonts w:ascii="Arial Nova" w:hAnsi="Arial Nova"/>
          <w:i/>
          <w:iCs/>
          <w:sz w:val="20"/>
          <w:szCs w:val="20"/>
        </w:rPr>
        <w:t xml:space="preserve"> </w:t>
      </w:r>
      <w:proofErr w:type="spellStart"/>
      <w:r w:rsidRPr="00D65E9A">
        <w:rPr>
          <w:rFonts w:ascii="Arial Nova" w:hAnsi="Arial Nova"/>
          <w:i/>
          <w:iCs/>
          <w:sz w:val="20"/>
          <w:szCs w:val="20"/>
        </w:rPr>
        <w:t>generation</w:t>
      </w:r>
      <w:proofErr w:type="spellEnd"/>
      <w:r w:rsidRPr="00D65E9A">
        <w:rPr>
          <w:rFonts w:ascii="Arial Nova" w:hAnsi="Arial Nova"/>
          <w:i/>
          <w:iCs/>
          <w:sz w:val="20"/>
          <w:szCs w:val="20"/>
        </w:rPr>
        <w:t xml:space="preserve"> in </w:t>
      </w:r>
      <w:proofErr w:type="spellStart"/>
      <w:r w:rsidRPr="00D65E9A">
        <w:rPr>
          <w:rFonts w:ascii="Arial Nova" w:hAnsi="Arial Nova"/>
          <w:i/>
          <w:iCs/>
          <w:sz w:val="20"/>
          <w:szCs w:val="20"/>
        </w:rPr>
        <w:t>European</w:t>
      </w:r>
      <w:proofErr w:type="spellEnd"/>
      <w:r w:rsidRPr="00D65E9A">
        <w:rPr>
          <w:rFonts w:ascii="Arial Nova" w:hAnsi="Arial Nova"/>
          <w:i/>
          <w:iCs/>
          <w:sz w:val="20"/>
          <w:szCs w:val="20"/>
        </w:rPr>
        <w:t xml:space="preserve"> </w:t>
      </w:r>
      <w:proofErr w:type="spellStart"/>
      <w:r w:rsidRPr="00D65E9A">
        <w:rPr>
          <w:rFonts w:ascii="Arial Nova" w:hAnsi="Arial Nova"/>
          <w:i/>
          <w:iCs/>
          <w:sz w:val="20"/>
          <w:szCs w:val="20"/>
        </w:rPr>
        <w:t>countries</w:t>
      </w:r>
      <w:proofErr w:type="spellEnd"/>
      <w:r w:rsidRPr="00D65E9A">
        <w:rPr>
          <w:rFonts w:ascii="Arial Nova" w:hAnsi="Arial Nova"/>
          <w:i/>
          <w:iCs/>
          <w:sz w:val="20"/>
          <w:szCs w:val="20"/>
        </w:rPr>
        <w:t xml:space="preserve"> – top </w:t>
      </w:r>
      <w:proofErr w:type="spellStart"/>
      <w:r w:rsidRPr="00D65E9A">
        <w:rPr>
          <w:rFonts w:ascii="Arial Nova" w:hAnsi="Arial Nova"/>
          <w:i/>
          <w:iCs/>
          <w:sz w:val="20"/>
          <w:szCs w:val="20"/>
        </w:rPr>
        <w:t>down</w:t>
      </w:r>
      <w:proofErr w:type="spellEnd"/>
      <w:r w:rsidRPr="00D65E9A">
        <w:rPr>
          <w:rFonts w:ascii="Arial Nova" w:hAnsi="Arial Nova"/>
          <w:i/>
          <w:iCs/>
          <w:sz w:val="20"/>
          <w:szCs w:val="20"/>
        </w:rPr>
        <w:t xml:space="preserve"> vs. bottom up </w:t>
      </w:r>
      <w:proofErr w:type="spellStart"/>
      <w:r w:rsidRPr="00D65E9A">
        <w:rPr>
          <w:rFonts w:ascii="Arial Nova" w:hAnsi="Arial Nova"/>
          <w:i/>
          <w:iCs/>
          <w:sz w:val="20"/>
          <w:szCs w:val="20"/>
        </w:rPr>
        <w:t>approach</w:t>
      </w:r>
      <w:proofErr w:type="spellEnd"/>
      <w:r w:rsidRPr="00C64434">
        <w:rPr>
          <w:rFonts w:ascii="Arial Nova" w:hAnsi="Arial Nova"/>
          <w:sz w:val="20"/>
          <w:szCs w:val="20"/>
        </w:rPr>
        <w:t>”</w:t>
      </w:r>
      <w:r>
        <w:rPr>
          <w:rFonts w:ascii="Arial Nova" w:hAnsi="Arial Nova"/>
          <w:sz w:val="20"/>
          <w:szCs w:val="20"/>
        </w:rPr>
        <w:t xml:space="preserve">. Los datos han sido publicados en la siguiente web: </w:t>
      </w:r>
      <w:hyperlink r:id="rId9" w:history="1">
        <w:r w:rsidRPr="00E9642A">
          <w:rPr>
            <w:rStyle w:val="Hipervnculo"/>
            <w:rFonts w:ascii="Arial Nova" w:hAnsi="Arial Nova"/>
            <w:sz w:val="20"/>
            <w:szCs w:val="20"/>
          </w:rPr>
          <w:t>https://zenodo.org/records/5603077</w:t>
        </w:r>
      </w:hyperlink>
      <w:r>
        <w:rPr>
          <w:rFonts w:ascii="Arial Nova" w:hAnsi="Arial Nova"/>
          <w:sz w:val="20"/>
          <w:szCs w:val="20"/>
        </w:rPr>
        <w:t xml:space="preserve"> .</w:t>
      </w:r>
    </w:p>
    <w:p w14:paraId="30761736" w14:textId="77777777" w:rsidR="006947A5" w:rsidRDefault="006947A5" w:rsidP="006947A5">
      <w:pPr>
        <w:spacing w:line="276" w:lineRule="auto"/>
        <w:jc w:val="both"/>
        <w:rPr>
          <w:rFonts w:ascii="Arial Nova" w:hAnsi="Arial Nova"/>
          <w:sz w:val="20"/>
          <w:szCs w:val="20"/>
        </w:rPr>
      </w:pPr>
    </w:p>
    <w:p w14:paraId="71AEBC1F" w14:textId="77777777" w:rsidR="006947A5" w:rsidRPr="005A792E" w:rsidRDefault="006947A5" w:rsidP="006947A5">
      <w:pPr>
        <w:spacing w:line="276" w:lineRule="auto"/>
        <w:jc w:val="both"/>
        <w:rPr>
          <w:rFonts w:ascii="Arial Nova" w:hAnsi="Arial Nova"/>
          <w:sz w:val="20"/>
          <w:szCs w:val="20"/>
        </w:rPr>
      </w:pPr>
    </w:p>
    <w:p w14:paraId="567ABB73" w14:textId="18529972" w:rsidR="007836C2" w:rsidRPr="00D905AA" w:rsidRDefault="007836C2" w:rsidP="007836C2">
      <w:pPr>
        <w:rPr>
          <w:rFonts w:ascii="Arial Nova" w:hAnsi="Arial Nova"/>
          <w:sz w:val="20"/>
          <w:szCs w:val="20"/>
        </w:rPr>
      </w:pPr>
    </w:p>
    <w:p w14:paraId="47A3D5A6" w14:textId="77777777" w:rsidR="00D50D2B" w:rsidRDefault="00D50D2B" w:rsidP="000F411F"/>
    <w:p w14:paraId="30C1C68E" w14:textId="77777777" w:rsidR="00D50D2B" w:rsidRDefault="00D50D2B" w:rsidP="000F411F"/>
    <w:p w14:paraId="0E90D617" w14:textId="77777777" w:rsidR="00C24518" w:rsidRDefault="00D50D2B" w:rsidP="00F43404">
      <w:pPr>
        <w:keepNext/>
        <w:jc w:val="center"/>
      </w:pPr>
      <w:r w:rsidRPr="00D50D2B">
        <w:rPr>
          <w:noProof/>
        </w:rPr>
        <w:lastRenderedPageBreak/>
        <w:drawing>
          <wp:inline distT="0" distB="0" distL="0" distR="0" wp14:anchorId="265C6451" wp14:editId="69D2D125">
            <wp:extent cx="4883787" cy="3460115"/>
            <wp:effectExtent l="0" t="0" r="0" b="6985"/>
            <wp:docPr id="16210076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07693" name="Imagen 1" descr="Interfaz de usuario gráfica, Aplicación&#10;&#10;Descripción generada automáticamente"/>
                    <pic:cNvPicPr/>
                  </pic:nvPicPr>
                  <pic:blipFill>
                    <a:blip r:embed="rId10"/>
                    <a:stretch>
                      <a:fillRect/>
                    </a:stretch>
                  </pic:blipFill>
                  <pic:spPr>
                    <a:xfrm>
                      <a:off x="0" y="0"/>
                      <a:ext cx="4885538" cy="3461356"/>
                    </a:xfrm>
                    <a:prstGeom prst="rect">
                      <a:avLst/>
                    </a:prstGeom>
                  </pic:spPr>
                </pic:pic>
              </a:graphicData>
            </a:graphic>
          </wp:inline>
        </w:drawing>
      </w:r>
    </w:p>
    <w:p w14:paraId="151E03EA" w14:textId="348A1B6C" w:rsidR="00D50D2B" w:rsidRDefault="00C24518" w:rsidP="00C24518">
      <w:pPr>
        <w:pStyle w:val="Descripcin"/>
        <w:jc w:val="center"/>
        <w:rPr>
          <w:rFonts w:ascii="Arial Nova" w:hAnsi="Arial Nova"/>
          <w:i w:val="0"/>
          <w:iCs w:val="0"/>
          <w:color w:val="auto"/>
          <w:sz w:val="20"/>
          <w:szCs w:val="20"/>
        </w:rPr>
      </w:pPr>
      <w:bookmarkStart w:id="0" w:name="_Ref161783066"/>
      <w:r w:rsidRPr="00C24518">
        <w:rPr>
          <w:rFonts w:ascii="Arial Nova" w:hAnsi="Arial Nova"/>
          <w:b/>
          <w:bCs/>
          <w:i w:val="0"/>
          <w:iCs w:val="0"/>
          <w:color w:val="auto"/>
          <w:sz w:val="20"/>
          <w:szCs w:val="20"/>
        </w:rPr>
        <w:t xml:space="preserve">Figura </w:t>
      </w:r>
      <w:r w:rsidRPr="00C24518">
        <w:rPr>
          <w:rFonts w:ascii="Arial Nova" w:hAnsi="Arial Nova"/>
          <w:b/>
          <w:bCs/>
          <w:i w:val="0"/>
          <w:iCs w:val="0"/>
          <w:color w:val="auto"/>
          <w:sz w:val="20"/>
          <w:szCs w:val="20"/>
        </w:rPr>
        <w:fldChar w:fldCharType="begin"/>
      </w:r>
      <w:r w:rsidRPr="00C24518">
        <w:rPr>
          <w:rFonts w:ascii="Arial Nova" w:hAnsi="Arial Nova"/>
          <w:b/>
          <w:bCs/>
          <w:i w:val="0"/>
          <w:iCs w:val="0"/>
          <w:color w:val="auto"/>
          <w:sz w:val="20"/>
          <w:szCs w:val="20"/>
        </w:rPr>
        <w:instrText xml:space="preserve"> SEQ Figura \* ARABIC </w:instrText>
      </w:r>
      <w:r w:rsidRPr="00C24518">
        <w:rPr>
          <w:rFonts w:ascii="Arial Nova" w:hAnsi="Arial Nova"/>
          <w:b/>
          <w:bCs/>
          <w:i w:val="0"/>
          <w:iCs w:val="0"/>
          <w:color w:val="auto"/>
          <w:sz w:val="20"/>
          <w:szCs w:val="20"/>
        </w:rPr>
        <w:fldChar w:fldCharType="separate"/>
      </w:r>
      <w:r w:rsidR="00681F05">
        <w:rPr>
          <w:rFonts w:ascii="Arial Nova" w:hAnsi="Arial Nova"/>
          <w:b/>
          <w:bCs/>
          <w:i w:val="0"/>
          <w:iCs w:val="0"/>
          <w:noProof/>
          <w:color w:val="auto"/>
          <w:sz w:val="20"/>
          <w:szCs w:val="20"/>
        </w:rPr>
        <w:t>1</w:t>
      </w:r>
      <w:r w:rsidRPr="00C24518">
        <w:rPr>
          <w:rFonts w:ascii="Arial Nova" w:hAnsi="Arial Nova"/>
          <w:b/>
          <w:bCs/>
          <w:i w:val="0"/>
          <w:iCs w:val="0"/>
          <w:color w:val="auto"/>
          <w:sz w:val="20"/>
          <w:szCs w:val="20"/>
        </w:rPr>
        <w:fldChar w:fldCharType="end"/>
      </w:r>
      <w:bookmarkEnd w:id="0"/>
      <w:r w:rsidRPr="00C24518">
        <w:rPr>
          <w:rFonts w:ascii="Arial Nova" w:hAnsi="Arial Nova"/>
          <w:b/>
          <w:bCs/>
          <w:i w:val="0"/>
          <w:iCs w:val="0"/>
          <w:color w:val="auto"/>
          <w:sz w:val="20"/>
          <w:szCs w:val="20"/>
        </w:rPr>
        <w:t>:</w:t>
      </w:r>
      <w:r w:rsidRPr="00C24518">
        <w:rPr>
          <w:rFonts w:ascii="Arial Nova" w:hAnsi="Arial Nova"/>
          <w:i w:val="0"/>
          <w:iCs w:val="0"/>
          <w:color w:val="auto"/>
          <w:sz w:val="20"/>
          <w:szCs w:val="20"/>
        </w:rPr>
        <w:t xml:space="preserve"> Página de inicio de ESIOS</w:t>
      </w:r>
    </w:p>
    <w:p w14:paraId="51844DC1" w14:textId="77777777" w:rsidR="006B7287" w:rsidRPr="006B7287" w:rsidRDefault="006B7287" w:rsidP="006B7287"/>
    <w:p w14:paraId="199B8B1B" w14:textId="77777777" w:rsidR="00C24518" w:rsidRDefault="00162A55" w:rsidP="006B7287">
      <w:pPr>
        <w:keepNext/>
        <w:jc w:val="center"/>
      </w:pPr>
      <w:r w:rsidRPr="00162A55">
        <w:rPr>
          <w:noProof/>
        </w:rPr>
        <w:drawing>
          <wp:inline distT="0" distB="0" distL="0" distR="0" wp14:anchorId="4C1E5EC2" wp14:editId="2AAD4BF9">
            <wp:extent cx="4168311" cy="3300730"/>
            <wp:effectExtent l="0" t="0" r="3810" b="0"/>
            <wp:docPr id="210822837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28370" name="Imagen 1" descr="Gráfico&#10;&#10;Descripción generada automáticamente"/>
                    <pic:cNvPicPr/>
                  </pic:nvPicPr>
                  <pic:blipFill>
                    <a:blip r:embed="rId11"/>
                    <a:stretch>
                      <a:fillRect/>
                    </a:stretch>
                  </pic:blipFill>
                  <pic:spPr>
                    <a:xfrm>
                      <a:off x="0" y="0"/>
                      <a:ext cx="4172260" cy="3303857"/>
                    </a:xfrm>
                    <a:prstGeom prst="rect">
                      <a:avLst/>
                    </a:prstGeom>
                  </pic:spPr>
                </pic:pic>
              </a:graphicData>
            </a:graphic>
          </wp:inline>
        </w:drawing>
      </w:r>
    </w:p>
    <w:p w14:paraId="55A9DB5E" w14:textId="42903D62" w:rsidR="00162A55" w:rsidRPr="00C24518" w:rsidRDefault="00C24518" w:rsidP="00C24518">
      <w:pPr>
        <w:pStyle w:val="Descripcin"/>
        <w:jc w:val="center"/>
        <w:rPr>
          <w:rFonts w:ascii="Arial Nova" w:hAnsi="Arial Nova"/>
          <w:i w:val="0"/>
          <w:iCs w:val="0"/>
          <w:color w:val="auto"/>
          <w:sz w:val="20"/>
          <w:szCs w:val="20"/>
        </w:rPr>
      </w:pPr>
      <w:bookmarkStart w:id="1" w:name="_Ref161782863"/>
      <w:bookmarkStart w:id="2" w:name="_Ref161782858"/>
      <w:r w:rsidRPr="00C24518">
        <w:rPr>
          <w:rFonts w:ascii="Arial Nova" w:hAnsi="Arial Nova"/>
          <w:b/>
          <w:bCs/>
          <w:i w:val="0"/>
          <w:iCs w:val="0"/>
          <w:color w:val="auto"/>
          <w:sz w:val="20"/>
          <w:szCs w:val="20"/>
        </w:rPr>
        <w:t xml:space="preserve">Figura </w:t>
      </w:r>
      <w:r w:rsidRPr="00C24518">
        <w:rPr>
          <w:rFonts w:ascii="Arial Nova" w:hAnsi="Arial Nova"/>
          <w:b/>
          <w:bCs/>
          <w:i w:val="0"/>
          <w:iCs w:val="0"/>
          <w:color w:val="auto"/>
          <w:sz w:val="20"/>
          <w:szCs w:val="20"/>
        </w:rPr>
        <w:fldChar w:fldCharType="begin"/>
      </w:r>
      <w:r w:rsidRPr="00C24518">
        <w:rPr>
          <w:rFonts w:ascii="Arial Nova" w:hAnsi="Arial Nova"/>
          <w:b/>
          <w:bCs/>
          <w:i w:val="0"/>
          <w:iCs w:val="0"/>
          <w:color w:val="auto"/>
          <w:sz w:val="20"/>
          <w:szCs w:val="20"/>
        </w:rPr>
        <w:instrText xml:space="preserve"> SEQ Figura \* ARABIC </w:instrText>
      </w:r>
      <w:r w:rsidRPr="00C24518">
        <w:rPr>
          <w:rFonts w:ascii="Arial Nova" w:hAnsi="Arial Nova"/>
          <w:b/>
          <w:bCs/>
          <w:i w:val="0"/>
          <w:iCs w:val="0"/>
          <w:color w:val="auto"/>
          <w:sz w:val="20"/>
          <w:szCs w:val="20"/>
        </w:rPr>
        <w:fldChar w:fldCharType="separate"/>
      </w:r>
      <w:r w:rsidR="00681F05">
        <w:rPr>
          <w:rFonts w:ascii="Arial Nova" w:hAnsi="Arial Nova"/>
          <w:b/>
          <w:bCs/>
          <w:i w:val="0"/>
          <w:iCs w:val="0"/>
          <w:noProof/>
          <w:color w:val="auto"/>
          <w:sz w:val="20"/>
          <w:szCs w:val="20"/>
        </w:rPr>
        <w:t>2</w:t>
      </w:r>
      <w:r w:rsidRPr="00C24518">
        <w:rPr>
          <w:rFonts w:ascii="Arial Nova" w:hAnsi="Arial Nova"/>
          <w:b/>
          <w:bCs/>
          <w:i w:val="0"/>
          <w:iCs w:val="0"/>
          <w:color w:val="auto"/>
          <w:sz w:val="20"/>
          <w:szCs w:val="20"/>
        </w:rPr>
        <w:fldChar w:fldCharType="end"/>
      </w:r>
      <w:bookmarkEnd w:id="1"/>
      <w:r w:rsidRPr="00C24518">
        <w:rPr>
          <w:rFonts w:ascii="Arial Nova" w:hAnsi="Arial Nova"/>
          <w:b/>
          <w:bCs/>
          <w:i w:val="0"/>
          <w:iCs w:val="0"/>
          <w:color w:val="auto"/>
          <w:sz w:val="20"/>
          <w:szCs w:val="20"/>
        </w:rPr>
        <w:t>:</w:t>
      </w:r>
      <w:r w:rsidRPr="00C24518">
        <w:rPr>
          <w:rFonts w:ascii="Arial Nova" w:hAnsi="Arial Nova"/>
          <w:i w:val="0"/>
          <w:iCs w:val="0"/>
          <w:color w:val="auto"/>
          <w:sz w:val="20"/>
          <w:szCs w:val="20"/>
        </w:rPr>
        <w:t xml:space="preserve"> Interfaz de selección de datos</w:t>
      </w:r>
      <w:bookmarkEnd w:id="2"/>
    </w:p>
    <w:p w14:paraId="6107CC3A" w14:textId="044104E3" w:rsidR="00E20B7B" w:rsidRDefault="006B7287" w:rsidP="000F411F">
      <w:r>
        <w:br/>
      </w:r>
      <w:r>
        <w:br/>
      </w:r>
      <w:r>
        <w:br/>
      </w:r>
    </w:p>
    <w:p w14:paraId="4DA0D79F" w14:textId="260704FC" w:rsidR="00E20B7B" w:rsidRDefault="00F82FAA" w:rsidP="000F411F">
      <w:pPr>
        <w:rPr>
          <w:rFonts w:ascii="Arial Nova" w:eastAsiaTheme="majorEastAsia" w:hAnsi="Arial Nova" w:cstheme="minorHAnsi"/>
          <w:b/>
          <w:bCs/>
          <w:color w:val="195C6B"/>
          <w:spacing w:val="-10"/>
          <w:kern w:val="28"/>
          <w:sz w:val="24"/>
          <w:szCs w:val="24"/>
        </w:rPr>
      </w:pPr>
      <w:r w:rsidRPr="007F1335">
        <w:rPr>
          <w:rFonts w:ascii="Arial Nova" w:eastAsiaTheme="majorEastAsia" w:hAnsi="Arial Nova" w:cstheme="minorHAnsi"/>
          <w:b/>
          <w:bCs/>
          <w:color w:val="195C6B"/>
          <w:spacing w:val="-10"/>
          <w:kern w:val="28"/>
          <w:sz w:val="24"/>
          <w:szCs w:val="24"/>
        </w:rPr>
        <w:lastRenderedPageBreak/>
        <w:t xml:space="preserve">Datos que </w:t>
      </w:r>
      <w:r w:rsidR="00532EC2">
        <w:rPr>
          <w:rFonts w:ascii="Arial Nova" w:eastAsiaTheme="majorEastAsia" w:hAnsi="Arial Nova" w:cstheme="minorHAnsi"/>
          <w:b/>
          <w:bCs/>
          <w:color w:val="195C6B"/>
          <w:spacing w:val="-10"/>
          <w:kern w:val="28"/>
          <w:sz w:val="24"/>
          <w:szCs w:val="24"/>
        </w:rPr>
        <w:t>recopilar</w:t>
      </w:r>
      <w:r w:rsidR="007F1335" w:rsidRPr="007F1335">
        <w:rPr>
          <w:rFonts w:ascii="Arial Nova" w:eastAsiaTheme="majorEastAsia" w:hAnsi="Arial Nova" w:cstheme="minorHAnsi"/>
          <w:b/>
          <w:bCs/>
          <w:color w:val="195C6B"/>
          <w:spacing w:val="-10"/>
          <w:kern w:val="28"/>
          <w:sz w:val="24"/>
          <w:szCs w:val="24"/>
        </w:rPr>
        <w:t>:</w:t>
      </w:r>
    </w:p>
    <w:p w14:paraId="5A0C340C" w14:textId="7139B1D3" w:rsidR="00EF4EC2" w:rsidRDefault="00F53D10" w:rsidP="005A792E">
      <w:pPr>
        <w:spacing w:line="276" w:lineRule="auto"/>
        <w:jc w:val="both"/>
        <w:rPr>
          <w:rFonts w:ascii="Arial Nova" w:eastAsiaTheme="majorEastAsia" w:hAnsi="Arial Nova" w:cstheme="minorHAnsi"/>
          <w:spacing w:val="-10"/>
          <w:kern w:val="28"/>
          <w:sz w:val="20"/>
          <w:szCs w:val="20"/>
        </w:rPr>
      </w:pPr>
      <w:r w:rsidRPr="00DD17C0">
        <w:rPr>
          <w:rFonts w:ascii="Arial Nova" w:eastAsiaTheme="majorEastAsia" w:hAnsi="Arial Nova" w:cstheme="minorHAnsi"/>
          <w:spacing w:val="-10"/>
          <w:kern w:val="28"/>
          <w:sz w:val="20"/>
          <w:szCs w:val="20"/>
        </w:rPr>
        <w:t>Con el fin de disponer de suficientes instancias</w:t>
      </w:r>
      <w:r w:rsidR="00977A9D" w:rsidRPr="00DD17C0">
        <w:rPr>
          <w:rFonts w:ascii="Arial Nova" w:eastAsiaTheme="majorEastAsia" w:hAnsi="Arial Nova" w:cstheme="minorHAnsi"/>
          <w:spacing w:val="-10"/>
          <w:kern w:val="28"/>
          <w:sz w:val="20"/>
          <w:szCs w:val="20"/>
        </w:rPr>
        <w:t>, y dado que todos se tratan de datos temporales, se agruparían por horas a lo largo de un año. De esta manera se dispondrían de 24 x 365 instancias</w:t>
      </w:r>
      <w:r w:rsidR="00DD17C0" w:rsidRPr="00DD17C0">
        <w:rPr>
          <w:rFonts w:ascii="Arial Nova" w:eastAsiaTheme="majorEastAsia" w:hAnsi="Arial Nova" w:cstheme="minorHAnsi"/>
          <w:spacing w:val="-10"/>
          <w:kern w:val="28"/>
          <w:sz w:val="20"/>
          <w:szCs w:val="20"/>
        </w:rPr>
        <w:t>.</w:t>
      </w:r>
      <w:r w:rsidR="00EF4EC2">
        <w:rPr>
          <w:rFonts w:ascii="Arial Nova" w:eastAsiaTheme="majorEastAsia" w:hAnsi="Arial Nova" w:cstheme="minorHAnsi"/>
          <w:spacing w:val="-10"/>
          <w:kern w:val="28"/>
          <w:sz w:val="20"/>
          <w:szCs w:val="20"/>
        </w:rPr>
        <w:t xml:space="preserve"> Los datos serían extraídos a través de la interfaz de datos en formato CSV</w:t>
      </w:r>
      <w:r w:rsidR="00C64434">
        <w:rPr>
          <w:rFonts w:ascii="Arial Nova" w:eastAsiaTheme="majorEastAsia" w:hAnsi="Arial Nova" w:cstheme="minorHAnsi"/>
          <w:spacing w:val="-10"/>
          <w:kern w:val="28"/>
          <w:sz w:val="20"/>
          <w:szCs w:val="20"/>
        </w:rPr>
        <w:t xml:space="preserve"> o xlsx</w:t>
      </w:r>
      <w:r w:rsidR="00EF4EC2">
        <w:rPr>
          <w:rFonts w:ascii="Arial Nova" w:eastAsiaTheme="majorEastAsia" w:hAnsi="Arial Nova" w:cstheme="minorHAnsi"/>
          <w:spacing w:val="-10"/>
          <w:kern w:val="28"/>
          <w:sz w:val="20"/>
          <w:szCs w:val="20"/>
        </w:rPr>
        <w:t xml:space="preserve"> para su posterior análisis. Se descargaría un fichero por cada indicador, por lo que se dispondrían de diversos ficheros que cargar en función de la variable que se quiere graficar.</w:t>
      </w:r>
    </w:p>
    <w:p w14:paraId="20F1D673" w14:textId="33C8B33E" w:rsidR="00EF4EC2" w:rsidRPr="00DD17C0" w:rsidRDefault="00EF4EC2" w:rsidP="005A792E">
      <w:pPr>
        <w:spacing w:line="276" w:lineRule="auto"/>
        <w:jc w:val="both"/>
        <w:rPr>
          <w:rFonts w:ascii="Arial Nova" w:eastAsiaTheme="majorEastAsia" w:hAnsi="Arial Nova" w:cstheme="minorHAnsi"/>
          <w:spacing w:val="-10"/>
          <w:kern w:val="28"/>
          <w:sz w:val="20"/>
          <w:szCs w:val="20"/>
        </w:rPr>
      </w:pPr>
      <w:r w:rsidRPr="00DD17C0">
        <w:rPr>
          <w:rFonts w:ascii="Arial Nova" w:eastAsiaTheme="majorEastAsia" w:hAnsi="Arial Nova" w:cstheme="minorHAnsi"/>
          <w:spacing w:val="-10"/>
          <w:kern w:val="28"/>
          <w:sz w:val="20"/>
          <w:szCs w:val="20"/>
        </w:rPr>
        <w:t>A continuación</w:t>
      </w:r>
      <w:r>
        <w:rPr>
          <w:rFonts w:ascii="Arial Nova" w:eastAsiaTheme="majorEastAsia" w:hAnsi="Arial Nova" w:cstheme="minorHAnsi"/>
          <w:spacing w:val="-10"/>
          <w:kern w:val="28"/>
          <w:sz w:val="20"/>
          <w:szCs w:val="20"/>
        </w:rPr>
        <w:t>,</w:t>
      </w:r>
      <w:r w:rsidRPr="00DD17C0">
        <w:rPr>
          <w:rFonts w:ascii="Arial Nova" w:eastAsiaTheme="majorEastAsia" w:hAnsi="Arial Nova" w:cstheme="minorHAnsi"/>
          <w:spacing w:val="-10"/>
          <w:kern w:val="28"/>
          <w:sz w:val="20"/>
          <w:szCs w:val="20"/>
        </w:rPr>
        <w:t xml:space="preserve"> se listan los distintos datos/variables que </w:t>
      </w:r>
      <w:r w:rsidR="00C64434">
        <w:rPr>
          <w:rFonts w:ascii="Arial Nova" w:eastAsiaTheme="majorEastAsia" w:hAnsi="Arial Nova" w:cstheme="minorHAnsi"/>
          <w:spacing w:val="-10"/>
          <w:kern w:val="28"/>
          <w:sz w:val="20"/>
          <w:szCs w:val="20"/>
        </w:rPr>
        <w:t>extraídas</w:t>
      </w:r>
      <w:r w:rsidRPr="00DD17C0">
        <w:rPr>
          <w:rFonts w:ascii="Arial Nova" w:eastAsiaTheme="majorEastAsia" w:hAnsi="Arial Nova" w:cstheme="minorHAnsi"/>
          <w:spacing w:val="-10"/>
          <w:kern w:val="28"/>
          <w:sz w:val="20"/>
          <w:szCs w:val="20"/>
        </w:rPr>
        <w:t xml:space="preserve"> de la página web.</w:t>
      </w:r>
    </w:p>
    <w:p w14:paraId="1D72DDDF" w14:textId="77777777" w:rsidR="00C64434" w:rsidRDefault="00F56C29" w:rsidP="005A792E">
      <w:pPr>
        <w:pStyle w:val="Prrafodelista"/>
        <w:numPr>
          <w:ilvl w:val="0"/>
          <w:numId w:val="4"/>
        </w:numPr>
        <w:spacing w:line="276" w:lineRule="auto"/>
        <w:rPr>
          <w:rFonts w:ascii="Arial Nova" w:eastAsiaTheme="majorEastAsia" w:hAnsi="Arial Nova" w:cstheme="minorHAnsi"/>
          <w:spacing w:val="-10"/>
          <w:kern w:val="28"/>
          <w:sz w:val="20"/>
          <w:szCs w:val="20"/>
        </w:rPr>
      </w:pPr>
      <w:r w:rsidRPr="00D05E8C">
        <w:rPr>
          <w:rFonts w:ascii="Arial Nova" w:eastAsiaTheme="majorEastAsia" w:hAnsi="Arial Nova" w:cstheme="minorHAnsi"/>
          <w:spacing w:val="-10"/>
          <w:kern w:val="28"/>
          <w:sz w:val="20"/>
          <w:szCs w:val="20"/>
        </w:rPr>
        <w:t xml:space="preserve">Generación </w:t>
      </w:r>
      <w:r w:rsidR="00576133" w:rsidRPr="00D05E8C">
        <w:rPr>
          <w:rFonts w:ascii="Arial Nova" w:eastAsiaTheme="majorEastAsia" w:hAnsi="Arial Nova" w:cstheme="minorHAnsi"/>
          <w:spacing w:val="-10"/>
          <w:kern w:val="28"/>
          <w:sz w:val="20"/>
          <w:szCs w:val="20"/>
        </w:rPr>
        <w:t>de energía por fuente</w:t>
      </w:r>
      <w:r w:rsidR="007543B6" w:rsidRPr="00D05E8C">
        <w:rPr>
          <w:rFonts w:ascii="Arial Nova" w:eastAsiaTheme="majorEastAsia" w:hAnsi="Arial Nova" w:cstheme="minorHAnsi"/>
          <w:spacing w:val="-10"/>
          <w:kern w:val="28"/>
          <w:sz w:val="20"/>
          <w:szCs w:val="20"/>
        </w:rPr>
        <w:t xml:space="preserve">: </w:t>
      </w:r>
    </w:p>
    <w:tbl>
      <w:tblPr>
        <w:tblStyle w:val="Tablaconcuadrcula"/>
        <w:tblW w:w="0" w:type="auto"/>
        <w:tblLook w:val="04A0" w:firstRow="1" w:lastRow="0" w:firstColumn="1" w:lastColumn="0" w:noHBand="0" w:noVBand="1"/>
      </w:tblPr>
      <w:tblGrid>
        <w:gridCol w:w="3020"/>
        <w:gridCol w:w="3020"/>
        <w:gridCol w:w="3020"/>
      </w:tblGrid>
      <w:tr w:rsidR="00C64434" w14:paraId="22C8CC70" w14:textId="77777777" w:rsidTr="00C64434">
        <w:tc>
          <w:tcPr>
            <w:tcW w:w="3020" w:type="dxa"/>
          </w:tcPr>
          <w:p w14:paraId="0410E550" w14:textId="66D1A049" w:rsidR="00C64434" w:rsidRPr="00A45849" w:rsidRDefault="00C64434" w:rsidP="00C64434">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Nombre atributo</w:t>
            </w:r>
          </w:p>
        </w:tc>
        <w:tc>
          <w:tcPr>
            <w:tcW w:w="3020" w:type="dxa"/>
          </w:tcPr>
          <w:p w14:paraId="1739CE36" w14:textId="4A4CE274" w:rsidR="00C64434" w:rsidRPr="00A45849" w:rsidRDefault="00C64434" w:rsidP="00C64434">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Clase de atributo</w:t>
            </w:r>
          </w:p>
        </w:tc>
        <w:tc>
          <w:tcPr>
            <w:tcW w:w="3020" w:type="dxa"/>
          </w:tcPr>
          <w:p w14:paraId="1FA89E2C" w14:textId="77C4B438" w:rsidR="00C64434" w:rsidRPr="00A45849" w:rsidRDefault="00C64434" w:rsidP="00C64434">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Rango de valores</w:t>
            </w:r>
          </w:p>
        </w:tc>
      </w:tr>
      <w:tr w:rsidR="00C64434" w14:paraId="118286E0" w14:textId="77777777" w:rsidTr="00A45849">
        <w:tc>
          <w:tcPr>
            <w:tcW w:w="3020" w:type="dxa"/>
            <w:vAlign w:val="center"/>
          </w:tcPr>
          <w:p w14:paraId="0C579EFC" w14:textId="32BEE08C" w:rsidR="00C64434" w:rsidRDefault="00C64434" w:rsidP="00A45849">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Fecha y hora</w:t>
            </w:r>
          </w:p>
        </w:tc>
        <w:tc>
          <w:tcPr>
            <w:tcW w:w="3020" w:type="dxa"/>
            <w:vAlign w:val="center"/>
          </w:tcPr>
          <w:p w14:paraId="187AE92A" w14:textId="3EBD675C" w:rsidR="00C64434" w:rsidRDefault="00C64434" w:rsidP="00A45849">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w:t>
            </w:r>
            <w:r w:rsidR="00A45849">
              <w:rPr>
                <w:rFonts w:ascii="Arial Nova" w:eastAsiaTheme="majorEastAsia" w:hAnsi="Arial Nova" w:cstheme="minorHAnsi"/>
                <w:spacing w:val="-10"/>
                <w:kern w:val="28"/>
                <w:sz w:val="20"/>
                <w:szCs w:val="20"/>
              </w:rPr>
              <w:t xml:space="preserve"> [fecha y hora]</w:t>
            </w:r>
          </w:p>
        </w:tc>
        <w:tc>
          <w:tcPr>
            <w:tcW w:w="3020" w:type="dxa"/>
            <w:vAlign w:val="center"/>
          </w:tcPr>
          <w:p w14:paraId="212C78D9" w14:textId="406B6AB4" w:rsidR="00C64434" w:rsidRDefault="00A45849" w:rsidP="00A45849">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Desde 01/01/2023 00:00</w:t>
            </w:r>
          </w:p>
          <w:p w14:paraId="3E4FABE7" w14:textId="6164A144" w:rsidR="00A45849" w:rsidRDefault="00A45849" w:rsidP="00A45849">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Hasta 31/12/2023 23:59</w:t>
            </w:r>
          </w:p>
        </w:tc>
      </w:tr>
      <w:tr w:rsidR="00C64434" w14:paraId="62A716DA" w14:textId="77777777" w:rsidTr="00A45849">
        <w:tc>
          <w:tcPr>
            <w:tcW w:w="3020" w:type="dxa"/>
            <w:vAlign w:val="center"/>
          </w:tcPr>
          <w:p w14:paraId="577CFD90" w14:textId="15761D91" w:rsidR="00C64434" w:rsidRDefault="00A45849" w:rsidP="00A45849">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Tipo fuente</w:t>
            </w:r>
          </w:p>
        </w:tc>
        <w:tc>
          <w:tcPr>
            <w:tcW w:w="3020" w:type="dxa"/>
            <w:vAlign w:val="center"/>
          </w:tcPr>
          <w:p w14:paraId="7118745F" w14:textId="7E9534C9" w:rsidR="00C64434" w:rsidRDefault="00A45849" w:rsidP="00A45849">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Cualitativa nominal</w:t>
            </w:r>
          </w:p>
        </w:tc>
        <w:tc>
          <w:tcPr>
            <w:tcW w:w="3020" w:type="dxa"/>
            <w:vAlign w:val="center"/>
          </w:tcPr>
          <w:p w14:paraId="52355267" w14:textId="029A37B0" w:rsidR="00C64434" w:rsidRDefault="00A45849" w:rsidP="00A45849">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Más de 10 (</w:t>
            </w:r>
            <w:proofErr w:type="spellStart"/>
            <w:r>
              <w:rPr>
                <w:rFonts w:ascii="Arial Nova" w:eastAsiaTheme="majorEastAsia" w:hAnsi="Arial Nova" w:cstheme="minorHAnsi"/>
                <w:spacing w:val="-10"/>
                <w:kern w:val="28"/>
                <w:sz w:val="20"/>
                <w:szCs w:val="20"/>
              </w:rPr>
              <w:t>e.g</w:t>
            </w:r>
            <w:proofErr w:type="spellEnd"/>
            <w:r>
              <w:rPr>
                <w:rFonts w:ascii="Arial Nova" w:eastAsiaTheme="majorEastAsia" w:hAnsi="Arial Nova" w:cstheme="minorHAnsi"/>
                <w:spacing w:val="-10"/>
                <w:kern w:val="28"/>
                <w:sz w:val="20"/>
                <w:szCs w:val="20"/>
              </w:rPr>
              <w:t xml:space="preserve">. nuclear, </w:t>
            </w:r>
            <w:proofErr w:type="spellStart"/>
            <w:r>
              <w:rPr>
                <w:rFonts w:ascii="Arial Nova" w:eastAsiaTheme="majorEastAsia" w:hAnsi="Arial Nova" w:cstheme="minorHAnsi"/>
                <w:spacing w:val="-10"/>
                <w:kern w:val="28"/>
                <w:sz w:val="20"/>
                <w:szCs w:val="20"/>
              </w:rPr>
              <w:t>ccgn</w:t>
            </w:r>
            <w:proofErr w:type="spellEnd"/>
            <w:r>
              <w:rPr>
                <w:rFonts w:ascii="Arial Nova" w:eastAsiaTheme="majorEastAsia" w:hAnsi="Arial Nova" w:cstheme="minorHAnsi"/>
                <w:spacing w:val="-10"/>
                <w:kern w:val="28"/>
                <w:sz w:val="20"/>
                <w:szCs w:val="20"/>
              </w:rPr>
              <w:t>, hidroeléctrica, carbón, etc.)</w:t>
            </w:r>
          </w:p>
        </w:tc>
      </w:tr>
      <w:tr w:rsidR="00C64434" w14:paraId="5AE2F74B" w14:textId="77777777" w:rsidTr="00A45849">
        <w:tc>
          <w:tcPr>
            <w:tcW w:w="3020" w:type="dxa"/>
            <w:vAlign w:val="center"/>
          </w:tcPr>
          <w:p w14:paraId="3F249671" w14:textId="0CCC5989" w:rsidR="00C64434" w:rsidRDefault="00A45849" w:rsidP="00A45849">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Potencia</w:t>
            </w:r>
          </w:p>
        </w:tc>
        <w:tc>
          <w:tcPr>
            <w:tcW w:w="3020" w:type="dxa"/>
            <w:vAlign w:val="center"/>
          </w:tcPr>
          <w:p w14:paraId="79AC4071" w14:textId="599CE7AA" w:rsidR="00C64434" w:rsidRDefault="00A45849" w:rsidP="00A45849">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 [MW]</w:t>
            </w:r>
          </w:p>
        </w:tc>
        <w:tc>
          <w:tcPr>
            <w:tcW w:w="3020" w:type="dxa"/>
            <w:vAlign w:val="center"/>
          </w:tcPr>
          <w:p w14:paraId="6031359F" w14:textId="47D29A2C" w:rsidR="00C64434" w:rsidRDefault="00A45849" w:rsidP="00A45849">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Desde 0 hasta la potencia máxima instalada</w:t>
            </w:r>
          </w:p>
        </w:tc>
      </w:tr>
    </w:tbl>
    <w:p w14:paraId="4ECCA03B" w14:textId="77777777" w:rsidR="00C64434" w:rsidRDefault="00C64434" w:rsidP="00C64434">
      <w:pPr>
        <w:spacing w:line="276" w:lineRule="auto"/>
        <w:rPr>
          <w:rFonts w:ascii="Arial Nova" w:eastAsiaTheme="majorEastAsia" w:hAnsi="Arial Nova" w:cstheme="minorHAnsi"/>
          <w:spacing w:val="-10"/>
          <w:kern w:val="28"/>
          <w:sz w:val="20"/>
          <w:szCs w:val="20"/>
        </w:rPr>
      </w:pPr>
    </w:p>
    <w:p w14:paraId="2BA8D9F2" w14:textId="77777777" w:rsidR="002751BC" w:rsidRDefault="002751BC" w:rsidP="002751BC">
      <w:pPr>
        <w:pStyle w:val="Prrafodelista"/>
        <w:numPr>
          <w:ilvl w:val="0"/>
          <w:numId w:val="4"/>
        </w:num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Disponibilidad de potencia por fuente:</w:t>
      </w:r>
    </w:p>
    <w:tbl>
      <w:tblPr>
        <w:tblStyle w:val="Tablaconcuadrcula"/>
        <w:tblW w:w="0" w:type="auto"/>
        <w:tblLook w:val="04A0" w:firstRow="1" w:lastRow="0" w:firstColumn="1" w:lastColumn="0" w:noHBand="0" w:noVBand="1"/>
      </w:tblPr>
      <w:tblGrid>
        <w:gridCol w:w="3020"/>
        <w:gridCol w:w="3020"/>
        <w:gridCol w:w="3020"/>
      </w:tblGrid>
      <w:tr w:rsidR="002751BC" w14:paraId="276F345B" w14:textId="77777777" w:rsidTr="00E03A23">
        <w:tc>
          <w:tcPr>
            <w:tcW w:w="3020" w:type="dxa"/>
          </w:tcPr>
          <w:p w14:paraId="07BDE21F" w14:textId="77777777" w:rsidR="002751BC" w:rsidRPr="00A45849" w:rsidRDefault="002751BC"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Nombre atributo</w:t>
            </w:r>
          </w:p>
        </w:tc>
        <w:tc>
          <w:tcPr>
            <w:tcW w:w="3020" w:type="dxa"/>
          </w:tcPr>
          <w:p w14:paraId="1A988480" w14:textId="77777777" w:rsidR="002751BC" w:rsidRPr="00A45849" w:rsidRDefault="002751BC"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Clase de atributo</w:t>
            </w:r>
          </w:p>
        </w:tc>
        <w:tc>
          <w:tcPr>
            <w:tcW w:w="3020" w:type="dxa"/>
          </w:tcPr>
          <w:p w14:paraId="681FCFAE" w14:textId="77777777" w:rsidR="002751BC" w:rsidRPr="00A45849" w:rsidRDefault="002751BC"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Rango de valores</w:t>
            </w:r>
          </w:p>
        </w:tc>
      </w:tr>
      <w:tr w:rsidR="002751BC" w14:paraId="34DD00D6" w14:textId="77777777" w:rsidTr="00E03A23">
        <w:tc>
          <w:tcPr>
            <w:tcW w:w="3020" w:type="dxa"/>
            <w:vAlign w:val="center"/>
          </w:tcPr>
          <w:p w14:paraId="70386158"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Fecha y hora</w:t>
            </w:r>
          </w:p>
        </w:tc>
        <w:tc>
          <w:tcPr>
            <w:tcW w:w="3020" w:type="dxa"/>
            <w:vAlign w:val="center"/>
          </w:tcPr>
          <w:p w14:paraId="3DFB6873"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 [fecha y hora]</w:t>
            </w:r>
          </w:p>
        </w:tc>
        <w:tc>
          <w:tcPr>
            <w:tcW w:w="3020" w:type="dxa"/>
            <w:vAlign w:val="center"/>
          </w:tcPr>
          <w:p w14:paraId="70E2EACD"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Desde 01/01/2023 00:00</w:t>
            </w:r>
          </w:p>
          <w:p w14:paraId="4C56B14F"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Hasta 31/12/2023 23:59</w:t>
            </w:r>
          </w:p>
        </w:tc>
      </w:tr>
      <w:tr w:rsidR="002751BC" w14:paraId="3CA6D699" w14:textId="77777777" w:rsidTr="00E03A23">
        <w:tc>
          <w:tcPr>
            <w:tcW w:w="3020" w:type="dxa"/>
            <w:vAlign w:val="center"/>
          </w:tcPr>
          <w:p w14:paraId="1D75E31E"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Tipo fuente</w:t>
            </w:r>
          </w:p>
        </w:tc>
        <w:tc>
          <w:tcPr>
            <w:tcW w:w="3020" w:type="dxa"/>
            <w:vAlign w:val="center"/>
          </w:tcPr>
          <w:p w14:paraId="4E96B36A"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Cualitativa nominal</w:t>
            </w:r>
          </w:p>
        </w:tc>
        <w:tc>
          <w:tcPr>
            <w:tcW w:w="3020" w:type="dxa"/>
            <w:vAlign w:val="center"/>
          </w:tcPr>
          <w:p w14:paraId="066DC839"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Más de 10 (</w:t>
            </w:r>
            <w:proofErr w:type="spellStart"/>
            <w:r>
              <w:rPr>
                <w:rFonts w:ascii="Arial Nova" w:eastAsiaTheme="majorEastAsia" w:hAnsi="Arial Nova" w:cstheme="minorHAnsi"/>
                <w:spacing w:val="-10"/>
                <w:kern w:val="28"/>
                <w:sz w:val="20"/>
                <w:szCs w:val="20"/>
              </w:rPr>
              <w:t>e.g</w:t>
            </w:r>
            <w:proofErr w:type="spellEnd"/>
            <w:r>
              <w:rPr>
                <w:rFonts w:ascii="Arial Nova" w:eastAsiaTheme="majorEastAsia" w:hAnsi="Arial Nova" w:cstheme="minorHAnsi"/>
                <w:spacing w:val="-10"/>
                <w:kern w:val="28"/>
                <w:sz w:val="20"/>
                <w:szCs w:val="20"/>
              </w:rPr>
              <w:t xml:space="preserve">. nuclear, </w:t>
            </w:r>
            <w:proofErr w:type="spellStart"/>
            <w:r>
              <w:rPr>
                <w:rFonts w:ascii="Arial Nova" w:eastAsiaTheme="majorEastAsia" w:hAnsi="Arial Nova" w:cstheme="minorHAnsi"/>
                <w:spacing w:val="-10"/>
                <w:kern w:val="28"/>
                <w:sz w:val="20"/>
                <w:szCs w:val="20"/>
              </w:rPr>
              <w:t>ccgn</w:t>
            </w:r>
            <w:proofErr w:type="spellEnd"/>
            <w:r>
              <w:rPr>
                <w:rFonts w:ascii="Arial Nova" w:eastAsiaTheme="majorEastAsia" w:hAnsi="Arial Nova" w:cstheme="minorHAnsi"/>
                <w:spacing w:val="-10"/>
                <w:kern w:val="28"/>
                <w:sz w:val="20"/>
                <w:szCs w:val="20"/>
              </w:rPr>
              <w:t>, hidroeléctrica, carbón, etc.)</w:t>
            </w:r>
          </w:p>
        </w:tc>
      </w:tr>
      <w:tr w:rsidR="002751BC" w14:paraId="2DE42752" w14:textId="77777777" w:rsidTr="00E03A23">
        <w:tc>
          <w:tcPr>
            <w:tcW w:w="3020" w:type="dxa"/>
            <w:vAlign w:val="center"/>
          </w:tcPr>
          <w:p w14:paraId="678385A5"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Potencia</w:t>
            </w:r>
          </w:p>
        </w:tc>
        <w:tc>
          <w:tcPr>
            <w:tcW w:w="3020" w:type="dxa"/>
            <w:vAlign w:val="center"/>
          </w:tcPr>
          <w:p w14:paraId="3BAAF185"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 [MW]</w:t>
            </w:r>
          </w:p>
        </w:tc>
        <w:tc>
          <w:tcPr>
            <w:tcW w:w="3020" w:type="dxa"/>
            <w:vAlign w:val="center"/>
          </w:tcPr>
          <w:p w14:paraId="28004858"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 xml:space="preserve">Desde 0 hasta la potencia máxima instalada. </w:t>
            </w:r>
          </w:p>
        </w:tc>
      </w:tr>
    </w:tbl>
    <w:p w14:paraId="649B0F5A" w14:textId="77777777" w:rsidR="002751BC" w:rsidRPr="00C64434" w:rsidRDefault="002751BC" w:rsidP="00C64434">
      <w:pPr>
        <w:spacing w:line="276" w:lineRule="auto"/>
        <w:rPr>
          <w:rFonts w:ascii="Arial Nova" w:eastAsiaTheme="majorEastAsia" w:hAnsi="Arial Nova" w:cstheme="minorHAnsi"/>
          <w:spacing w:val="-10"/>
          <w:kern w:val="28"/>
          <w:sz w:val="20"/>
          <w:szCs w:val="20"/>
        </w:rPr>
      </w:pPr>
    </w:p>
    <w:p w14:paraId="1C5D8555" w14:textId="1CECE01A" w:rsidR="00D05E8C" w:rsidRDefault="00D05E8C" w:rsidP="005A792E">
      <w:pPr>
        <w:pStyle w:val="Prrafodelista"/>
        <w:numPr>
          <w:ilvl w:val="0"/>
          <w:numId w:val="4"/>
        </w:num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 xml:space="preserve">Intercambio </w:t>
      </w:r>
      <w:r w:rsidR="00EF4EC2">
        <w:rPr>
          <w:rFonts w:ascii="Arial Nova" w:eastAsiaTheme="majorEastAsia" w:hAnsi="Arial Nova" w:cstheme="minorHAnsi"/>
          <w:spacing w:val="-10"/>
          <w:kern w:val="28"/>
          <w:sz w:val="20"/>
          <w:szCs w:val="20"/>
        </w:rPr>
        <w:t xml:space="preserve">entre </w:t>
      </w:r>
      <w:r w:rsidR="001507EF">
        <w:rPr>
          <w:rFonts w:ascii="Arial Nova" w:eastAsiaTheme="majorEastAsia" w:hAnsi="Arial Nova" w:cstheme="minorHAnsi"/>
          <w:spacing w:val="-10"/>
          <w:kern w:val="28"/>
          <w:sz w:val="20"/>
          <w:szCs w:val="20"/>
        </w:rPr>
        <w:t xml:space="preserve">España </w:t>
      </w:r>
      <w:r w:rsidR="00EF4EC2">
        <w:rPr>
          <w:rFonts w:ascii="Arial Nova" w:eastAsiaTheme="majorEastAsia" w:hAnsi="Arial Nova" w:cstheme="minorHAnsi"/>
          <w:spacing w:val="-10"/>
          <w:kern w:val="28"/>
          <w:sz w:val="20"/>
          <w:szCs w:val="20"/>
        </w:rPr>
        <w:t>y</w:t>
      </w:r>
      <w:r w:rsidR="001507EF">
        <w:rPr>
          <w:rFonts w:ascii="Arial Nova" w:eastAsiaTheme="majorEastAsia" w:hAnsi="Arial Nova" w:cstheme="minorHAnsi"/>
          <w:spacing w:val="-10"/>
          <w:kern w:val="28"/>
          <w:sz w:val="20"/>
          <w:szCs w:val="20"/>
        </w:rPr>
        <w:t xml:space="preserve"> otros países</w:t>
      </w:r>
      <w:r w:rsidR="002751BC">
        <w:rPr>
          <w:rFonts w:ascii="Arial Nova" w:eastAsiaTheme="majorEastAsia" w:hAnsi="Arial Nova" w:cstheme="minorHAnsi"/>
          <w:spacing w:val="-10"/>
          <w:kern w:val="28"/>
          <w:sz w:val="20"/>
          <w:szCs w:val="20"/>
        </w:rPr>
        <w:t>:</w:t>
      </w:r>
    </w:p>
    <w:tbl>
      <w:tblPr>
        <w:tblStyle w:val="Tablaconcuadrcula"/>
        <w:tblW w:w="0" w:type="auto"/>
        <w:tblLook w:val="04A0" w:firstRow="1" w:lastRow="0" w:firstColumn="1" w:lastColumn="0" w:noHBand="0" w:noVBand="1"/>
      </w:tblPr>
      <w:tblGrid>
        <w:gridCol w:w="3020"/>
        <w:gridCol w:w="3020"/>
        <w:gridCol w:w="3020"/>
      </w:tblGrid>
      <w:tr w:rsidR="002751BC" w14:paraId="6BB15767" w14:textId="77777777" w:rsidTr="00E03A23">
        <w:tc>
          <w:tcPr>
            <w:tcW w:w="3020" w:type="dxa"/>
          </w:tcPr>
          <w:p w14:paraId="2BC8D831" w14:textId="77777777" w:rsidR="002751BC" w:rsidRPr="00A45849" w:rsidRDefault="002751BC"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Nombre atributo</w:t>
            </w:r>
          </w:p>
        </w:tc>
        <w:tc>
          <w:tcPr>
            <w:tcW w:w="3020" w:type="dxa"/>
          </w:tcPr>
          <w:p w14:paraId="531A8839" w14:textId="77777777" w:rsidR="002751BC" w:rsidRPr="00A45849" w:rsidRDefault="002751BC"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Clase de atributo</w:t>
            </w:r>
          </w:p>
        </w:tc>
        <w:tc>
          <w:tcPr>
            <w:tcW w:w="3020" w:type="dxa"/>
          </w:tcPr>
          <w:p w14:paraId="3BE8C3EE" w14:textId="77777777" w:rsidR="002751BC" w:rsidRPr="00A45849" w:rsidRDefault="002751BC"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Rango de valores</w:t>
            </w:r>
          </w:p>
        </w:tc>
      </w:tr>
      <w:tr w:rsidR="002751BC" w14:paraId="3CC31090" w14:textId="77777777" w:rsidTr="00E03A23">
        <w:tc>
          <w:tcPr>
            <w:tcW w:w="3020" w:type="dxa"/>
            <w:vAlign w:val="center"/>
          </w:tcPr>
          <w:p w14:paraId="0D72F15F"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Fecha y hora</w:t>
            </w:r>
          </w:p>
        </w:tc>
        <w:tc>
          <w:tcPr>
            <w:tcW w:w="3020" w:type="dxa"/>
            <w:vAlign w:val="center"/>
          </w:tcPr>
          <w:p w14:paraId="0DA2932B"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 [fecha y hora]</w:t>
            </w:r>
          </w:p>
        </w:tc>
        <w:tc>
          <w:tcPr>
            <w:tcW w:w="3020" w:type="dxa"/>
            <w:vAlign w:val="center"/>
          </w:tcPr>
          <w:p w14:paraId="30F4A14E"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Desde 01/01/2023 00:00</w:t>
            </w:r>
          </w:p>
          <w:p w14:paraId="33DCE828"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Hasta 31/12/2023 23:59</w:t>
            </w:r>
          </w:p>
        </w:tc>
      </w:tr>
      <w:tr w:rsidR="002751BC" w14:paraId="6A767265" w14:textId="77777777" w:rsidTr="00E03A23">
        <w:tc>
          <w:tcPr>
            <w:tcW w:w="3020" w:type="dxa"/>
            <w:vAlign w:val="center"/>
          </w:tcPr>
          <w:p w14:paraId="225F2979" w14:textId="3614F5C6"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País</w:t>
            </w:r>
          </w:p>
        </w:tc>
        <w:tc>
          <w:tcPr>
            <w:tcW w:w="3020" w:type="dxa"/>
            <w:vAlign w:val="center"/>
          </w:tcPr>
          <w:p w14:paraId="37C6D389"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Cualitativa nominal</w:t>
            </w:r>
          </w:p>
        </w:tc>
        <w:tc>
          <w:tcPr>
            <w:tcW w:w="3020" w:type="dxa"/>
            <w:vAlign w:val="center"/>
          </w:tcPr>
          <w:p w14:paraId="61ADFAAC" w14:textId="06A77871"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Portugal, Francia, Andorra y Marruecos.</w:t>
            </w:r>
          </w:p>
        </w:tc>
      </w:tr>
      <w:tr w:rsidR="002751BC" w14:paraId="7587E0D3" w14:textId="77777777" w:rsidTr="00E03A23">
        <w:tc>
          <w:tcPr>
            <w:tcW w:w="3020" w:type="dxa"/>
            <w:vAlign w:val="center"/>
          </w:tcPr>
          <w:p w14:paraId="5D0F8BB2"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Potencia</w:t>
            </w:r>
          </w:p>
        </w:tc>
        <w:tc>
          <w:tcPr>
            <w:tcW w:w="3020" w:type="dxa"/>
            <w:vAlign w:val="center"/>
          </w:tcPr>
          <w:p w14:paraId="386F00EF"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 [MW]</w:t>
            </w:r>
          </w:p>
        </w:tc>
        <w:tc>
          <w:tcPr>
            <w:tcW w:w="3020" w:type="dxa"/>
            <w:vAlign w:val="center"/>
          </w:tcPr>
          <w:p w14:paraId="15839F6D" w14:textId="163FA44D"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Desde 0 hasta la potencia máxima instalada. (Tanto positivo como negativo)</w:t>
            </w:r>
          </w:p>
        </w:tc>
      </w:tr>
    </w:tbl>
    <w:p w14:paraId="3CB492B5" w14:textId="77777777" w:rsidR="002751BC" w:rsidRDefault="002751BC" w:rsidP="002751BC">
      <w:pPr>
        <w:pStyle w:val="Prrafodelista"/>
        <w:spacing w:line="276" w:lineRule="auto"/>
        <w:rPr>
          <w:rFonts w:ascii="Arial Nova" w:eastAsiaTheme="majorEastAsia" w:hAnsi="Arial Nova" w:cstheme="minorHAnsi"/>
          <w:spacing w:val="-10"/>
          <w:kern w:val="28"/>
          <w:sz w:val="20"/>
          <w:szCs w:val="20"/>
        </w:rPr>
      </w:pPr>
    </w:p>
    <w:p w14:paraId="3ACFEDC9" w14:textId="14AF9391" w:rsidR="00576133" w:rsidRDefault="00576133" w:rsidP="005A792E">
      <w:pPr>
        <w:pStyle w:val="Prrafodelista"/>
        <w:numPr>
          <w:ilvl w:val="0"/>
          <w:numId w:val="4"/>
        </w:numPr>
        <w:spacing w:line="276" w:lineRule="auto"/>
        <w:rPr>
          <w:rFonts w:ascii="Arial Nova" w:eastAsiaTheme="majorEastAsia" w:hAnsi="Arial Nova" w:cstheme="minorHAnsi"/>
          <w:spacing w:val="-10"/>
          <w:kern w:val="28"/>
          <w:sz w:val="20"/>
          <w:szCs w:val="20"/>
        </w:rPr>
      </w:pPr>
      <w:r w:rsidRPr="00D05E8C">
        <w:rPr>
          <w:rFonts w:ascii="Arial Nova" w:eastAsiaTheme="majorEastAsia" w:hAnsi="Arial Nova" w:cstheme="minorHAnsi"/>
          <w:spacing w:val="-10"/>
          <w:kern w:val="28"/>
          <w:sz w:val="20"/>
          <w:szCs w:val="20"/>
        </w:rPr>
        <w:t xml:space="preserve">Precio del mercado spot </w:t>
      </w:r>
      <w:r w:rsidR="002751BC">
        <w:rPr>
          <w:rFonts w:ascii="Arial Nova" w:eastAsiaTheme="majorEastAsia" w:hAnsi="Arial Nova" w:cstheme="minorHAnsi"/>
          <w:spacing w:val="-10"/>
          <w:kern w:val="28"/>
          <w:sz w:val="20"/>
          <w:szCs w:val="20"/>
        </w:rPr>
        <w:t xml:space="preserve">y PVPC </w:t>
      </w:r>
      <w:r w:rsidRPr="00D05E8C">
        <w:rPr>
          <w:rFonts w:ascii="Arial Nova" w:eastAsiaTheme="majorEastAsia" w:hAnsi="Arial Nova" w:cstheme="minorHAnsi"/>
          <w:spacing w:val="-10"/>
          <w:kern w:val="28"/>
          <w:sz w:val="20"/>
          <w:szCs w:val="20"/>
        </w:rPr>
        <w:t>por países: especialmente España, Portugal y Francia.</w:t>
      </w:r>
    </w:p>
    <w:tbl>
      <w:tblPr>
        <w:tblStyle w:val="Tablaconcuadrcula"/>
        <w:tblW w:w="0" w:type="auto"/>
        <w:tblLook w:val="04A0" w:firstRow="1" w:lastRow="0" w:firstColumn="1" w:lastColumn="0" w:noHBand="0" w:noVBand="1"/>
      </w:tblPr>
      <w:tblGrid>
        <w:gridCol w:w="3020"/>
        <w:gridCol w:w="3020"/>
        <w:gridCol w:w="3020"/>
      </w:tblGrid>
      <w:tr w:rsidR="002751BC" w14:paraId="6D203548" w14:textId="77777777" w:rsidTr="00E03A23">
        <w:tc>
          <w:tcPr>
            <w:tcW w:w="3020" w:type="dxa"/>
          </w:tcPr>
          <w:p w14:paraId="78FF7287" w14:textId="77777777" w:rsidR="002751BC" w:rsidRPr="00A45849" w:rsidRDefault="002751BC"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Nombre atributo</w:t>
            </w:r>
          </w:p>
        </w:tc>
        <w:tc>
          <w:tcPr>
            <w:tcW w:w="3020" w:type="dxa"/>
          </w:tcPr>
          <w:p w14:paraId="7AD9A072" w14:textId="77777777" w:rsidR="002751BC" w:rsidRPr="00A45849" w:rsidRDefault="002751BC"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Clase de atributo</w:t>
            </w:r>
          </w:p>
        </w:tc>
        <w:tc>
          <w:tcPr>
            <w:tcW w:w="3020" w:type="dxa"/>
          </w:tcPr>
          <w:p w14:paraId="09ED3BEA" w14:textId="77777777" w:rsidR="002751BC" w:rsidRPr="00A45849" w:rsidRDefault="002751BC"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Rango de valores</w:t>
            </w:r>
          </w:p>
        </w:tc>
      </w:tr>
      <w:tr w:rsidR="002751BC" w14:paraId="547754B4" w14:textId="77777777" w:rsidTr="00E03A23">
        <w:tc>
          <w:tcPr>
            <w:tcW w:w="3020" w:type="dxa"/>
            <w:vAlign w:val="center"/>
          </w:tcPr>
          <w:p w14:paraId="07A8EA9E"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Fecha y hora</w:t>
            </w:r>
          </w:p>
        </w:tc>
        <w:tc>
          <w:tcPr>
            <w:tcW w:w="3020" w:type="dxa"/>
            <w:vAlign w:val="center"/>
          </w:tcPr>
          <w:p w14:paraId="763D72C2"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 [fecha y hora]</w:t>
            </w:r>
          </w:p>
        </w:tc>
        <w:tc>
          <w:tcPr>
            <w:tcW w:w="3020" w:type="dxa"/>
            <w:vAlign w:val="center"/>
          </w:tcPr>
          <w:p w14:paraId="2E6861A2"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Desde 01/01/2023 00:00</w:t>
            </w:r>
          </w:p>
          <w:p w14:paraId="75763FB7"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Hasta 31/12/2023 23:59</w:t>
            </w:r>
          </w:p>
        </w:tc>
      </w:tr>
      <w:tr w:rsidR="002751BC" w14:paraId="0EDCCF50" w14:textId="77777777" w:rsidTr="00E03A23">
        <w:tc>
          <w:tcPr>
            <w:tcW w:w="3020" w:type="dxa"/>
            <w:vAlign w:val="center"/>
          </w:tcPr>
          <w:p w14:paraId="00F955BC"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País</w:t>
            </w:r>
          </w:p>
        </w:tc>
        <w:tc>
          <w:tcPr>
            <w:tcW w:w="3020" w:type="dxa"/>
            <w:vAlign w:val="center"/>
          </w:tcPr>
          <w:p w14:paraId="785AC6B0"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Cualitativa nominal</w:t>
            </w:r>
          </w:p>
        </w:tc>
        <w:tc>
          <w:tcPr>
            <w:tcW w:w="3020" w:type="dxa"/>
            <w:vAlign w:val="center"/>
          </w:tcPr>
          <w:p w14:paraId="4D855363" w14:textId="7777777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Portugal, Francia, Andorra y Marruecos.</w:t>
            </w:r>
          </w:p>
        </w:tc>
      </w:tr>
      <w:tr w:rsidR="002751BC" w14:paraId="16F86DFB" w14:textId="77777777" w:rsidTr="00E03A23">
        <w:tc>
          <w:tcPr>
            <w:tcW w:w="3020" w:type="dxa"/>
            <w:vAlign w:val="center"/>
          </w:tcPr>
          <w:p w14:paraId="4809FB71" w14:textId="0E500381"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Precio spot</w:t>
            </w:r>
          </w:p>
        </w:tc>
        <w:tc>
          <w:tcPr>
            <w:tcW w:w="3020" w:type="dxa"/>
            <w:vAlign w:val="center"/>
          </w:tcPr>
          <w:p w14:paraId="41FFED8D" w14:textId="18CB5AF7"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 [€/</w:t>
            </w:r>
            <w:proofErr w:type="spellStart"/>
            <w:r>
              <w:rPr>
                <w:rFonts w:ascii="Arial Nova" w:eastAsiaTheme="majorEastAsia" w:hAnsi="Arial Nova" w:cstheme="minorHAnsi"/>
                <w:spacing w:val="-10"/>
                <w:kern w:val="28"/>
                <w:sz w:val="20"/>
                <w:szCs w:val="20"/>
              </w:rPr>
              <w:t>MWh</w:t>
            </w:r>
            <w:proofErr w:type="spellEnd"/>
            <w:r>
              <w:rPr>
                <w:rFonts w:ascii="Arial Nova" w:eastAsiaTheme="majorEastAsia" w:hAnsi="Arial Nova" w:cstheme="minorHAnsi"/>
                <w:spacing w:val="-10"/>
                <w:kern w:val="28"/>
                <w:sz w:val="20"/>
                <w:szCs w:val="20"/>
              </w:rPr>
              <w:t>]</w:t>
            </w:r>
          </w:p>
        </w:tc>
        <w:tc>
          <w:tcPr>
            <w:tcW w:w="3020" w:type="dxa"/>
            <w:vAlign w:val="center"/>
          </w:tcPr>
          <w:p w14:paraId="1249095A" w14:textId="1466CA42" w:rsidR="002751BC" w:rsidRDefault="002751BC"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Sin límites</w:t>
            </w:r>
          </w:p>
        </w:tc>
      </w:tr>
      <w:tr w:rsidR="00D65E9A" w14:paraId="08AFBF73" w14:textId="77777777" w:rsidTr="00E03A23">
        <w:tc>
          <w:tcPr>
            <w:tcW w:w="3020" w:type="dxa"/>
            <w:vAlign w:val="center"/>
          </w:tcPr>
          <w:p w14:paraId="3D46AD9E" w14:textId="312F1C7C" w:rsidR="00D65E9A" w:rsidRDefault="00D65E9A" w:rsidP="00D65E9A">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Precio PVPC</w:t>
            </w:r>
          </w:p>
        </w:tc>
        <w:tc>
          <w:tcPr>
            <w:tcW w:w="3020" w:type="dxa"/>
            <w:vAlign w:val="center"/>
          </w:tcPr>
          <w:p w14:paraId="5B7F4928" w14:textId="367B540A" w:rsidR="00D65E9A" w:rsidRDefault="00D65E9A" w:rsidP="00D65E9A">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 [€/</w:t>
            </w:r>
            <w:proofErr w:type="spellStart"/>
            <w:r>
              <w:rPr>
                <w:rFonts w:ascii="Arial Nova" w:eastAsiaTheme="majorEastAsia" w:hAnsi="Arial Nova" w:cstheme="minorHAnsi"/>
                <w:spacing w:val="-10"/>
                <w:kern w:val="28"/>
                <w:sz w:val="20"/>
                <w:szCs w:val="20"/>
              </w:rPr>
              <w:t>MWh</w:t>
            </w:r>
            <w:proofErr w:type="spellEnd"/>
            <w:r>
              <w:rPr>
                <w:rFonts w:ascii="Arial Nova" w:eastAsiaTheme="majorEastAsia" w:hAnsi="Arial Nova" w:cstheme="minorHAnsi"/>
                <w:spacing w:val="-10"/>
                <w:kern w:val="28"/>
                <w:sz w:val="20"/>
                <w:szCs w:val="20"/>
              </w:rPr>
              <w:t>]</w:t>
            </w:r>
          </w:p>
        </w:tc>
        <w:tc>
          <w:tcPr>
            <w:tcW w:w="3020" w:type="dxa"/>
            <w:vAlign w:val="center"/>
          </w:tcPr>
          <w:p w14:paraId="3D267DAA" w14:textId="3453E710" w:rsidR="00D65E9A" w:rsidRDefault="00D65E9A" w:rsidP="00D65E9A">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Sin límites</w:t>
            </w:r>
          </w:p>
        </w:tc>
      </w:tr>
    </w:tbl>
    <w:p w14:paraId="1BE2BB02" w14:textId="77777777" w:rsidR="002751BC" w:rsidRPr="002751BC" w:rsidRDefault="002751BC" w:rsidP="002751BC">
      <w:pPr>
        <w:spacing w:line="276" w:lineRule="auto"/>
        <w:rPr>
          <w:rFonts w:ascii="Arial Nova" w:eastAsiaTheme="majorEastAsia" w:hAnsi="Arial Nova" w:cstheme="minorHAnsi"/>
          <w:spacing w:val="-10"/>
          <w:kern w:val="28"/>
          <w:sz w:val="20"/>
          <w:szCs w:val="20"/>
        </w:rPr>
      </w:pPr>
    </w:p>
    <w:p w14:paraId="7F6DF964" w14:textId="13ABB7E3" w:rsidR="004A27E5" w:rsidRDefault="004A27E5" w:rsidP="005A792E">
      <w:pPr>
        <w:pStyle w:val="Prrafodelista"/>
        <w:numPr>
          <w:ilvl w:val="0"/>
          <w:numId w:val="4"/>
        </w:num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lastRenderedPageBreak/>
        <w:t>Porcentaje de generación libre de CO</w:t>
      </w:r>
      <w:r w:rsidRPr="004A27E5">
        <w:rPr>
          <w:rFonts w:ascii="Arial Nova" w:eastAsiaTheme="majorEastAsia" w:hAnsi="Arial Nova" w:cstheme="minorHAnsi"/>
          <w:spacing w:val="-10"/>
          <w:kern w:val="28"/>
          <w:sz w:val="20"/>
          <w:szCs w:val="20"/>
          <w:vertAlign w:val="subscript"/>
        </w:rPr>
        <w:t>2</w:t>
      </w:r>
      <w:r w:rsidR="00EF3EFA">
        <w:rPr>
          <w:rFonts w:ascii="Arial Nova" w:eastAsiaTheme="majorEastAsia" w:hAnsi="Arial Nova" w:cstheme="minorHAnsi"/>
          <w:spacing w:val="-10"/>
          <w:kern w:val="28"/>
          <w:sz w:val="20"/>
          <w:szCs w:val="20"/>
        </w:rPr>
        <w:t xml:space="preserve"> y emisiones por fuente</w:t>
      </w:r>
      <w:r w:rsidR="00D65E9A">
        <w:rPr>
          <w:rFonts w:ascii="Arial Nova" w:eastAsiaTheme="majorEastAsia" w:hAnsi="Arial Nova" w:cstheme="minorHAnsi"/>
          <w:spacing w:val="-10"/>
          <w:kern w:val="28"/>
          <w:sz w:val="20"/>
          <w:szCs w:val="20"/>
        </w:rPr>
        <w:t>:</w:t>
      </w:r>
    </w:p>
    <w:tbl>
      <w:tblPr>
        <w:tblStyle w:val="Tablaconcuadrcula"/>
        <w:tblW w:w="0" w:type="auto"/>
        <w:tblLook w:val="04A0" w:firstRow="1" w:lastRow="0" w:firstColumn="1" w:lastColumn="0" w:noHBand="0" w:noVBand="1"/>
      </w:tblPr>
      <w:tblGrid>
        <w:gridCol w:w="3020"/>
        <w:gridCol w:w="3020"/>
        <w:gridCol w:w="3020"/>
      </w:tblGrid>
      <w:tr w:rsidR="00D65E9A" w14:paraId="37F7E4A1" w14:textId="77777777" w:rsidTr="00E03A23">
        <w:tc>
          <w:tcPr>
            <w:tcW w:w="3020" w:type="dxa"/>
          </w:tcPr>
          <w:p w14:paraId="4B7B9E7E" w14:textId="77777777" w:rsidR="00D65E9A" w:rsidRPr="00A45849" w:rsidRDefault="00D65E9A"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Nombre atributo</w:t>
            </w:r>
          </w:p>
        </w:tc>
        <w:tc>
          <w:tcPr>
            <w:tcW w:w="3020" w:type="dxa"/>
          </w:tcPr>
          <w:p w14:paraId="607C1E8A" w14:textId="77777777" w:rsidR="00D65E9A" w:rsidRPr="00A45849" w:rsidRDefault="00D65E9A"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Clase de atributo</w:t>
            </w:r>
          </w:p>
        </w:tc>
        <w:tc>
          <w:tcPr>
            <w:tcW w:w="3020" w:type="dxa"/>
          </w:tcPr>
          <w:p w14:paraId="14AC7B03" w14:textId="77777777" w:rsidR="00D65E9A" w:rsidRPr="00A45849" w:rsidRDefault="00D65E9A"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Rango de valores</w:t>
            </w:r>
          </w:p>
        </w:tc>
      </w:tr>
      <w:tr w:rsidR="00D65E9A" w14:paraId="007BBBFB" w14:textId="77777777" w:rsidTr="00E03A23">
        <w:tc>
          <w:tcPr>
            <w:tcW w:w="3020" w:type="dxa"/>
            <w:vAlign w:val="center"/>
          </w:tcPr>
          <w:p w14:paraId="3C0AB35B" w14:textId="77777777"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Fecha y hora</w:t>
            </w:r>
          </w:p>
        </w:tc>
        <w:tc>
          <w:tcPr>
            <w:tcW w:w="3020" w:type="dxa"/>
            <w:vAlign w:val="center"/>
          </w:tcPr>
          <w:p w14:paraId="018F6CC0" w14:textId="77777777"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 [fecha y hora]</w:t>
            </w:r>
          </w:p>
        </w:tc>
        <w:tc>
          <w:tcPr>
            <w:tcW w:w="3020" w:type="dxa"/>
            <w:vAlign w:val="center"/>
          </w:tcPr>
          <w:p w14:paraId="764BA82F" w14:textId="77777777"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Desde 01/01/2023 00:00</w:t>
            </w:r>
          </w:p>
          <w:p w14:paraId="4F801A3F" w14:textId="77777777"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Hasta 31/12/2023 23:59</w:t>
            </w:r>
          </w:p>
        </w:tc>
      </w:tr>
      <w:tr w:rsidR="00D65E9A" w14:paraId="71F90B01" w14:textId="77777777" w:rsidTr="00E03A23">
        <w:tc>
          <w:tcPr>
            <w:tcW w:w="3020" w:type="dxa"/>
            <w:vAlign w:val="center"/>
          </w:tcPr>
          <w:p w14:paraId="25E73E8A" w14:textId="0D70DD30"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Generación libre de emisiones</w:t>
            </w:r>
          </w:p>
        </w:tc>
        <w:tc>
          <w:tcPr>
            <w:tcW w:w="3020" w:type="dxa"/>
            <w:vAlign w:val="center"/>
          </w:tcPr>
          <w:p w14:paraId="3356EA02" w14:textId="7A1EC95A"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 [%]</w:t>
            </w:r>
          </w:p>
        </w:tc>
        <w:tc>
          <w:tcPr>
            <w:tcW w:w="3020" w:type="dxa"/>
            <w:vAlign w:val="center"/>
          </w:tcPr>
          <w:p w14:paraId="285C24B5" w14:textId="77EA68E8"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0 – 100%</w:t>
            </w:r>
          </w:p>
        </w:tc>
      </w:tr>
    </w:tbl>
    <w:p w14:paraId="2AF37CB7" w14:textId="77777777" w:rsidR="00D65E9A" w:rsidRDefault="00D65E9A" w:rsidP="00D65E9A">
      <w:pPr>
        <w:spacing w:line="276" w:lineRule="auto"/>
        <w:rPr>
          <w:rFonts w:ascii="Arial Nova" w:eastAsiaTheme="majorEastAsia" w:hAnsi="Arial Nova" w:cstheme="minorHAnsi"/>
          <w:spacing w:val="-10"/>
          <w:kern w:val="28"/>
          <w:sz w:val="20"/>
          <w:szCs w:val="20"/>
        </w:rPr>
      </w:pPr>
    </w:p>
    <w:p w14:paraId="0F538A38" w14:textId="4B663299" w:rsidR="00D65E9A" w:rsidRPr="00D65E9A" w:rsidRDefault="00D65E9A" w:rsidP="00D65E9A">
      <w:pPr>
        <w:pStyle w:val="Prrafodelista"/>
        <w:numPr>
          <w:ilvl w:val="0"/>
          <w:numId w:val="10"/>
        </w:numPr>
        <w:rPr>
          <w:rFonts w:ascii="Arial Nova" w:eastAsiaTheme="majorEastAsia" w:hAnsi="Arial Nova" w:cstheme="minorHAnsi"/>
          <w:spacing w:val="-10"/>
          <w:kern w:val="28"/>
          <w:sz w:val="20"/>
          <w:szCs w:val="20"/>
        </w:rPr>
      </w:pPr>
      <w:r w:rsidRPr="00D65E9A">
        <w:rPr>
          <w:rFonts w:ascii="Arial Nova" w:hAnsi="Arial Nova"/>
          <w:sz w:val="20"/>
          <w:szCs w:val="20"/>
        </w:rPr>
        <w:t>Intensidad de emisiones de carbono por unidad de energía generada</w:t>
      </w:r>
      <w:r>
        <w:rPr>
          <w:rFonts w:ascii="Arial Nova" w:hAnsi="Arial Nova"/>
          <w:sz w:val="20"/>
          <w:szCs w:val="20"/>
        </w:rPr>
        <w:t xml:space="preserve"> y potencia instantánea generada:</w:t>
      </w:r>
    </w:p>
    <w:tbl>
      <w:tblPr>
        <w:tblStyle w:val="Tablaconcuadrcula"/>
        <w:tblW w:w="0" w:type="auto"/>
        <w:tblLook w:val="04A0" w:firstRow="1" w:lastRow="0" w:firstColumn="1" w:lastColumn="0" w:noHBand="0" w:noVBand="1"/>
      </w:tblPr>
      <w:tblGrid>
        <w:gridCol w:w="3020"/>
        <w:gridCol w:w="3020"/>
        <w:gridCol w:w="3020"/>
      </w:tblGrid>
      <w:tr w:rsidR="00D65E9A" w14:paraId="64A16D11" w14:textId="77777777" w:rsidTr="00E03A23">
        <w:tc>
          <w:tcPr>
            <w:tcW w:w="3020" w:type="dxa"/>
          </w:tcPr>
          <w:p w14:paraId="6DEBDCFE" w14:textId="77777777" w:rsidR="00D65E9A" w:rsidRPr="00A45849" w:rsidRDefault="00D65E9A"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Nombre atributo</w:t>
            </w:r>
          </w:p>
        </w:tc>
        <w:tc>
          <w:tcPr>
            <w:tcW w:w="3020" w:type="dxa"/>
          </w:tcPr>
          <w:p w14:paraId="0C89EE51" w14:textId="77777777" w:rsidR="00D65E9A" w:rsidRPr="00A45849" w:rsidRDefault="00D65E9A"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Clase de atributo</w:t>
            </w:r>
          </w:p>
        </w:tc>
        <w:tc>
          <w:tcPr>
            <w:tcW w:w="3020" w:type="dxa"/>
          </w:tcPr>
          <w:p w14:paraId="22885E96" w14:textId="77777777" w:rsidR="00D65E9A" w:rsidRPr="00A45849" w:rsidRDefault="00D65E9A" w:rsidP="00E03A23">
            <w:pPr>
              <w:spacing w:line="276" w:lineRule="auto"/>
              <w:rPr>
                <w:rFonts w:ascii="Arial Nova" w:eastAsiaTheme="majorEastAsia" w:hAnsi="Arial Nova" w:cstheme="minorHAnsi"/>
                <w:b/>
                <w:bCs/>
                <w:spacing w:val="-10"/>
                <w:kern w:val="28"/>
                <w:sz w:val="20"/>
                <w:szCs w:val="20"/>
              </w:rPr>
            </w:pPr>
            <w:r w:rsidRPr="00A45849">
              <w:rPr>
                <w:rFonts w:ascii="Arial Nova" w:eastAsiaTheme="majorEastAsia" w:hAnsi="Arial Nova" w:cstheme="minorHAnsi"/>
                <w:b/>
                <w:bCs/>
                <w:spacing w:val="-10"/>
                <w:kern w:val="28"/>
                <w:sz w:val="20"/>
                <w:szCs w:val="20"/>
              </w:rPr>
              <w:t>Rango de valores</w:t>
            </w:r>
          </w:p>
        </w:tc>
      </w:tr>
      <w:tr w:rsidR="00D65E9A" w14:paraId="48C25F68" w14:textId="77777777" w:rsidTr="00E03A23">
        <w:tc>
          <w:tcPr>
            <w:tcW w:w="3020" w:type="dxa"/>
            <w:vAlign w:val="center"/>
          </w:tcPr>
          <w:p w14:paraId="1FE21772" w14:textId="77777777"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Fecha y hora</w:t>
            </w:r>
          </w:p>
        </w:tc>
        <w:tc>
          <w:tcPr>
            <w:tcW w:w="3020" w:type="dxa"/>
            <w:vAlign w:val="center"/>
          </w:tcPr>
          <w:p w14:paraId="3FAA23F7" w14:textId="77777777"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 [fecha y hora]</w:t>
            </w:r>
          </w:p>
        </w:tc>
        <w:tc>
          <w:tcPr>
            <w:tcW w:w="3020" w:type="dxa"/>
            <w:vAlign w:val="center"/>
          </w:tcPr>
          <w:p w14:paraId="7D32935E" w14:textId="482D13BF"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Desde 01/01/20</w:t>
            </w:r>
            <w:r w:rsidR="007533EB">
              <w:rPr>
                <w:rFonts w:ascii="Arial Nova" w:eastAsiaTheme="majorEastAsia" w:hAnsi="Arial Nova" w:cstheme="minorHAnsi"/>
                <w:spacing w:val="-10"/>
                <w:kern w:val="28"/>
                <w:sz w:val="20"/>
                <w:szCs w:val="20"/>
              </w:rPr>
              <w:t>18</w:t>
            </w:r>
            <w:r>
              <w:rPr>
                <w:rFonts w:ascii="Arial Nova" w:eastAsiaTheme="majorEastAsia" w:hAnsi="Arial Nova" w:cstheme="minorHAnsi"/>
                <w:spacing w:val="-10"/>
                <w:kern w:val="28"/>
                <w:sz w:val="20"/>
                <w:szCs w:val="20"/>
              </w:rPr>
              <w:t xml:space="preserve"> 00:00</w:t>
            </w:r>
          </w:p>
          <w:p w14:paraId="184C78C8" w14:textId="1872B18C"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Hasta 31/12/20</w:t>
            </w:r>
            <w:r w:rsidR="007533EB">
              <w:rPr>
                <w:rFonts w:ascii="Arial Nova" w:eastAsiaTheme="majorEastAsia" w:hAnsi="Arial Nova" w:cstheme="minorHAnsi"/>
                <w:spacing w:val="-10"/>
                <w:kern w:val="28"/>
                <w:sz w:val="20"/>
                <w:szCs w:val="20"/>
              </w:rPr>
              <w:t>18</w:t>
            </w:r>
            <w:r>
              <w:rPr>
                <w:rFonts w:ascii="Arial Nova" w:eastAsiaTheme="majorEastAsia" w:hAnsi="Arial Nova" w:cstheme="minorHAnsi"/>
                <w:spacing w:val="-10"/>
                <w:kern w:val="28"/>
                <w:sz w:val="20"/>
                <w:szCs w:val="20"/>
              </w:rPr>
              <w:t xml:space="preserve"> 23:59</w:t>
            </w:r>
          </w:p>
        </w:tc>
      </w:tr>
      <w:tr w:rsidR="00D65E9A" w14:paraId="6249D6C5" w14:textId="77777777" w:rsidTr="00E03A23">
        <w:tc>
          <w:tcPr>
            <w:tcW w:w="3020" w:type="dxa"/>
            <w:vAlign w:val="center"/>
          </w:tcPr>
          <w:p w14:paraId="63D2EEF2" w14:textId="77777777"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País</w:t>
            </w:r>
          </w:p>
        </w:tc>
        <w:tc>
          <w:tcPr>
            <w:tcW w:w="3020" w:type="dxa"/>
            <w:vAlign w:val="center"/>
          </w:tcPr>
          <w:p w14:paraId="2E25B5C6" w14:textId="77777777"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Cualitativa nominal</w:t>
            </w:r>
          </w:p>
        </w:tc>
        <w:tc>
          <w:tcPr>
            <w:tcW w:w="3020" w:type="dxa"/>
            <w:vAlign w:val="center"/>
          </w:tcPr>
          <w:p w14:paraId="77BB2A11" w14:textId="0F830C49"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Portugal, Francia, Andorra, etc.</w:t>
            </w:r>
          </w:p>
        </w:tc>
      </w:tr>
      <w:tr w:rsidR="00D65E9A" w14:paraId="0EE95C6C" w14:textId="77777777" w:rsidTr="00E03A23">
        <w:tc>
          <w:tcPr>
            <w:tcW w:w="3020" w:type="dxa"/>
            <w:vAlign w:val="center"/>
          </w:tcPr>
          <w:p w14:paraId="45C12280" w14:textId="7497C1D2"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Intensidad de emisiones</w:t>
            </w:r>
          </w:p>
        </w:tc>
        <w:tc>
          <w:tcPr>
            <w:tcW w:w="3020" w:type="dxa"/>
            <w:vAlign w:val="center"/>
          </w:tcPr>
          <w:p w14:paraId="1D5567A9" w14:textId="1E8E9AFC"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 [gCO</w:t>
            </w:r>
            <w:r w:rsidRPr="00D65E9A">
              <w:rPr>
                <w:rFonts w:ascii="Arial Nova" w:eastAsiaTheme="majorEastAsia" w:hAnsi="Arial Nova" w:cstheme="minorHAnsi"/>
                <w:spacing w:val="-10"/>
                <w:kern w:val="28"/>
                <w:sz w:val="20"/>
                <w:szCs w:val="20"/>
                <w:vertAlign w:val="subscript"/>
              </w:rPr>
              <w:t>2</w:t>
            </w:r>
            <w:r>
              <w:rPr>
                <w:rFonts w:ascii="Arial Nova" w:eastAsiaTheme="majorEastAsia" w:hAnsi="Arial Nova" w:cstheme="minorHAnsi"/>
                <w:spacing w:val="-10"/>
                <w:kern w:val="28"/>
                <w:sz w:val="20"/>
                <w:szCs w:val="20"/>
              </w:rPr>
              <w:t>eq/kWh]</w:t>
            </w:r>
          </w:p>
        </w:tc>
        <w:tc>
          <w:tcPr>
            <w:tcW w:w="3020" w:type="dxa"/>
            <w:vAlign w:val="center"/>
          </w:tcPr>
          <w:p w14:paraId="70768C18" w14:textId="62050AD5"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Mayor que 0</w:t>
            </w:r>
          </w:p>
        </w:tc>
      </w:tr>
      <w:tr w:rsidR="00D65E9A" w14:paraId="2FC8A095" w14:textId="77777777" w:rsidTr="00E03A23">
        <w:tc>
          <w:tcPr>
            <w:tcW w:w="3020" w:type="dxa"/>
            <w:vAlign w:val="center"/>
          </w:tcPr>
          <w:p w14:paraId="127B0900" w14:textId="64978380"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Potencia generada</w:t>
            </w:r>
          </w:p>
        </w:tc>
        <w:tc>
          <w:tcPr>
            <w:tcW w:w="3020" w:type="dxa"/>
            <w:vAlign w:val="center"/>
          </w:tcPr>
          <w:p w14:paraId="1514F050" w14:textId="4A885F0E"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Cuantitativa [MW]</w:t>
            </w:r>
          </w:p>
        </w:tc>
        <w:tc>
          <w:tcPr>
            <w:tcW w:w="3020" w:type="dxa"/>
            <w:vAlign w:val="center"/>
          </w:tcPr>
          <w:p w14:paraId="5F53E016" w14:textId="4DE959A9" w:rsidR="00D65E9A" w:rsidRDefault="00D65E9A" w:rsidP="00E03A23">
            <w:pPr>
              <w:spacing w:line="276" w:lineRule="auto"/>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Desde 0 hasta la potencia máxima instalada.</w:t>
            </w:r>
          </w:p>
        </w:tc>
      </w:tr>
    </w:tbl>
    <w:p w14:paraId="3FEF70FE" w14:textId="77777777" w:rsidR="00D65E9A" w:rsidRDefault="00D65E9A" w:rsidP="00D65E9A">
      <w:pPr>
        <w:pStyle w:val="Prrafodelista"/>
        <w:rPr>
          <w:rFonts w:ascii="Arial Nova" w:eastAsiaTheme="majorEastAsia" w:hAnsi="Arial Nova" w:cstheme="minorHAnsi"/>
          <w:spacing w:val="-10"/>
          <w:kern w:val="28"/>
          <w:sz w:val="20"/>
          <w:szCs w:val="20"/>
        </w:rPr>
      </w:pPr>
    </w:p>
    <w:p w14:paraId="1634429A" w14:textId="77777777" w:rsidR="00D65E9A" w:rsidRPr="00D65E9A" w:rsidRDefault="00D65E9A" w:rsidP="00D65E9A">
      <w:pPr>
        <w:pStyle w:val="Prrafodelista"/>
        <w:rPr>
          <w:rFonts w:ascii="Arial Nova" w:eastAsiaTheme="majorEastAsia" w:hAnsi="Arial Nova" w:cstheme="minorHAnsi"/>
          <w:spacing w:val="-10"/>
          <w:kern w:val="28"/>
          <w:sz w:val="20"/>
          <w:szCs w:val="20"/>
        </w:rPr>
      </w:pPr>
    </w:p>
    <w:p w14:paraId="286849D5" w14:textId="6C1FCDC1" w:rsidR="008D26B9" w:rsidRDefault="008D26B9" w:rsidP="008D26B9">
      <w:pPr>
        <w:rPr>
          <w:rFonts w:ascii="Arial Nova" w:eastAsiaTheme="majorEastAsia" w:hAnsi="Arial Nova" w:cstheme="minorHAnsi"/>
          <w:b/>
          <w:bCs/>
          <w:color w:val="195C6B"/>
          <w:spacing w:val="-10"/>
          <w:kern w:val="28"/>
          <w:sz w:val="24"/>
          <w:szCs w:val="24"/>
        </w:rPr>
      </w:pPr>
      <w:r>
        <w:rPr>
          <w:rFonts w:ascii="Arial Nova" w:eastAsiaTheme="majorEastAsia" w:hAnsi="Arial Nova" w:cstheme="minorHAnsi"/>
          <w:b/>
          <w:bCs/>
          <w:color w:val="195C6B"/>
          <w:spacing w:val="-10"/>
          <w:kern w:val="28"/>
          <w:sz w:val="24"/>
          <w:szCs w:val="24"/>
        </w:rPr>
        <w:t>Parámetros para analizar</w:t>
      </w:r>
      <w:r w:rsidRPr="007F1335">
        <w:rPr>
          <w:rFonts w:ascii="Arial Nova" w:eastAsiaTheme="majorEastAsia" w:hAnsi="Arial Nova" w:cstheme="minorHAnsi"/>
          <w:b/>
          <w:bCs/>
          <w:color w:val="195C6B"/>
          <w:spacing w:val="-10"/>
          <w:kern w:val="28"/>
          <w:sz w:val="24"/>
          <w:szCs w:val="24"/>
        </w:rPr>
        <w:t>:</w:t>
      </w:r>
    </w:p>
    <w:p w14:paraId="445267E3" w14:textId="0EF040BA" w:rsidR="008D26B9" w:rsidRDefault="00532EC2" w:rsidP="004D7B7D">
      <w:pPr>
        <w:pStyle w:val="Prrafodelista"/>
        <w:numPr>
          <w:ilvl w:val="0"/>
          <w:numId w:val="6"/>
        </w:numPr>
        <w:spacing w:line="276" w:lineRule="auto"/>
        <w:jc w:val="both"/>
        <w:rPr>
          <w:rFonts w:ascii="Arial Nova" w:eastAsiaTheme="majorEastAsia" w:hAnsi="Arial Nova" w:cstheme="minorHAnsi"/>
          <w:spacing w:val="-10"/>
          <w:kern w:val="28"/>
          <w:sz w:val="20"/>
          <w:szCs w:val="20"/>
        </w:rPr>
      </w:pPr>
      <w:r w:rsidRPr="00532EC2">
        <w:rPr>
          <w:rFonts w:ascii="Arial Nova" w:eastAsiaTheme="majorEastAsia" w:hAnsi="Arial Nova" w:cstheme="minorHAnsi"/>
          <w:b/>
          <w:bCs/>
          <w:spacing w:val="-10"/>
          <w:kern w:val="28"/>
          <w:sz w:val="20"/>
          <w:szCs w:val="20"/>
        </w:rPr>
        <w:t>Perspectiva técnica:</w:t>
      </w:r>
      <w:r w:rsidRPr="00532EC2">
        <w:rPr>
          <w:rFonts w:ascii="Arial Nova" w:eastAsiaTheme="majorEastAsia" w:hAnsi="Arial Nova" w:cstheme="minorHAnsi"/>
          <w:spacing w:val="-10"/>
          <w:kern w:val="28"/>
          <w:sz w:val="20"/>
          <w:szCs w:val="20"/>
        </w:rPr>
        <w:t xml:space="preserve"> </w:t>
      </w:r>
    </w:p>
    <w:p w14:paraId="7ACAD228" w14:textId="7C0B0F3E" w:rsidR="00686391" w:rsidRPr="00686391" w:rsidRDefault="00686391" w:rsidP="00686391">
      <w:pPr>
        <w:spacing w:line="276" w:lineRule="auto"/>
        <w:jc w:val="both"/>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 xml:space="preserve">El objetivo de la perspectiva técnica es estudiar el </w:t>
      </w:r>
      <w:proofErr w:type="spellStart"/>
      <w:r>
        <w:rPr>
          <w:rFonts w:ascii="Arial Nova" w:eastAsiaTheme="majorEastAsia" w:hAnsi="Arial Nova" w:cstheme="minorHAnsi"/>
          <w:spacing w:val="-10"/>
          <w:kern w:val="28"/>
          <w:sz w:val="20"/>
          <w:szCs w:val="20"/>
        </w:rPr>
        <w:t>mix</w:t>
      </w:r>
      <w:proofErr w:type="spellEnd"/>
      <w:r>
        <w:rPr>
          <w:rFonts w:ascii="Arial Nova" w:eastAsiaTheme="majorEastAsia" w:hAnsi="Arial Nova" w:cstheme="minorHAnsi"/>
          <w:spacing w:val="-10"/>
          <w:kern w:val="28"/>
          <w:sz w:val="20"/>
          <w:szCs w:val="20"/>
        </w:rPr>
        <w:t xml:space="preserve"> energético por fuente de generación</w:t>
      </w:r>
      <w:r w:rsidR="00FB7D8D">
        <w:rPr>
          <w:rFonts w:ascii="Arial Nova" w:eastAsiaTheme="majorEastAsia" w:hAnsi="Arial Nova" w:cstheme="minorHAnsi"/>
          <w:spacing w:val="-10"/>
          <w:kern w:val="28"/>
          <w:sz w:val="20"/>
          <w:szCs w:val="20"/>
        </w:rPr>
        <w:t>, además de tener en cuenta el efecto de los intercambios de energía con países limítrofes.</w:t>
      </w:r>
    </w:p>
    <w:p w14:paraId="4B701B1F" w14:textId="0FA1524C" w:rsidR="009976FD" w:rsidRDefault="009976FD" w:rsidP="004D7B7D">
      <w:pPr>
        <w:spacing w:line="276" w:lineRule="auto"/>
        <w:jc w:val="both"/>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 xml:space="preserve">A partir de los datos anteriores es posible </w:t>
      </w:r>
      <w:r w:rsidR="00EF3EFA">
        <w:rPr>
          <w:rFonts w:ascii="Arial Nova" w:eastAsiaTheme="majorEastAsia" w:hAnsi="Arial Nova" w:cstheme="minorHAnsi"/>
          <w:spacing w:val="-10"/>
          <w:kern w:val="28"/>
          <w:sz w:val="20"/>
          <w:szCs w:val="20"/>
        </w:rPr>
        <w:t xml:space="preserve">graficarlos en una serie temporal para su estudio. Asimismo, también es posible </w:t>
      </w:r>
      <w:r w:rsidR="00EB2CBE">
        <w:rPr>
          <w:rFonts w:ascii="Arial Nova" w:eastAsiaTheme="majorEastAsia" w:hAnsi="Arial Nova" w:cstheme="minorHAnsi"/>
          <w:spacing w:val="-10"/>
          <w:kern w:val="28"/>
          <w:sz w:val="20"/>
          <w:szCs w:val="20"/>
        </w:rPr>
        <w:t>calcular y estimar otros parámetros de interés</w:t>
      </w:r>
      <w:r w:rsidR="00EF3EFA">
        <w:rPr>
          <w:rFonts w:ascii="Arial Nova" w:eastAsiaTheme="majorEastAsia" w:hAnsi="Arial Nova" w:cstheme="minorHAnsi"/>
          <w:spacing w:val="-10"/>
          <w:kern w:val="28"/>
          <w:sz w:val="20"/>
          <w:szCs w:val="20"/>
        </w:rPr>
        <w:t xml:space="preserve"> a partir de ellos</w:t>
      </w:r>
      <w:r w:rsidR="00EB2CBE">
        <w:rPr>
          <w:rFonts w:ascii="Arial Nova" w:eastAsiaTheme="majorEastAsia" w:hAnsi="Arial Nova" w:cstheme="minorHAnsi"/>
          <w:spacing w:val="-10"/>
          <w:kern w:val="28"/>
          <w:sz w:val="20"/>
          <w:szCs w:val="20"/>
        </w:rPr>
        <w:t xml:space="preserve">. A </w:t>
      </w:r>
      <w:r w:rsidR="009576DD">
        <w:rPr>
          <w:rFonts w:ascii="Arial Nova" w:eastAsiaTheme="majorEastAsia" w:hAnsi="Arial Nova" w:cstheme="minorHAnsi"/>
          <w:spacing w:val="-10"/>
          <w:kern w:val="28"/>
          <w:sz w:val="20"/>
          <w:szCs w:val="20"/>
        </w:rPr>
        <w:t>continuación,</w:t>
      </w:r>
      <w:r w:rsidR="00EB2CBE">
        <w:rPr>
          <w:rFonts w:ascii="Arial Nova" w:eastAsiaTheme="majorEastAsia" w:hAnsi="Arial Nova" w:cstheme="minorHAnsi"/>
          <w:spacing w:val="-10"/>
          <w:kern w:val="28"/>
          <w:sz w:val="20"/>
          <w:szCs w:val="20"/>
        </w:rPr>
        <w:t xml:space="preserve"> se listan </w:t>
      </w:r>
      <w:r w:rsidR="00773176">
        <w:rPr>
          <w:rFonts w:ascii="Arial Nova" w:eastAsiaTheme="majorEastAsia" w:hAnsi="Arial Nova" w:cstheme="minorHAnsi"/>
          <w:spacing w:val="-10"/>
          <w:kern w:val="28"/>
          <w:sz w:val="20"/>
          <w:szCs w:val="20"/>
        </w:rPr>
        <w:t>varios ejemplos:</w:t>
      </w:r>
    </w:p>
    <w:p w14:paraId="12DB4143" w14:textId="79686F28" w:rsidR="00EF3EFA" w:rsidRDefault="00EF3EFA" w:rsidP="004D7B7D">
      <w:pPr>
        <w:pStyle w:val="Prrafodelista"/>
        <w:numPr>
          <w:ilvl w:val="0"/>
          <w:numId w:val="5"/>
        </w:numPr>
        <w:spacing w:line="276" w:lineRule="auto"/>
        <w:jc w:val="both"/>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Serie temporal de generación por fuente de energía.</w:t>
      </w:r>
    </w:p>
    <w:p w14:paraId="23F1FB15" w14:textId="72FDF804" w:rsidR="00773176" w:rsidRDefault="001A60DB" w:rsidP="004D7B7D">
      <w:pPr>
        <w:pStyle w:val="Prrafodelista"/>
        <w:numPr>
          <w:ilvl w:val="0"/>
          <w:numId w:val="5"/>
        </w:numPr>
        <w:spacing w:line="276" w:lineRule="auto"/>
        <w:jc w:val="both"/>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 xml:space="preserve">Factor de </w:t>
      </w:r>
      <w:r w:rsidR="00FA414D">
        <w:rPr>
          <w:rFonts w:ascii="Arial Nova" w:eastAsiaTheme="majorEastAsia" w:hAnsi="Arial Nova" w:cstheme="minorHAnsi"/>
          <w:spacing w:val="-10"/>
          <w:kern w:val="28"/>
          <w:sz w:val="20"/>
          <w:szCs w:val="20"/>
        </w:rPr>
        <w:t>carga</w:t>
      </w:r>
      <w:r w:rsidR="00B2022E">
        <w:rPr>
          <w:rFonts w:ascii="Arial Nova" w:eastAsiaTheme="majorEastAsia" w:hAnsi="Arial Nova" w:cstheme="minorHAnsi"/>
          <w:spacing w:val="-10"/>
          <w:kern w:val="28"/>
          <w:sz w:val="20"/>
          <w:szCs w:val="20"/>
        </w:rPr>
        <w:t xml:space="preserve"> por fuente: cociente entre </w:t>
      </w:r>
      <w:r w:rsidR="001123EE">
        <w:rPr>
          <w:rFonts w:ascii="Arial Nova" w:eastAsiaTheme="majorEastAsia" w:hAnsi="Arial Nova" w:cstheme="minorHAnsi"/>
          <w:spacing w:val="-10"/>
          <w:kern w:val="28"/>
          <w:sz w:val="20"/>
          <w:szCs w:val="20"/>
        </w:rPr>
        <w:t>potencia</w:t>
      </w:r>
      <w:r w:rsidR="00B2022E">
        <w:rPr>
          <w:rFonts w:ascii="Arial Nova" w:eastAsiaTheme="majorEastAsia" w:hAnsi="Arial Nova" w:cstheme="minorHAnsi"/>
          <w:spacing w:val="-10"/>
          <w:kern w:val="28"/>
          <w:sz w:val="20"/>
          <w:szCs w:val="20"/>
        </w:rPr>
        <w:t xml:space="preserve"> producida y</w:t>
      </w:r>
      <w:r w:rsidR="001123EE">
        <w:rPr>
          <w:rFonts w:ascii="Arial Nova" w:eastAsiaTheme="majorEastAsia" w:hAnsi="Arial Nova" w:cstheme="minorHAnsi"/>
          <w:spacing w:val="-10"/>
          <w:kern w:val="28"/>
          <w:sz w:val="20"/>
          <w:szCs w:val="20"/>
        </w:rPr>
        <w:t xml:space="preserve"> potencia instalada en un periodo de tiempo determinado.</w:t>
      </w:r>
      <w:r w:rsidR="00EF3EFA">
        <w:rPr>
          <w:rFonts w:ascii="Arial Nova" w:eastAsiaTheme="majorEastAsia" w:hAnsi="Arial Nova" w:cstheme="minorHAnsi"/>
          <w:spacing w:val="-10"/>
          <w:kern w:val="28"/>
          <w:sz w:val="20"/>
          <w:szCs w:val="20"/>
        </w:rPr>
        <w:t xml:space="preserve"> Esto puede ser interesante para ver la variación estacional de las energías renovables.</w:t>
      </w:r>
    </w:p>
    <w:p w14:paraId="717550EC" w14:textId="3419E157" w:rsidR="001123EE" w:rsidRDefault="00827D48" w:rsidP="004D7B7D">
      <w:pPr>
        <w:pStyle w:val="Prrafodelista"/>
        <w:numPr>
          <w:ilvl w:val="0"/>
          <w:numId w:val="5"/>
        </w:numPr>
        <w:spacing w:line="276" w:lineRule="auto"/>
        <w:jc w:val="both"/>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Factor de diversidad de la red.</w:t>
      </w:r>
    </w:p>
    <w:p w14:paraId="3B6F73A6" w14:textId="26DEBA61" w:rsidR="00532EC2" w:rsidRDefault="004D7B7D" w:rsidP="004D7B7D">
      <w:pPr>
        <w:pStyle w:val="Prrafodelista"/>
        <w:numPr>
          <w:ilvl w:val="0"/>
          <w:numId w:val="5"/>
        </w:numPr>
        <w:spacing w:line="276" w:lineRule="auto"/>
        <w:jc w:val="both"/>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Efecto en la demanda el autoconsumo de la energía solar. Por ejemplo, es posible estudiar la evolución de la “curva de pato” desde varios a</w:t>
      </w:r>
      <w:r>
        <w:rPr>
          <w:rFonts w:ascii="Arial Nova" w:hAnsi="Arial Nova"/>
          <w:sz w:val="20"/>
          <w:szCs w:val="20"/>
        </w:rPr>
        <w:t>ños atrás hasta ahora.</w:t>
      </w:r>
      <w:r w:rsidR="00FB7D8D">
        <w:rPr>
          <w:rFonts w:ascii="Arial Nova" w:hAnsi="Arial Nova"/>
          <w:sz w:val="20"/>
          <w:szCs w:val="20"/>
        </w:rPr>
        <w:t xml:space="preserve"> (Para esto sería necesario tomar valores promedios mensuales de distintos años.</w:t>
      </w:r>
    </w:p>
    <w:p w14:paraId="6061C3AF" w14:textId="77777777" w:rsidR="004D7B7D" w:rsidRDefault="004D7B7D" w:rsidP="004D7B7D">
      <w:pPr>
        <w:pStyle w:val="Prrafodelista"/>
        <w:spacing w:line="276" w:lineRule="auto"/>
        <w:ind w:left="502"/>
        <w:jc w:val="both"/>
        <w:rPr>
          <w:rFonts w:ascii="Arial Nova" w:eastAsiaTheme="majorEastAsia" w:hAnsi="Arial Nova" w:cstheme="minorHAnsi"/>
          <w:b/>
          <w:bCs/>
          <w:spacing w:val="-10"/>
          <w:kern w:val="28"/>
          <w:sz w:val="20"/>
          <w:szCs w:val="20"/>
        </w:rPr>
      </w:pPr>
    </w:p>
    <w:p w14:paraId="2B392306" w14:textId="479CAB3B" w:rsidR="00827D48" w:rsidRPr="008F7D9B" w:rsidRDefault="008F7D9B" w:rsidP="004D7B7D">
      <w:pPr>
        <w:pStyle w:val="Prrafodelista"/>
        <w:numPr>
          <w:ilvl w:val="0"/>
          <w:numId w:val="6"/>
        </w:numPr>
        <w:spacing w:line="276" w:lineRule="auto"/>
        <w:jc w:val="both"/>
        <w:rPr>
          <w:rFonts w:ascii="Arial Nova" w:eastAsiaTheme="majorEastAsia" w:hAnsi="Arial Nova" w:cstheme="minorHAnsi"/>
          <w:b/>
          <w:bCs/>
          <w:spacing w:val="-10"/>
          <w:kern w:val="28"/>
          <w:sz w:val="20"/>
          <w:szCs w:val="20"/>
        </w:rPr>
      </w:pPr>
      <w:r w:rsidRPr="008F7D9B">
        <w:rPr>
          <w:rFonts w:ascii="Arial Nova" w:eastAsiaTheme="majorEastAsia" w:hAnsi="Arial Nova" w:cstheme="minorHAnsi"/>
          <w:b/>
          <w:bCs/>
          <w:spacing w:val="-10"/>
          <w:kern w:val="28"/>
          <w:sz w:val="20"/>
          <w:szCs w:val="20"/>
        </w:rPr>
        <w:t>Perspectiva económica:</w:t>
      </w:r>
    </w:p>
    <w:p w14:paraId="3E235ABB" w14:textId="2BFC438E" w:rsidR="00FB7D8D" w:rsidRDefault="00FB7D8D" w:rsidP="004D7B7D">
      <w:pPr>
        <w:spacing w:line="276" w:lineRule="auto"/>
        <w:jc w:val="both"/>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 xml:space="preserve">Por otra parte, también es interesante analizar el mercado eléctrico desde una perspectiva económica. Esto permite ver el efecto del </w:t>
      </w:r>
      <w:proofErr w:type="spellStart"/>
      <w:r>
        <w:rPr>
          <w:rFonts w:ascii="Arial Nova" w:eastAsiaTheme="majorEastAsia" w:hAnsi="Arial Nova" w:cstheme="minorHAnsi"/>
          <w:spacing w:val="-10"/>
          <w:kern w:val="28"/>
          <w:sz w:val="20"/>
          <w:szCs w:val="20"/>
        </w:rPr>
        <w:t>mix</w:t>
      </w:r>
      <w:proofErr w:type="spellEnd"/>
      <w:r>
        <w:rPr>
          <w:rFonts w:ascii="Arial Nova" w:eastAsiaTheme="majorEastAsia" w:hAnsi="Arial Nova" w:cstheme="minorHAnsi"/>
          <w:spacing w:val="-10"/>
          <w:kern w:val="28"/>
          <w:sz w:val="20"/>
          <w:szCs w:val="20"/>
        </w:rPr>
        <w:t xml:space="preserve"> energético, considerando las interconexiones entre países, en el precio de la energía. Asimismo, se puede apreciar si existe estacionalidad en el precio, la cual puede ser producida por las distintas proporciones de fuentes de energía disponibles a lo largo del a</w:t>
      </w:r>
      <w:r>
        <w:rPr>
          <w:rFonts w:ascii="Arial Nova" w:hAnsi="Arial Nova"/>
          <w:sz w:val="20"/>
          <w:szCs w:val="20"/>
        </w:rPr>
        <w:t>ño.</w:t>
      </w:r>
    </w:p>
    <w:p w14:paraId="5FAF7FFF" w14:textId="49A0EFFB" w:rsidR="00532EC2" w:rsidRDefault="004D7B7D" w:rsidP="004D7B7D">
      <w:pPr>
        <w:spacing w:line="276" w:lineRule="auto"/>
        <w:jc w:val="both"/>
        <w:rPr>
          <w:rFonts w:ascii="Arial Nova" w:hAnsi="Arial Nova"/>
          <w:sz w:val="20"/>
          <w:szCs w:val="20"/>
        </w:rPr>
      </w:pPr>
      <w:r>
        <w:rPr>
          <w:rFonts w:ascii="Arial Nova" w:eastAsiaTheme="majorEastAsia" w:hAnsi="Arial Nova" w:cstheme="minorHAnsi"/>
          <w:spacing w:val="-10"/>
          <w:kern w:val="28"/>
          <w:sz w:val="20"/>
          <w:szCs w:val="20"/>
        </w:rPr>
        <w:t>La web también facilita una gran cantidad de datos acerca del precio de la electricidad tanto de Espa</w:t>
      </w:r>
      <w:r>
        <w:rPr>
          <w:rFonts w:ascii="Arial Nova" w:hAnsi="Arial Nova"/>
          <w:sz w:val="20"/>
          <w:szCs w:val="20"/>
        </w:rPr>
        <w:t>ña, como de los países vecinos. Esto permite realizar un estudio superficial del mercado eléctrico desde un punto de vista económico. A continuación, se enumeran varios indicadores a estudiar:</w:t>
      </w:r>
    </w:p>
    <w:p w14:paraId="55C04A47" w14:textId="708FFF06" w:rsidR="004D7B7D" w:rsidRDefault="004D7B7D" w:rsidP="004D7B7D">
      <w:pPr>
        <w:pStyle w:val="Prrafodelista"/>
        <w:numPr>
          <w:ilvl w:val="0"/>
          <w:numId w:val="8"/>
        </w:numPr>
        <w:spacing w:line="276" w:lineRule="auto"/>
        <w:jc w:val="both"/>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Serie temporal del precio y comparación entre spot y PVPC.</w:t>
      </w:r>
    </w:p>
    <w:p w14:paraId="702E2B51" w14:textId="321D6F33" w:rsidR="004D7B7D" w:rsidRDefault="004D7B7D" w:rsidP="004D7B7D">
      <w:pPr>
        <w:pStyle w:val="Prrafodelista"/>
        <w:numPr>
          <w:ilvl w:val="0"/>
          <w:numId w:val="8"/>
        </w:numPr>
        <w:spacing w:line="276" w:lineRule="auto"/>
        <w:jc w:val="both"/>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 xml:space="preserve">Búsqueda de relación entre el </w:t>
      </w:r>
      <w:proofErr w:type="spellStart"/>
      <w:r>
        <w:rPr>
          <w:rFonts w:ascii="Arial Nova" w:eastAsiaTheme="majorEastAsia" w:hAnsi="Arial Nova" w:cstheme="minorHAnsi"/>
          <w:spacing w:val="-10"/>
          <w:kern w:val="28"/>
          <w:sz w:val="20"/>
          <w:szCs w:val="20"/>
        </w:rPr>
        <w:t>mix</w:t>
      </w:r>
      <w:proofErr w:type="spellEnd"/>
      <w:r>
        <w:rPr>
          <w:rFonts w:ascii="Arial Nova" w:eastAsiaTheme="majorEastAsia" w:hAnsi="Arial Nova" w:cstheme="minorHAnsi"/>
          <w:spacing w:val="-10"/>
          <w:kern w:val="28"/>
          <w:sz w:val="20"/>
          <w:szCs w:val="20"/>
        </w:rPr>
        <w:t xml:space="preserve"> energético y el precio en cada momento.</w:t>
      </w:r>
    </w:p>
    <w:p w14:paraId="63B85B08" w14:textId="2208E67A" w:rsidR="004D7B7D" w:rsidRDefault="004D7B7D" w:rsidP="004D7B7D">
      <w:pPr>
        <w:pStyle w:val="Prrafodelista"/>
        <w:numPr>
          <w:ilvl w:val="0"/>
          <w:numId w:val="8"/>
        </w:numPr>
        <w:spacing w:line="276" w:lineRule="auto"/>
        <w:jc w:val="both"/>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Relación entre los precios de los distintos países vecinos y el correspondiente intercambio de energía.</w:t>
      </w:r>
    </w:p>
    <w:p w14:paraId="73B865EF" w14:textId="77777777" w:rsidR="004D7B7D" w:rsidRPr="004D7B7D" w:rsidRDefault="004D7B7D" w:rsidP="004D7B7D">
      <w:pPr>
        <w:pStyle w:val="Prrafodelista"/>
        <w:spacing w:line="276" w:lineRule="auto"/>
        <w:jc w:val="both"/>
        <w:rPr>
          <w:rFonts w:ascii="Arial Nova" w:eastAsiaTheme="majorEastAsia" w:hAnsi="Arial Nova" w:cstheme="minorHAnsi"/>
          <w:spacing w:val="-10"/>
          <w:kern w:val="28"/>
          <w:sz w:val="20"/>
          <w:szCs w:val="20"/>
        </w:rPr>
      </w:pPr>
    </w:p>
    <w:p w14:paraId="6AFC1BDB" w14:textId="5D00AA46" w:rsidR="00532EC2" w:rsidRDefault="00532EC2" w:rsidP="004D7B7D">
      <w:pPr>
        <w:pStyle w:val="Prrafodelista"/>
        <w:numPr>
          <w:ilvl w:val="0"/>
          <w:numId w:val="6"/>
        </w:numPr>
        <w:spacing w:line="276" w:lineRule="auto"/>
        <w:jc w:val="both"/>
        <w:rPr>
          <w:rFonts w:ascii="Arial Nova" w:eastAsiaTheme="majorEastAsia" w:hAnsi="Arial Nova" w:cstheme="minorHAnsi"/>
          <w:b/>
          <w:bCs/>
          <w:spacing w:val="-10"/>
          <w:kern w:val="28"/>
          <w:sz w:val="20"/>
          <w:szCs w:val="20"/>
        </w:rPr>
      </w:pPr>
      <w:r w:rsidRPr="00532EC2">
        <w:rPr>
          <w:rFonts w:ascii="Arial Nova" w:eastAsiaTheme="majorEastAsia" w:hAnsi="Arial Nova" w:cstheme="minorHAnsi"/>
          <w:b/>
          <w:bCs/>
          <w:spacing w:val="-10"/>
          <w:kern w:val="28"/>
          <w:sz w:val="20"/>
          <w:szCs w:val="20"/>
        </w:rPr>
        <w:lastRenderedPageBreak/>
        <w:t>Perspectiva medioambiental:</w:t>
      </w:r>
    </w:p>
    <w:p w14:paraId="4852FD67" w14:textId="2C1181CA" w:rsidR="00FB7D8D" w:rsidRPr="00FB7D8D" w:rsidRDefault="00FB7D8D" w:rsidP="00FB7D8D">
      <w:pPr>
        <w:spacing w:line="276" w:lineRule="auto"/>
        <w:jc w:val="both"/>
        <w:rPr>
          <w:rFonts w:ascii="Arial Nova" w:eastAsiaTheme="majorEastAsia" w:hAnsi="Arial Nova" w:cstheme="minorHAnsi"/>
          <w:b/>
          <w:bCs/>
          <w:spacing w:val="-10"/>
          <w:kern w:val="28"/>
          <w:sz w:val="20"/>
          <w:szCs w:val="20"/>
        </w:rPr>
      </w:pPr>
      <w:r>
        <w:rPr>
          <w:rFonts w:ascii="Arial Nova" w:eastAsiaTheme="majorEastAsia" w:hAnsi="Arial Nova" w:cstheme="minorHAnsi"/>
          <w:b/>
          <w:bCs/>
          <w:spacing w:val="-10"/>
          <w:kern w:val="28"/>
          <w:sz w:val="20"/>
          <w:szCs w:val="20"/>
        </w:rPr>
        <w:t xml:space="preserve">Por último, es posible estudiar el efecto que genera el </w:t>
      </w:r>
      <w:proofErr w:type="spellStart"/>
      <w:r>
        <w:rPr>
          <w:rFonts w:ascii="Arial Nova" w:eastAsiaTheme="majorEastAsia" w:hAnsi="Arial Nova" w:cstheme="minorHAnsi"/>
          <w:b/>
          <w:bCs/>
          <w:spacing w:val="-10"/>
          <w:kern w:val="28"/>
          <w:sz w:val="20"/>
          <w:szCs w:val="20"/>
        </w:rPr>
        <w:t>mix</w:t>
      </w:r>
      <w:proofErr w:type="spellEnd"/>
      <w:r>
        <w:rPr>
          <w:rFonts w:ascii="Arial Nova" w:eastAsiaTheme="majorEastAsia" w:hAnsi="Arial Nova" w:cstheme="minorHAnsi"/>
          <w:b/>
          <w:bCs/>
          <w:spacing w:val="-10"/>
          <w:kern w:val="28"/>
          <w:sz w:val="20"/>
          <w:szCs w:val="20"/>
        </w:rPr>
        <w:t xml:space="preserve"> energético en el medio ambiente, especialmente en cuestiones de gases de efecto invernadero. Por este motivo, este apartado tiene por objetivo cuantificar la huella de carbono de los distintos países europeos en a</w:t>
      </w:r>
      <w:r>
        <w:rPr>
          <w:rFonts w:ascii="Arial Nova" w:hAnsi="Arial Nova"/>
          <w:sz w:val="20"/>
          <w:szCs w:val="20"/>
        </w:rPr>
        <w:t>ño 2018.</w:t>
      </w:r>
    </w:p>
    <w:p w14:paraId="42DF67B6" w14:textId="15B19E02" w:rsidR="00EF3EFA" w:rsidRPr="004D7B7D" w:rsidRDefault="00EF3EFA" w:rsidP="004D7B7D">
      <w:pPr>
        <w:spacing w:line="276" w:lineRule="auto"/>
        <w:jc w:val="both"/>
        <w:rPr>
          <w:rFonts w:ascii="Arial Nova" w:eastAsiaTheme="majorEastAsia" w:hAnsi="Arial Nova" w:cstheme="minorHAnsi"/>
          <w:spacing w:val="-10"/>
          <w:kern w:val="28"/>
          <w:sz w:val="20"/>
          <w:szCs w:val="20"/>
        </w:rPr>
      </w:pPr>
      <w:r w:rsidRPr="004D7B7D">
        <w:rPr>
          <w:rFonts w:ascii="Arial Nova" w:eastAsiaTheme="majorEastAsia" w:hAnsi="Arial Nova" w:cstheme="minorHAnsi"/>
          <w:spacing w:val="-10"/>
          <w:kern w:val="28"/>
          <w:sz w:val="20"/>
          <w:szCs w:val="20"/>
        </w:rPr>
        <w:t>A partir de los datos recopilados de emisiones de CO2 se puede estudiar el mercado eléctrico desde una perspectiva medioambiental. Para ello se</w:t>
      </w:r>
      <w:r w:rsidR="004D7B7D" w:rsidRPr="004D7B7D">
        <w:rPr>
          <w:rFonts w:ascii="Arial Nova" w:eastAsiaTheme="majorEastAsia" w:hAnsi="Arial Nova" w:cstheme="minorHAnsi"/>
          <w:spacing w:val="-10"/>
          <w:kern w:val="28"/>
          <w:sz w:val="20"/>
          <w:szCs w:val="20"/>
        </w:rPr>
        <w:t xml:space="preserve"> pueden graficar los siguientes parámetros:</w:t>
      </w:r>
    </w:p>
    <w:p w14:paraId="6A0DDD5E" w14:textId="7EB530A5" w:rsidR="004D7B7D" w:rsidRPr="004D7B7D" w:rsidRDefault="00FB7D8D" w:rsidP="004D7B7D">
      <w:pPr>
        <w:pStyle w:val="Prrafodelista"/>
        <w:numPr>
          <w:ilvl w:val="0"/>
          <w:numId w:val="7"/>
        </w:numPr>
        <w:spacing w:line="276" w:lineRule="auto"/>
        <w:jc w:val="both"/>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Mapa con la intensidad de emisiones de CO2 de los países europeos.</w:t>
      </w:r>
    </w:p>
    <w:p w14:paraId="15073E35" w14:textId="4A8427AD" w:rsidR="004D7B7D" w:rsidRDefault="00FB7D8D" w:rsidP="004D7B7D">
      <w:pPr>
        <w:pStyle w:val="Prrafodelista"/>
        <w:numPr>
          <w:ilvl w:val="0"/>
          <w:numId w:val="7"/>
        </w:numPr>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Comparación de la intensidad de emisiones y potencia generada de distintos países</w:t>
      </w:r>
      <w:r w:rsidR="009020F7" w:rsidRPr="009020F7">
        <w:rPr>
          <w:rFonts w:ascii="Arial Nova" w:eastAsiaTheme="majorEastAsia" w:hAnsi="Arial Nova" w:cstheme="minorHAnsi"/>
          <w:spacing w:val="-10"/>
          <w:kern w:val="28"/>
          <w:sz w:val="20"/>
          <w:szCs w:val="20"/>
        </w:rPr>
        <w:t>.</w:t>
      </w:r>
      <w:r>
        <w:rPr>
          <w:rFonts w:ascii="Arial Nova" w:eastAsiaTheme="majorEastAsia" w:hAnsi="Arial Nova" w:cstheme="minorHAnsi"/>
          <w:spacing w:val="-10"/>
          <w:kern w:val="28"/>
          <w:sz w:val="20"/>
          <w:szCs w:val="20"/>
        </w:rPr>
        <w:t xml:space="preserve"> </w:t>
      </w:r>
    </w:p>
    <w:p w14:paraId="7D99CF51" w14:textId="4EC63426" w:rsidR="00B02811" w:rsidRPr="009020F7" w:rsidRDefault="00B02811" w:rsidP="004D7B7D">
      <w:pPr>
        <w:pStyle w:val="Prrafodelista"/>
        <w:numPr>
          <w:ilvl w:val="0"/>
          <w:numId w:val="7"/>
        </w:numPr>
        <w:rPr>
          <w:rFonts w:ascii="Arial Nova" w:eastAsiaTheme="majorEastAsia" w:hAnsi="Arial Nova" w:cstheme="minorHAnsi"/>
          <w:spacing w:val="-10"/>
          <w:kern w:val="28"/>
          <w:sz w:val="20"/>
          <w:szCs w:val="20"/>
        </w:rPr>
      </w:pPr>
      <w:r>
        <w:rPr>
          <w:rFonts w:ascii="Arial Nova" w:eastAsiaTheme="majorEastAsia" w:hAnsi="Arial Nova" w:cstheme="minorHAnsi"/>
          <w:spacing w:val="-10"/>
          <w:kern w:val="28"/>
          <w:sz w:val="20"/>
          <w:szCs w:val="20"/>
        </w:rPr>
        <w:t xml:space="preserve">Emisiones por día y hora para identificar las horas en las que más se contamina. Por ejemplo, utilizando un </w:t>
      </w:r>
      <w:proofErr w:type="spellStart"/>
      <w:r>
        <w:rPr>
          <w:rFonts w:ascii="Arial Nova" w:eastAsiaTheme="majorEastAsia" w:hAnsi="Arial Nova" w:cstheme="minorHAnsi"/>
          <w:spacing w:val="-10"/>
          <w:kern w:val="28"/>
          <w:sz w:val="20"/>
          <w:szCs w:val="20"/>
        </w:rPr>
        <w:t>heat</w:t>
      </w:r>
      <w:proofErr w:type="spellEnd"/>
      <w:r>
        <w:rPr>
          <w:rFonts w:ascii="Arial Nova" w:eastAsiaTheme="majorEastAsia" w:hAnsi="Arial Nova" w:cstheme="minorHAnsi"/>
          <w:spacing w:val="-10"/>
          <w:kern w:val="28"/>
          <w:sz w:val="20"/>
          <w:szCs w:val="20"/>
        </w:rPr>
        <w:t xml:space="preserve"> </w:t>
      </w:r>
      <w:proofErr w:type="spellStart"/>
      <w:r>
        <w:rPr>
          <w:rFonts w:ascii="Arial Nova" w:eastAsiaTheme="majorEastAsia" w:hAnsi="Arial Nova" w:cstheme="minorHAnsi"/>
          <w:spacing w:val="-10"/>
          <w:kern w:val="28"/>
          <w:sz w:val="20"/>
          <w:szCs w:val="20"/>
        </w:rPr>
        <w:t>map</w:t>
      </w:r>
      <w:proofErr w:type="spellEnd"/>
      <w:r>
        <w:rPr>
          <w:rFonts w:ascii="Arial Nova" w:eastAsiaTheme="majorEastAsia" w:hAnsi="Arial Nova" w:cstheme="minorHAnsi"/>
          <w:spacing w:val="-10"/>
          <w:kern w:val="28"/>
          <w:sz w:val="20"/>
          <w:szCs w:val="20"/>
        </w:rPr>
        <w:t xml:space="preserve"> con los días en el eje y </w:t>
      </w:r>
      <w:proofErr w:type="spellStart"/>
      <w:r>
        <w:rPr>
          <w:rFonts w:ascii="Arial Nova" w:eastAsiaTheme="majorEastAsia" w:hAnsi="Arial Nova" w:cstheme="minorHAnsi"/>
          <w:spacing w:val="-10"/>
          <w:kern w:val="28"/>
          <w:sz w:val="20"/>
          <w:szCs w:val="20"/>
        </w:rPr>
        <w:t>y</w:t>
      </w:r>
      <w:proofErr w:type="spellEnd"/>
      <w:r>
        <w:rPr>
          <w:rFonts w:ascii="Arial Nova" w:eastAsiaTheme="majorEastAsia" w:hAnsi="Arial Nova" w:cstheme="minorHAnsi"/>
          <w:spacing w:val="-10"/>
          <w:kern w:val="28"/>
          <w:sz w:val="20"/>
          <w:szCs w:val="20"/>
        </w:rPr>
        <w:t xml:space="preserve"> las horas en el eje x.</w:t>
      </w:r>
    </w:p>
    <w:sectPr w:rsidR="00B02811" w:rsidRPr="009020F7" w:rsidSect="00DD4752">
      <w:head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FE37F" w14:textId="77777777" w:rsidR="00DD4752" w:rsidRDefault="00DD4752" w:rsidP="009C36D5">
      <w:pPr>
        <w:spacing w:after="0" w:line="240" w:lineRule="auto"/>
      </w:pPr>
      <w:r>
        <w:separator/>
      </w:r>
    </w:p>
  </w:endnote>
  <w:endnote w:type="continuationSeparator" w:id="0">
    <w:p w14:paraId="7A026F0C" w14:textId="77777777" w:rsidR="00DD4752" w:rsidRDefault="00DD4752" w:rsidP="009C3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764CB" w14:textId="77777777" w:rsidR="00DD4752" w:rsidRDefault="00DD4752" w:rsidP="009C36D5">
      <w:pPr>
        <w:spacing w:after="0" w:line="240" w:lineRule="auto"/>
      </w:pPr>
      <w:r>
        <w:separator/>
      </w:r>
    </w:p>
  </w:footnote>
  <w:footnote w:type="continuationSeparator" w:id="0">
    <w:p w14:paraId="27243D79" w14:textId="77777777" w:rsidR="00DD4752" w:rsidRDefault="00DD4752" w:rsidP="009C3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010F8" w14:textId="2E0BAAC2" w:rsidR="009C36D5" w:rsidRPr="00DB299D" w:rsidRDefault="009C36D5" w:rsidP="009C36D5">
    <w:pPr>
      <w:pStyle w:val="Encabezado"/>
      <w:tabs>
        <w:tab w:val="clear" w:pos="4252"/>
      </w:tabs>
      <w:rPr>
        <w:rFonts w:ascii="Arial Nova" w:hAnsi="Arial Nova"/>
        <w:sz w:val="20"/>
        <w:szCs w:val="20"/>
      </w:rPr>
    </w:pPr>
    <w:r w:rsidRPr="00DB299D">
      <w:rPr>
        <w:rFonts w:ascii="Arial Nova" w:hAnsi="Arial Nova"/>
        <w:sz w:val="20"/>
        <w:szCs w:val="20"/>
      </w:rPr>
      <w:t>Alumno: Javier Orive Soto</w:t>
    </w:r>
    <w:r>
      <w:tab/>
    </w:r>
    <w:r w:rsidR="00357B03">
      <w:rPr>
        <w:noProof/>
      </w:rPr>
      <w:drawing>
        <wp:inline distT="0" distB="0" distL="0" distR="0" wp14:anchorId="47783417" wp14:editId="63FEB5C9">
          <wp:extent cx="360000" cy="360000"/>
          <wp:effectExtent l="0" t="0" r="2540" b="2540"/>
          <wp:docPr id="2059167944" name="Imagen 1" descr="Texto, 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67944" name="Imagen 1" descr="Texto, Logotip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14:paraId="050A1EAF" w14:textId="77777777" w:rsidR="00630CC3" w:rsidRDefault="00630CC3" w:rsidP="009C36D5">
    <w:pPr>
      <w:pStyle w:val="Encabezado"/>
      <w:tabs>
        <w:tab w:val="clear" w:pos="425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F659E"/>
    <w:multiLevelType w:val="hybridMultilevel"/>
    <w:tmpl w:val="24DE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E7B7B"/>
    <w:multiLevelType w:val="hybridMultilevel"/>
    <w:tmpl w:val="EC3EC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A41971"/>
    <w:multiLevelType w:val="hybridMultilevel"/>
    <w:tmpl w:val="75024C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5C2647"/>
    <w:multiLevelType w:val="hybridMultilevel"/>
    <w:tmpl w:val="6D5C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63C32"/>
    <w:multiLevelType w:val="hybridMultilevel"/>
    <w:tmpl w:val="220686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840730"/>
    <w:multiLevelType w:val="hybridMultilevel"/>
    <w:tmpl w:val="DB525CC6"/>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577576F3"/>
    <w:multiLevelType w:val="hybridMultilevel"/>
    <w:tmpl w:val="0F3849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D21144"/>
    <w:multiLevelType w:val="hybridMultilevel"/>
    <w:tmpl w:val="32DEC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E31894"/>
    <w:multiLevelType w:val="hybridMultilevel"/>
    <w:tmpl w:val="500A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F12D2"/>
    <w:multiLevelType w:val="hybridMultilevel"/>
    <w:tmpl w:val="84B8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836311">
    <w:abstractNumId w:val="2"/>
  </w:num>
  <w:num w:numId="2" w16cid:durableId="1061249514">
    <w:abstractNumId w:val="1"/>
  </w:num>
  <w:num w:numId="3" w16cid:durableId="475226300">
    <w:abstractNumId w:val="7"/>
  </w:num>
  <w:num w:numId="4" w16cid:durableId="1286816349">
    <w:abstractNumId w:val="4"/>
  </w:num>
  <w:num w:numId="5" w16cid:durableId="569465286">
    <w:abstractNumId w:val="6"/>
  </w:num>
  <w:num w:numId="6" w16cid:durableId="726148202">
    <w:abstractNumId w:val="5"/>
  </w:num>
  <w:num w:numId="7" w16cid:durableId="228274082">
    <w:abstractNumId w:val="0"/>
  </w:num>
  <w:num w:numId="8" w16cid:durableId="1550678815">
    <w:abstractNumId w:val="3"/>
  </w:num>
  <w:num w:numId="9" w16cid:durableId="593783143">
    <w:abstractNumId w:val="9"/>
  </w:num>
  <w:num w:numId="10" w16cid:durableId="11489841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44"/>
    <w:rsid w:val="00040AA7"/>
    <w:rsid w:val="000E2019"/>
    <w:rsid w:val="000E41F4"/>
    <w:rsid w:val="000F411F"/>
    <w:rsid w:val="001123EE"/>
    <w:rsid w:val="001507EF"/>
    <w:rsid w:val="00162A55"/>
    <w:rsid w:val="001A60DB"/>
    <w:rsid w:val="001B7C3A"/>
    <w:rsid w:val="001D726D"/>
    <w:rsid w:val="00215BAD"/>
    <w:rsid w:val="002751BC"/>
    <w:rsid w:val="002C0820"/>
    <w:rsid w:val="002C0AB4"/>
    <w:rsid w:val="002D1151"/>
    <w:rsid w:val="002F7029"/>
    <w:rsid w:val="00357B03"/>
    <w:rsid w:val="00377760"/>
    <w:rsid w:val="003E3084"/>
    <w:rsid w:val="00491784"/>
    <w:rsid w:val="004A27E5"/>
    <w:rsid w:val="004D7B7D"/>
    <w:rsid w:val="004F28EE"/>
    <w:rsid w:val="00532EC2"/>
    <w:rsid w:val="00576133"/>
    <w:rsid w:val="0059691D"/>
    <w:rsid w:val="005A5107"/>
    <w:rsid w:val="005A792E"/>
    <w:rsid w:val="005B10A1"/>
    <w:rsid w:val="00630CC3"/>
    <w:rsid w:val="00681F05"/>
    <w:rsid w:val="00686391"/>
    <w:rsid w:val="006947A5"/>
    <w:rsid w:val="006B7287"/>
    <w:rsid w:val="006F6850"/>
    <w:rsid w:val="007533EB"/>
    <w:rsid w:val="007543B6"/>
    <w:rsid w:val="00773176"/>
    <w:rsid w:val="007836C2"/>
    <w:rsid w:val="007E053D"/>
    <w:rsid w:val="007F1335"/>
    <w:rsid w:val="00827D48"/>
    <w:rsid w:val="00865F3D"/>
    <w:rsid w:val="0086649F"/>
    <w:rsid w:val="00874C00"/>
    <w:rsid w:val="008865BD"/>
    <w:rsid w:val="0089245D"/>
    <w:rsid w:val="008D26B9"/>
    <w:rsid w:val="008F7D9B"/>
    <w:rsid w:val="009020F7"/>
    <w:rsid w:val="00956744"/>
    <w:rsid w:val="009576DD"/>
    <w:rsid w:val="00977A9D"/>
    <w:rsid w:val="00984721"/>
    <w:rsid w:val="009976FD"/>
    <w:rsid w:val="009C36D5"/>
    <w:rsid w:val="00A45849"/>
    <w:rsid w:val="00A8705D"/>
    <w:rsid w:val="00A935FE"/>
    <w:rsid w:val="00A96CBA"/>
    <w:rsid w:val="00B02811"/>
    <w:rsid w:val="00B2022E"/>
    <w:rsid w:val="00B4005E"/>
    <w:rsid w:val="00BE0E2F"/>
    <w:rsid w:val="00BF6C47"/>
    <w:rsid w:val="00C24518"/>
    <w:rsid w:val="00C615C6"/>
    <w:rsid w:val="00C64434"/>
    <w:rsid w:val="00CC3CAE"/>
    <w:rsid w:val="00D05E8C"/>
    <w:rsid w:val="00D15D96"/>
    <w:rsid w:val="00D43852"/>
    <w:rsid w:val="00D50D2B"/>
    <w:rsid w:val="00D65E9A"/>
    <w:rsid w:val="00D905AA"/>
    <w:rsid w:val="00D97E4C"/>
    <w:rsid w:val="00DA689A"/>
    <w:rsid w:val="00DB299D"/>
    <w:rsid w:val="00DD17C0"/>
    <w:rsid w:val="00DD4752"/>
    <w:rsid w:val="00E20B7B"/>
    <w:rsid w:val="00E539C7"/>
    <w:rsid w:val="00EB2CBE"/>
    <w:rsid w:val="00EF3EFA"/>
    <w:rsid w:val="00EF4EC2"/>
    <w:rsid w:val="00F43404"/>
    <w:rsid w:val="00F53D10"/>
    <w:rsid w:val="00F56C29"/>
    <w:rsid w:val="00F82FAA"/>
    <w:rsid w:val="00FA414D"/>
    <w:rsid w:val="00FB7D8D"/>
    <w:rsid w:val="00FC5A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DC0B6"/>
  <w15:chartTrackingRefBased/>
  <w15:docId w15:val="{88F5F872-2B66-4E9A-851F-14C33203B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1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1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6CBA"/>
    <w:rPr>
      <w:color w:val="0000FF"/>
      <w:u w:val="single"/>
    </w:rPr>
  </w:style>
  <w:style w:type="character" w:styleId="Mencinsinresolver">
    <w:name w:val="Unresolved Mention"/>
    <w:basedOn w:val="Fuentedeprrafopredeter"/>
    <w:uiPriority w:val="99"/>
    <w:semiHidden/>
    <w:unhideWhenUsed/>
    <w:rsid w:val="00A96CBA"/>
    <w:rPr>
      <w:color w:val="605E5C"/>
      <w:shd w:val="clear" w:color="auto" w:fill="E1DFDD"/>
    </w:rPr>
  </w:style>
  <w:style w:type="paragraph" w:styleId="Ttulo">
    <w:name w:val="Title"/>
    <w:basedOn w:val="Normal"/>
    <w:next w:val="Normal"/>
    <w:link w:val="TtuloCar"/>
    <w:uiPriority w:val="10"/>
    <w:qFormat/>
    <w:rsid w:val="009C36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6D5"/>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C36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36D5"/>
  </w:style>
  <w:style w:type="paragraph" w:styleId="Piedepgina">
    <w:name w:val="footer"/>
    <w:basedOn w:val="Normal"/>
    <w:link w:val="PiedepginaCar"/>
    <w:uiPriority w:val="99"/>
    <w:unhideWhenUsed/>
    <w:rsid w:val="009C36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36D5"/>
  </w:style>
  <w:style w:type="character" w:customStyle="1" w:styleId="Ttulo1Car">
    <w:name w:val="Título 1 Car"/>
    <w:basedOn w:val="Fuentedeprrafopredeter"/>
    <w:link w:val="Ttulo1"/>
    <w:uiPriority w:val="9"/>
    <w:rsid w:val="002D115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115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0F411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F411F"/>
    <w:rPr>
      <w:rFonts w:eastAsiaTheme="minorEastAsia"/>
      <w:color w:val="5A5A5A" w:themeColor="text1" w:themeTint="A5"/>
      <w:spacing w:val="15"/>
    </w:rPr>
  </w:style>
  <w:style w:type="paragraph" w:styleId="Prrafodelista">
    <w:name w:val="List Paragraph"/>
    <w:basedOn w:val="Normal"/>
    <w:uiPriority w:val="34"/>
    <w:qFormat/>
    <w:rsid w:val="000F411F"/>
    <w:pPr>
      <w:ind w:left="720"/>
      <w:contextualSpacing/>
    </w:pPr>
  </w:style>
  <w:style w:type="paragraph" w:styleId="Descripcin">
    <w:name w:val="caption"/>
    <w:basedOn w:val="Normal"/>
    <w:next w:val="Normal"/>
    <w:uiPriority w:val="35"/>
    <w:unhideWhenUsed/>
    <w:qFormat/>
    <w:rsid w:val="00C24518"/>
    <w:pPr>
      <w:spacing w:after="200" w:line="240" w:lineRule="auto"/>
    </w:pPr>
    <w:rPr>
      <w:i/>
      <w:iCs/>
      <w:color w:val="44546A" w:themeColor="text2"/>
      <w:sz w:val="18"/>
      <w:szCs w:val="18"/>
    </w:rPr>
  </w:style>
  <w:style w:type="character" w:customStyle="1" w:styleId="title-text">
    <w:name w:val="title-text"/>
    <w:basedOn w:val="Fuentedeprrafopredeter"/>
    <w:rsid w:val="00C64434"/>
  </w:style>
  <w:style w:type="table" w:styleId="Tablaconcuadrcula">
    <w:name w:val="Table Grid"/>
    <w:basedOn w:val="Tablanormal"/>
    <w:uiPriority w:val="39"/>
    <w:rsid w:val="00C64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89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ios.ree.e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zenodo.org/records/560307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AB224-CF66-492A-AA78-D9F78BA7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1252</Words>
  <Characters>7142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ORIVE SOTO, Javier</dc:creator>
  <cp:keywords/>
  <dc:description/>
  <cp:lastModifiedBy>Javier Orive</cp:lastModifiedBy>
  <cp:revision>75</cp:revision>
  <cp:lastPrinted>2024-04-17T23:18:00Z</cp:lastPrinted>
  <dcterms:created xsi:type="dcterms:W3CDTF">2024-03-19T13:51:00Z</dcterms:created>
  <dcterms:modified xsi:type="dcterms:W3CDTF">2024-04-17T23:19:00Z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c77b8c-8c8e-44b5-b5e9-663047558e9d_Enabled">
    <vt:lpwstr>true</vt:lpwstr>
  </property>
  <property fmtid="{D5CDD505-2E9C-101B-9397-08002B2CF9AE}" pid="3" name="MSIP_Label_cfc77b8c-8c8e-44b5-b5e9-663047558e9d_SetDate">
    <vt:lpwstr>2024-03-19T13:52:02Z</vt:lpwstr>
  </property>
  <property fmtid="{D5CDD505-2E9C-101B-9397-08002B2CF9AE}" pid="4" name="MSIP_Label_cfc77b8c-8c8e-44b5-b5e9-663047558e9d_Method">
    <vt:lpwstr>Privileged</vt:lpwstr>
  </property>
  <property fmtid="{D5CDD505-2E9C-101B-9397-08002B2CF9AE}" pid="5" name="MSIP_Label_cfc77b8c-8c8e-44b5-b5e9-663047558e9d_Name">
    <vt:lpwstr>No propietaria</vt:lpwstr>
  </property>
  <property fmtid="{D5CDD505-2E9C-101B-9397-08002B2CF9AE}" pid="6" name="MSIP_Label_cfc77b8c-8c8e-44b5-b5e9-663047558e9d_SiteId">
    <vt:lpwstr>b80f1d7b-2c9c-4bfa-89a5-542d23bb3df7</vt:lpwstr>
  </property>
  <property fmtid="{D5CDD505-2E9C-101B-9397-08002B2CF9AE}" pid="7" name="MSIP_Label_cfc77b8c-8c8e-44b5-b5e9-663047558e9d_ActionId">
    <vt:lpwstr>fe4a3e0b-d59d-4512-a960-5efbc340f342</vt:lpwstr>
  </property>
  <property fmtid="{D5CDD505-2E9C-101B-9397-08002B2CF9AE}" pid="8" name="MSIP_Label_cfc77b8c-8c8e-44b5-b5e9-663047558e9d_ContentBits">
    <vt:lpwstr>0</vt:lpwstr>
  </property>
</Properties>
</file>