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ACTIVIDAD A+S – ETAPA 6: CELEBRACIÓN</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1"/>
        <w:gridCol w:w="2804"/>
        <w:gridCol w:w="5045"/>
        <w:tblGridChange w:id="0">
          <w:tblGrid>
            <w:gridCol w:w="1501"/>
            <w:gridCol w:w="2804"/>
            <w:gridCol w:w="5045"/>
          </w:tblGrid>
        </w:tblGridChange>
      </w:tblGrid>
      <w:tr>
        <w:trPr>
          <w:cantSplit w:val="0"/>
          <w:tblHeader w:val="0"/>
        </w:trPr>
        <w:tc>
          <w:tcPr/>
          <w:p w:rsidR="00000000" w:rsidDel="00000000" w:rsidP="00000000" w:rsidRDefault="00000000" w:rsidRPr="00000000" w14:paraId="000000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ESCUELA:</w:t>
            </w:r>
          </w:p>
        </w:tc>
        <w:tc>
          <w:tcPr>
            <w:gridSpan w:val="2"/>
          </w:tcPr>
          <w:p w:rsidR="00000000" w:rsidDel="00000000" w:rsidP="00000000" w:rsidRDefault="00000000" w:rsidRPr="00000000" w14:paraId="00000004">
            <w:pPr>
              <w:rPr>
                <w:rFonts w:ascii="Calibri" w:cs="Calibri" w:eastAsia="Calibri" w:hAnsi="Calibri"/>
                <w:sz w:val="22"/>
                <w:szCs w:val="22"/>
              </w:rPr>
            </w:pPr>
            <w:r w:rsidDel="00000000" w:rsidR="00000000" w:rsidRPr="00000000">
              <w:rPr>
                <w:sz w:val="22"/>
                <w:szCs w:val="22"/>
                <w:rtl w:val="0"/>
              </w:rPr>
              <w:t xml:space="preserve">Instituto AIEP de la universidad andrés bello</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CARRERA:</w:t>
            </w:r>
          </w:p>
        </w:tc>
        <w:tc>
          <w:tcPr>
            <w:gridSpan w:val="2"/>
          </w:tcPr>
          <w:p w:rsidR="00000000" w:rsidDel="00000000" w:rsidP="00000000" w:rsidRDefault="00000000" w:rsidRPr="00000000" w14:paraId="00000007">
            <w:pPr>
              <w:rPr>
                <w:rFonts w:ascii="Calibri" w:cs="Calibri" w:eastAsia="Calibri" w:hAnsi="Calibri"/>
                <w:sz w:val="22"/>
                <w:szCs w:val="22"/>
              </w:rPr>
            </w:pPr>
            <w:r w:rsidDel="00000000" w:rsidR="00000000" w:rsidRPr="00000000">
              <w:rPr>
                <w:sz w:val="22"/>
                <w:szCs w:val="22"/>
                <w:rtl w:val="0"/>
              </w:rPr>
              <w:t xml:space="preserve">Ingeniería en ejecución informática</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ASIGNATURA:</w:t>
            </w:r>
          </w:p>
        </w:tc>
        <w:tc>
          <w:tcPr>
            <w:gridSpan w:val="2"/>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sz w:val="22"/>
                <w:szCs w:val="22"/>
                <w:rtl w:val="0"/>
              </w:rPr>
              <w:t xml:space="preserve">Arquitectura de software</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NRC:</w:t>
            </w:r>
          </w:p>
        </w:tc>
        <w:tc>
          <w:tcPr>
            <w:gridSpan w:val="2"/>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sz w:val="22"/>
                <w:szCs w:val="22"/>
                <w:rtl w:val="0"/>
              </w:rPr>
              <w:t xml:space="preserve">4723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NOMBRES INTEGRANTES DEL EQUIPO A+S:</w:t>
            </w:r>
          </w:p>
        </w:tc>
        <w:tc>
          <w:tcPr/>
          <w:p w:rsidR="00000000" w:rsidDel="00000000" w:rsidP="00000000" w:rsidRDefault="00000000" w:rsidRPr="00000000" w14:paraId="00000011">
            <w:pPr>
              <w:numPr>
                <w:ilvl w:val="0"/>
                <w:numId w:val="3"/>
              </w:numPr>
              <w:ind w:left="720" w:hanging="360"/>
              <w:rPr>
                <w:rFonts w:ascii="Calibri" w:cs="Calibri" w:eastAsia="Calibri" w:hAnsi="Calibri"/>
                <w:sz w:val="22"/>
                <w:szCs w:val="22"/>
                <w:u w:val="none"/>
              </w:rPr>
            </w:pPr>
            <w:r w:rsidDel="00000000" w:rsidR="00000000" w:rsidRPr="00000000">
              <w:rPr>
                <w:sz w:val="22"/>
                <w:szCs w:val="22"/>
                <w:rtl w:val="0"/>
              </w:rPr>
              <w:t xml:space="preserve">Javier Pizarro</w:t>
            </w:r>
            <w:r w:rsidDel="00000000" w:rsidR="00000000" w:rsidRPr="00000000">
              <w:rPr>
                <w:rtl w:val="0"/>
              </w:rPr>
            </w:r>
          </w:p>
          <w:p w:rsidR="00000000" w:rsidDel="00000000" w:rsidP="00000000" w:rsidRDefault="00000000" w:rsidRPr="00000000" w14:paraId="00000012">
            <w:pPr>
              <w:numPr>
                <w:ilvl w:val="0"/>
                <w:numId w:val="3"/>
              </w:numPr>
              <w:ind w:left="720" w:hanging="360"/>
              <w:rPr>
                <w:rFonts w:ascii="Calibri" w:cs="Calibri" w:eastAsia="Calibri" w:hAnsi="Calibri"/>
                <w:sz w:val="22"/>
                <w:szCs w:val="22"/>
                <w:u w:val="none"/>
              </w:rPr>
            </w:pPr>
            <w:r w:rsidDel="00000000" w:rsidR="00000000" w:rsidRPr="00000000">
              <w:rPr>
                <w:sz w:val="22"/>
                <w:szCs w:val="22"/>
                <w:rtl w:val="0"/>
              </w:rPr>
              <w:t xml:space="preserve">Daniel Bozo</w:t>
            </w:r>
            <w:r w:rsidDel="00000000" w:rsidR="00000000" w:rsidRPr="00000000">
              <w:rPr>
                <w:rtl w:val="0"/>
              </w:rPr>
            </w:r>
          </w:p>
          <w:p w:rsidR="00000000" w:rsidDel="00000000" w:rsidP="00000000" w:rsidRDefault="00000000" w:rsidRPr="00000000" w14:paraId="00000013">
            <w:pPr>
              <w:numPr>
                <w:ilvl w:val="0"/>
                <w:numId w:val="3"/>
              </w:numPr>
              <w:ind w:left="720" w:hanging="360"/>
              <w:rPr>
                <w:rFonts w:ascii="Calibri" w:cs="Calibri" w:eastAsia="Calibri" w:hAnsi="Calibri"/>
                <w:sz w:val="22"/>
                <w:szCs w:val="22"/>
                <w:u w:val="none"/>
              </w:rPr>
            </w:pPr>
            <w:r w:rsidDel="00000000" w:rsidR="00000000" w:rsidRPr="00000000">
              <w:rPr>
                <w:sz w:val="22"/>
                <w:szCs w:val="22"/>
                <w:rtl w:val="0"/>
              </w:rPr>
              <w:t xml:space="preserve">Johao Silva</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Reflexión de la retroalimentación recibida en la Celebración: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base a la retroalimentación obtenida de los socios comunitarios y beneficiarios durante el acto de celebración, redactar una reflexión que dé respuesta a las siguientes preguntas:</w:t>
            </w:r>
          </w:p>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solución que entregamos sirvió para solucionar o mitigar la necesidad del socio comunitario y beneficiarios?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solución fue de calidad?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podríamos haber hecho mejor?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otras soluciones podríamos implementar en el futuro para seguir mitigando esta necesidad?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otros aportes podríamos realizar a su comunidad en nuestro rol técnico-profesional?</w:t>
            </w:r>
          </w:p>
          <w:p w:rsidR="00000000" w:rsidDel="00000000" w:rsidP="00000000" w:rsidRDefault="00000000" w:rsidRPr="00000000" w14:paraId="00000021">
            <w:pPr>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mínimo 200 palabras y máximo 500 palabras).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240" w:before="240" w:lineRule="auto"/>
              <w:rPr>
                <w:sz w:val="22"/>
                <w:szCs w:val="22"/>
              </w:rPr>
            </w:pPr>
            <w:r w:rsidDel="00000000" w:rsidR="00000000" w:rsidRPr="00000000">
              <w:rPr>
                <w:sz w:val="22"/>
                <w:szCs w:val="22"/>
                <w:rtl w:val="0"/>
              </w:rPr>
              <w:t xml:space="preserve">Aclaramos que esta celebración también fue simulada: la representamos como equipo, retomando el mismo perfil de socio comunitario y beneficiarios que usamos en la Etapa 3, para cerrar el proceso de aprendizaje más servicio con una instancia de retroalimentación.</w:t>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En la celebración simulada, los feriantes coincidieron en que Ushoppa sí ayuda a mitigar la necesidad detectada al inicio: tener un catálogo centralizado con control de stock reduce la dependencia de responder cada mensaje de WhatsApp o Instagram uno por uno, y les permite dejar de anotar el stock a mano en cuaderno. Sobre la calidad de la solución, la valoraron como adecuada para el nivel de uso que tienen hoy, sobre todo porque no exige saber redactar bien una publicación para vender, aunque dejaron claro que la calidad real solo se confirma cuando la usen en su operación diaria y no en una demostración.</w:t>
            </w:r>
          </w:p>
          <w:p w:rsidR="00000000" w:rsidDel="00000000" w:rsidP="00000000" w:rsidRDefault="00000000" w:rsidRPr="00000000" w14:paraId="00000027">
            <w:pPr>
              <w:spacing w:after="240" w:before="240" w:lineRule="auto"/>
              <w:rPr>
                <w:sz w:val="22"/>
                <w:szCs w:val="22"/>
              </w:rPr>
            </w:pPr>
            <w:r w:rsidDel="00000000" w:rsidR="00000000" w:rsidRPr="00000000">
              <w:rPr>
                <w:sz w:val="22"/>
                <w:szCs w:val="22"/>
                <w:rtl w:val="0"/>
              </w:rPr>
              <w:t xml:space="preserve">Entre lo que podríamos haber hecho mejor, coincidimos como equipo en que la capacitación presencial debió planificarse desde el diseño y no agregarse recién en la etapa de acercamiento, y en que faltó probar el registro de productos desde el celular con usuarios reales antes de la entrega final, ya que la mayoría de los feriantes no tiene computador propio.</w:t>
            </w:r>
          </w:p>
          <w:p w:rsidR="00000000" w:rsidDel="00000000" w:rsidP="00000000" w:rsidRDefault="00000000" w:rsidRPr="00000000" w14:paraId="00000028">
            <w:pPr>
              <w:spacing w:after="240" w:before="240" w:lineRule="auto"/>
              <w:rPr>
                <w:sz w:val="22"/>
                <w:szCs w:val="22"/>
              </w:rPr>
            </w:pPr>
            <w:r w:rsidDel="00000000" w:rsidR="00000000" w:rsidRPr="00000000">
              <w:rPr>
                <w:sz w:val="22"/>
                <w:szCs w:val="22"/>
                <w:rtl w:val="0"/>
              </w:rPr>
              <w:t xml:space="preserve">Como soluciones futuras, vemos valor en agregar avisos automáticos de stock bajo, mantener WhatsApp como canal de respaldo durante la adopción tal como pidieron los socios en la Etapa 3, y sumar un reporte simple de ventas para que cada emprendedor entienda su propio desempeño sin depender de un tercero que se lo explique.</w:t>
            </w:r>
          </w:p>
          <w:p w:rsidR="00000000" w:rsidDel="00000000" w:rsidP="00000000" w:rsidRDefault="00000000" w:rsidRPr="00000000" w14:paraId="00000029">
            <w:pPr>
              <w:spacing w:after="240" w:before="240" w:lineRule="auto"/>
              <w:rPr>
                <w:rFonts w:ascii="Calibri" w:cs="Calibri" w:eastAsia="Calibri" w:hAnsi="Calibri"/>
                <w:sz w:val="22"/>
                <w:szCs w:val="22"/>
              </w:rPr>
            </w:pPr>
            <w:r w:rsidDel="00000000" w:rsidR="00000000" w:rsidRPr="00000000">
              <w:rPr>
                <w:sz w:val="22"/>
                <w:szCs w:val="22"/>
                <w:rtl w:val="0"/>
              </w:rPr>
              <w:t xml:space="preserve">Finalmente, desde nuestro rol técnico-profesional, creemos que el aporte no termina con la entrega del sistema: podemos acompañar con soporte básico durante las primeras semanas de uso y dejar una guía simple, sin lenguaje técnico, para que cualquier integrante de la asociación pueda mantener el catálogo por su cuenta.</w:t>
            </w:r>
            <w:r w:rsidDel="00000000" w:rsidR="00000000" w:rsidRPr="00000000">
              <w:rPr>
                <w:rtl w:val="0"/>
              </w:rPr>
            </w:r>
          </w:p>
        </w:tc>
      </w:tr>
    </w:tbl>
    <w:p w:rsidR="00000000" w:rsidDel="00000000" w:rsidP="00000000" w:rsidRDefault="00000000" w:rsidRPr="00000000" w14:paraId="0000002C">
      <w:pPr>
        <w:rPr>
          <w:rFonts w:ascii="Calibri" w:cs="Calibri" w:eastAsia="Calibri" w:hAnsi="Calibri"/>
          <w:sz w:val="22"/>
          <w:szCs w:val="2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v. 2025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-233678</wp:posOffset>
          </wp:positionV>
          <wp:extent cx="1440000" cy="766800"/>
          <wp:effectExtent b="0" l="0" r="0" t="0"/>
          <wp:wrapSquare wrapText="bothSides" distB="0" distT="0" distL="114300" distR="114300"/>
          <wp:docPr descr="A red and blue logo&#10;&#10;Description automatically generated" id="1" name="image1.png"/>
          <a:graphic>
            <a:graphicData uri="http://schemas.openxmlformats.org/drawingml/2006/picture">
              <pic:pic>
                <pic:nvPicPr>
                  <pic:cNvPr descr="A red and blue logo&#10;&#10;Description automatically generated" id="0" name="image1.png"/>
                  <pic:cNvPicPr preferRelativeResize="0"/>
                </pic:nvPicPr>
                <pic:blipFill>
                  <a:blip r:embed="rId1"/>
                  <a:srcRect b="0" l="0" r="0" t="0"/>
                  <a:stretch>
                    <a:fillRect/>
                  </a:stretch>
                </pic:blipFill>
                <pic:spPr>
                  <a:xfrm>
                    <a:off x="0" y="0"/>
                    <a:ext cx="1440000" cy="766800"/>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VICERRECTORÍA ACADÉMICA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b w:val="1"/>
        <w:bCs w:val="1"/>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