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2026-09-03 13:38</w:t>
      </w:r>
    </w:p>
    <w:p>
      <w:pPr>
        <w:pStyle w:val="Heading1"/>
      </w:pPr>
      <w:r>
        <w:t>Síntesis ejecutiva</w:t>
      </w:r>
    </w:p>
    <w:p>
      <w:r>
        <w:t>Se evaluaron 0 instrumentos o líneas normativas. Desactualizados: 0; revisión necesaria: 0; sin cartografía: 0.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