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Reporte mensual de actualizaciones IPT</w:t>
      </w:r>
    </w:p>
    <w:p>
      <w:r>
        <w:rPr>
          <w:b/>
        </w:rPr>
        <w:t>Departamento de Estudios Inmobiliarios · Transsa</w:t>
        <w:br/>
        <w:t>Período revisado: julio de 2026</w:t>
        <w:br/>
        <w:t>Generado: 2026-08-03 11:05</w:t>
      </w:r>
    </w:p>
    <w:p>
      <w:pPr>
        <w:pStyle w:val="Heading1"/>
      </w:pPr>
      <w:r>
        <w:t>Síntesis ejecutiva</w:t>
      </w:r>
    </w:p>
    <w:p>
      <w:r>
        <w:t>No se identificaron cambios de IPT respaldados por fuentes oficiales indexadas durante el período.</w:t>
      </w:r>
    </w:p>
    <w:p/>
    <w:p>
      <w:r>
        <w:rPr>
          <w:i/>
          <w:sz w:val="17"/>
        </w:rPr>
        <w:t>La revisión automática depende de la indexación pública de las fuentes. Cada antecedente debe verificarse en el acto oficial antes de aplicarlo a un análisis normativo o inmobiliario.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utfit" w:hAnsi="Outfit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utfit" w:hAnsi="Outfit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Outfit" w:hAnsi="Outfit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