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vigencia cartográfica de IPT</w:t>
      </w:r>
    </w:p>
    <w:p>
      <w:r>
        <w:rPr>
          <w:b/>
        </w:rPr>
        <w:t>Departamento de Estudios Inmobiliarios · Transsa</w:t>
        <w:br/>
        <w:t>Generado: 2026-09-03 10:51</w:t>
      </w:r>
    </w:p>
    <w:p>
      <w:pPr>
        <w:pStyle w:val="Heading1"/>
      </w:pPr>
      <w:r>
        <w:t>Síntesis ejecutiva</w:t>
      </w:r>
    </w:p>
    <w:p>
      <w:r>
        <w:t>Se evaluaron 0 instrumentos o líneas normativas. Desactualizados: 0; revisión necesaria: 0; sin cartografía: 0.</w:t>
      </w:r>
    </w:p>
    <w:p>
      <w:r>
        <w:rPr>
          <w:i/>
          <w:sz w:val="17"/>
        </w:rPr>
        <w:t>La evaluación temporal es una alerta de control. La conclusión jurídica y cartográfica definitiva requiere revisar los actos oficiales y, cuando corresponda, comparar espacialmente la modificación con el shape.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utfit" w:hAnsi="Outfit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utfit" w:hAnsi="Outfit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Outfit" w:hAnsi="Outfit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