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Bitácora de decisiones sobre los datos</w:t>
      </w:r>
    </w:p>
    <w:p>
      <w:pPr>
        <w:spacing w:after="60"/>
      </w:pPr>
      <w:r>
        <w:rPr>
          <w:i/>
          <w:iCs/>
          <w:color w:val="595959"/>
          <w:sz w:val="24"/>
          <w:szCs w:val="24"/>
        </w:rPr>
        <w:t xml:space="preserve">Análisis de reingresos hospitalarios mediante selección de variables sobre datos GRD</w:t>
      </w:r>
    </w:p>
    <w:p>
      <w:pPr>
        <w:pBdr>
          <w:bottom w:val="single" w:color="1F3864" w:sz="6" w:space="6"/>
        </w:pBdr>
        <w:spacing w:after="280"/>
      </w:pPr>
      <w:r>
        <w:rPr>
          <w:color w:val="808080"/>
          <w:sz w:val="18"/>
          <w:szCs w:val="18"/>
        </w:rPr>
        <w:t xml:space="preserve">Actualizada al 3 de octubre de 2026 · Versión Word generada a partir de Codigo/docs/bitacora.md</w:t>
      </w:r>
    </w:p>
    <w:p>
      <w:r>
        <w:t xml:space="preserve">Registro de los hallazgos y decisiones tomadas durante el procesamiento de la base GRD. Las entradas se numeran en orden cronológico y se etiquetan con la actividad de la Carta Gantt a la que corresponden. Una entrada no se borra: si una decisión cambia, se agrega una nueva entrada que la reemplaza y se indica en el campo </w:t>
      </w:r>
      <w:r>
        <w:rPr>
          <w:b/>
          <w:bCs/>
        </w:rPr>
        <w:t xml:space="preserve">Estado</w:t>
      </w:r>
      <w:r>
        <w:t xml:space="preserve">.</w:t>
      </w:r>
    </w:p>
    <w:p>
      <w:r>
        <w:t xml:space="preserve">Esta bitácora cubre las actividades 1.2 (exploración y evaluación de calidad) y 2.1 (integración y homogenización). Desde la actividad 2.2, cada actividad lleva su propia bitácora dentro de su carpeta.</w:t>
      </w:r>
    </w:p>
    <w:p>
      <w:r>
        <w:rPr>
          <w:b/>
          <w:bCs/>
        </w:rPr>
        <w:t xml:space="preserve">Tipos de entrada:</w:t>
      </w:r>
      <w:r>
        <w:t xml:space="preserve"> </w:t>
      </w:r>
      <w:r>
        <w:rPr>
          <w:rFonts w:ascii="Consolas" w:cs="Consolas" w:eastAsia="Consolas" w:hAnsi="Consolas"/>
          <w:sz w:val="20"/>
          <w:szCs w:val="20"/>
          <w:shd w:fill="F2F2F2" w:color="auto" w:val="clear"/>
        </w:rPr>
        <w:t xml:space="preserve">H</w:t>
      </w:r>
      <w:r>
        <w:t xml:space="preserve"> = hallazgo (algo que se observó en los datos), </w:t>
      </w:r>
      <w:r>
        <w:rPr>
          <w:rFonts w:ascii="Consolas" w:cs="Consolas" w:eastAsia="Consolas" w:hAnsi="Consolas"/>
          <w:sz w:val="20"/>
          <w:szCs w:val="20"/>
          <w:shd w:fill="F2F2F2" w:color="auto" w:val="clear"/>
        </w:rPr>
        <w:t xml:space="preserve">D</w:t>
      </w:r>
      <w:r>
        <w:t xml:space="preserve"> = decisión (algo que se resolvió hacer), </w:t>
      </w:r>
      <w:r>
        <w:rPr>
          <w:rFonts w:ascii="Consolas" w:cs="Consolas" w:eastAsia="Consolas" w:hAnsi="Consolas"/>
          <w:sz w:val="20"/>
          <w:szCs w:val="20"/>
          <w:shd w:fill="F2F2F2" w:color="auto" w:val="clear"/>
        </w:rPr>
        <w:t xml:space="preserve">C</w:t>
      </w:r>
      <w:r>
        <w:t xml:space="preserve"> = corrección al informe.</w:t>
      </w:r>
    </w:p>
    <w:p>
      <w:r>
        <w:rPr>
          <w:b/>
          <w:bCs/>
        </w:rPr>
        <w:t xml:space="preserve">Estados:</w:t>
      </w:r>
      <w:r>
        <w:t xml:space="preserve"> </w:t>
      </w:r>
      <w:r>
        <w:rPr>
          <w:i/>
          <w:iCs/>
        </w:rPr>
        <w:t xml:space="preserve">Adoptada</w:t>
      </w:r>
      <w:r>
        <w:t xml:space="preserve"> · </w:t>
      </w:r>
      <w:r>
        <w:rPr>
          <w:i/>
          <w:iCs/>
        </w:rPr>
        <w:t xml:space="preserve">Pendiente de validar con profesor guía</w:t>
      </w:r>
      <w:r>
        <w:t xml:space="preserve"> · </w:t>
      </w:r>
      <w:r>
        <w:rPr>
          <w:i/>
          <w:iCs/>
        </w:rPr>
        <w:t xml:space="preserve">Reemplazada por …</w:t>
      </w:r>
    </w:p>
    <w:p>
      <w:pPr>
        <w:pStyle w:val="Heading1"/>
      </w:pPr>
      <w:r>
        <w:t xml:space="preserve">Índice por actividad de la Carta Gantt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3694"/>
        <w:gridCol w:w="5332"/>
      </w:tblGrid>
      <w:tr>
        <w:trPr>
          <w:cantSplit/>
          <w:tblHeader/>
        </w:trPr>
        <w:tc>
          <w:tcPr>
            <w:tcW w:type="dxa" w:w="3694"/>
            <w:shd w:fill="D9E2F3" w:color="auto" w:val="clear"/>
            <w:tcMar>
              <w:top w:type="dxa" w:w="70"/>
              <w:left w:type="dxa" w:w="100"/>
              <w:bottom w:type="dxa" w:w="70"/>
              <w:right w:type="dxa" w:w="100"/>
            </w:tcMar>
            <w:vAlign w:val="center"/>
          </w:tcPr>
          <w:p>
            <w:pPr>
              <w:spacing w:after="0"/>
            </w:pPr>
            <w:r>
              <w:rPr>
                <w:b/>
                <w:bCs/>
                <w:sz w:val="20"/>
                <w:szCs w:val="20"/>
              </w:rPr>
              <w:t xml:space="preserve">Actividad</w:t>
            </w:r>
          </w:p>
        </w:tc>
        <w:tc>
          <w:tcPr>
            <w:tcW w:type="dxa" w:w="5332"/>
            <w:shd w:fill="D9E2F3" w:color="auto" w:val="clear"/>
            <w:tcMar>
              <w:top w:type="dxa" w:w="70"/>
              <w:left w:type="dxa" w:w="100"/>
              <w:bottom w:type="dxa" w:w="70"/>
              <w:right w:type="dxa" w:w="100"/>
            </w:tcMar>
            <w:vAlign w:val="center"/>
          </w:tcPr>
          <w:p>
            <w:pPr>
              <w:spacing w:after="0"/>
            </w:pPr>
            <w:r>
              <w:rPr>
                <w:b/>
                <w:bCs/>
                <w:sz w:val="20"/>
                <w:szCs w:val="20"/>
              </w:rPr>
              <w:t xml:space="preserve">Entradas</w:t>
            </w:r>
          </w:p>
        </w:tc>
      </w:tr>
      <w:tr>
        <w:trPr>
          <w:cantSplit/>
          <w:tblHeader w:val="off"/>
        </w:trPr>
        <w:tc>
          <w:tcPr>
            <w:tcW w:type="dxa" w:w="3694"/>
            <w:tcMar>
              <w:top w:type="dxa" w:w="70"/>
              <w:left w:type="dxa" w:w="100"/>
              <w:bottom w:type="dxa" w:w="70"/>
              <w:right w:type="dxa" w:w="100"/>
            </w:tcMar>
            <w:vAlign w:val="center"/>
          </w:tcPr>
          <w:p>
            <w:pPr>
              <w:spacing w:after="0"/>
            </w:pPr>
            <w:r>
              <w:rPr>
                <w:sz w:val="20"/>
                <w:szCs w:val="20"/>
              </w:rPr>
              <w:t xml:space="preserve">1.2 Exploración y evaluación de calidad</w:t>
            </w:r>
          </w:p>
        </w:tc>
        <w:tc>
          <w:tcPr>
            <w:tcW w:type="dxa" w:w="5332"/>
            <w:tcMar>
              <w:top w:type="dxa" w:w="70"/>
              <w:left w:type="dxa" w:w="100"/>
              <w:bottom w:type="dxa" w:w="70"/>
              <w:right w:type="dxa" w:w="100"/>
            </w:tcMar>
            <w:vAlign w:val="center"/>
          </w:tcPr>
          <w:p>
            <w:pPr>
              <w:spacing w:after="0"/>
            </w:pPr>
            <w:hyperlink w:history="1" w:anchor="E_H01">
              <w:r>
                <w:rPr>
                  <w:color w:val="0563C1"/>
                  <w:sz w:val="20"/>
                  <w:szCs w:val="20"/>
                  <w:u w:val="single"/>
                </w:rPr>
                <w:t xml:space="preserve">H01</w:t>
              </w:r>
            </w:hyperlink>
            <w:r>
              <w:rPr>
                <w:sz w:val="20"/>
                <w:szCs w:val="20"/>
              </w:rPr>
              <w:t xml:space="preserve">, </w:t>
            </w:r>
            <w:hyperlink w:history="1" w:anchor="E_H02">
              <w:r>
                <w:rPr>
                  <w:color w:val="0563C1"/>
                  <w:sz w:val="20"/>
                  <w:szCs w:val="20"/>
                  <w:u w:val="single"/>
                </w:rPr>
                <w:t xml:space="preserve">H02</w:t>
              </w:r>
            </w:hyperlink>
            <w:r>
              <w:rPr>
                <w:sz w:val="20"/>
                <w:szCs w:val="20"/>
              </w:rPr>
              <w:t xml:space="preserve">, </w:t>
            </w:r>
            <w:hyperlink w:history="1" w:anchor="E_H03">
              <w:r>
                <w:rPr>
                  <w:color w:val="0563C1"/>
                  <w:sz w:val="20"/>
                  <w:szCs w:val="20"/>
                  <w:u w:val="single"/>
                </w:rPr>
                <w:t xml:space="preserve">H03</w:t>
              </w:r>
            </w:hyperlink>
            <w:r>
              <w:rPr>
                <w:sz w:val="20"/>
                <w:szCs w:val="20"/>
              </w:rPr>
              <w:t xml:space="preserve">, </w:t>
            </w:r>
            <w:hyperlink w:history="1" w:anchor="E_H04">
              <w:r>
                <w:rPr>
                  <w:color w:val="0563C1"/>
                  <w:sz w:val="20"/>
                  <w:szCs w:val="20"/>
                  <w:u w:val="single"/>
                </w:rPr>
                <w:t xml:space="preserve">H04</w:t>
              </w:r>
            </w:hyperlink>
            <w:r>
              <w:rPr>
                <w:sz w:val="20"/>
                <w:szCs w:val="20"/>
              </w:rPr>
              <w:t xml:space="preserve">, </w:t>
            </w:r>
            <w:hyperlink w:history="1" w:anchor="E_H05">
              <w:r>
                <w:rPr>
                  <w:color w:val="0563C1"/>
                  <w:sz w:val="20"/>
                  <w:szCs w:val="20"/>
                  <w:u w:val="single"/>
                </w:rPr>
                <w:t xml:space="preserve">H05</w:t>
              </w:r>
            </w:hyperlink>
            <w:r>
              <w:rPr>
                <w:sz w:val="20"/>
                <w:szCs w:val="20"/>
              </w:rPr>
              <w:t xml:space="preserve">, </w:t>
            </w:r>
            <w:hyperlink w:history="1" w:anchor="E_H06">
              <w:r>
                <w:rPr>
                  <w:color w:val="0563C1"/>
                  <w:sz w:val="20"/>
                  <w:szCs w:val="20"/>
                  <w:u w:val="single"/>
                </w:rPr>
                <w:t xml:space="preserve">H06</w:t>
              </w:r>
            </w:hyperlink>
            <w:r>
              <w:rPr>
                <w:sz w:val="20"/>
                <w:szCs w:val="20"/>
              </w:rPr>
              <w:t xml:space="preserve">, </w:t>
            </w:r>
            <w:hyperlink w:history="1" w:anchor="E_H07">
              <w:r>
                <w:rPr>
                  <w:color w:val="0563C1"/>
                  <w:sz w:val="20"/>
                  <w:szCs w:val="20"/>
                  <w:u w:val="single"/>
                </w:rPr>
                <w:t xml:space="preserve">H07</w:t>
              </w:r>
            </w:hyperlink>
            <w:r>
              <w:rPr>
                <w:sz w:val="20"/>
                <w:szCs w:val="20"/>
              </w:rPr>
              <w:t xml:space="preserve">, </w:t>
            </w:r>
            <w:hyperlink w:history="1" w:anchor="E_H08">
              <w:r>
                <w:rPr>
                  <w:color w:val="0563C1"/>
                  <w:sz w:val="20"/>
                  <w:szCs w:val="20"/>
                  <w:u w:val="single"/>
                </w:rPr>
                <w:t xml:space="preserve">H08</w:t>
              </w:r>
            </w:hyperlink>
            <w:r>
              <w:rPr>
                <w:sz w:val="20"/>
                <w:szCs w:val="20"/>
              </w:rPr>
              <w:t xml:space="preserve">, </w:t>
            </w:r>
            <w:hyperlink w:history="1" w:anchor="E_H09">
              <w:r>
                <w:rPr>
                  <w:color w:val="0563C1"/>
                  <w:sz w:val="20"/>
                  <w:szCs w:val="20"/>
                  <w:u w:val="single"/>
                </w:rPr>
                <w:t xml:space="preserve">H09</w:t>
              </w:r>
            </w:hyperlink>
            <w:r>
              <w:rPr>
                <w:sz w:val="20"/>
                <w:szCs w:val="20"/>
              </w:rPr>
              <w:t xml:space="preserve">, </w:t>
            </w:r>
            <w:hyperlink w:history="1" w:anchor="E_H10">
              <w:r>
                <w:rPr>
                  <w:color w:val="0563C1"/>
                  <w:sz w:val="20"/>
                  <w:szCs w:val="20"/>
                  <w:u w:val="single"/>
                </w:rPr>
                <w:t xml:space="preserve">H10</w:t>
              </w:r>
            </w:hyperlink>
            <w:r>
              <w:rPr>
                <w:sz w:val="20"/>
                <w:szCs w:val="20"/>
              </w:rPr>
              <w:t xml:space="preserve">, </w:t>
            </w:r>
            <w:hyperlink w:history="1" w:anchor="E_H11">
              <w:r>
                <w:rPr>
                  <w:color w:val="0563C1"/>
                  <w:sz w:val="20"/>
                  <w:szCs w:val="20"/>
                  <w:u w:val="single"/>
                </w:rPr>
                <w:t xml:space="preserve">H11</w:t>
              </w:r>
            </w:hyperlink>
            <w:r>
              <w:rPr>
                <w:sz w:val="20"/>
                <w:szCs w:val="20"/>
              </w:rPr>
              <w:t xml:space="preserve">, </w:t>
            </w:r>
            <w:hyperlink w:history="1" w:anchor="E_H12">
              <w:r>
                <w:rPr>
                  <w:color w:val="0563C1"/>
                  <w:sz w:val="20"/>
                  <w:szCs w:val="20"/>
                  <w:u w:val="single"/>
                </w:rPr>
                <w:t xml:space="preserve">H12</w:t>
              </w:r>
            </w:hyperlink>
          </w:p>
        </w:tc>
      </w:tr>
      <w:tr>
        <w:trPr>
          <w:cantSplit/>
          <w:tblHeader w:val="off"/>
        </w:trPr>
        <w:tc>
          <w:tcPr>
            <w:tcW w:type="dxa" w:w="3694"/>
            <w:tcMar>
              <w:top w:type="dxa" w:w="70"/>
              <w:left w:type="dxa" w:w="100"/>
              <w:bottom w:type="dxa" w:w="70"/>
              <w:right w:type="dxa" w:w="100"/>
            </w:tcMar>
            <w:vAlign w:val="center"/>
          </w:tcPr>
          <w:p>
            <w:pPr>
              <w:spacing w:after="0"/>
            </w:pPr>
            <w:r>
              <w:rPr>
                <w:sz w:val="20"/>
                <w:szCs w:val="20"/>
              </w:rPr>
              <w:t xml:space="preserve">2.1 Integración y homogenización</w:t>
            </w:r>
          </w:p>
        </w:tc>
        <w:tc>
          <w:tcPr>
            <w:tcW w:type="dxa" w:w="5332"/>
            <w:tcMar>
              <w:top w:type="dxa" w:w="70"/>
              <w:left w:type="dxa" w:w="100"/>
              <w:bottom w:type="dxa" w:w="70"/>
              <w:right w:type="dxa" w:w="100"/>
            </w:tcMar>
            <w:vAlign w:val="center"/>
          </w:tcPr>
          <w:p>
            <w:pPr>
              <w:spacing w:after="0"/>
            </w:pPr>
            <w:hyperlink w:history="1" w:anchor="E_D01">
              <w:r>
                <w:rPr>
                  <w:color w:val="0563C1"/>
                  <w:sz w:val="20"/>
                  <w:szCs w:val="20"/>
                  <w:u w:val="single"/>
                </w:rPr>
                <w:t xml:space="preserve">D01</w:t>
              </w:r>
            </w:hyperlink>
            <w:r>
              <w:rPr>
                <w:sz w:val="20"/>
                <w:szCs w:val="20"/>
              </w:rPr>
              <w:t xml:space="preserve">, </w:t>
            </w:r>
            <w:hyperlink w:history="1" w:anchor="E_D02">
              <w:r>
                <w:rPr>
                  <w:color w:val="0563C1"/>
                  <w:sz w:val="20"/>
                  <w:szCs w:val="20"/>
                  <w:u w:val="single"/>
                </w:rPr>
                <w:t xml:space="preserve">D02</w:t>
              </w:r>
            </w:hyperlink>
            <w:r>
              <w:rPr>
                <w:sz w:val="20"/>
                <w:szCs w:val="20"/>
              </w:rPr>
              <w:t xml:space="preserve">, </w:t>
            </w:r>
            <w:hyperlink w:history="1" w:anchor="E_D03">
              <w:r>
                <w:rPr>
                  <w:color w:val="0563C1"/>
                  <w:sz w:val="20"/>
                  <w:szCs w:val="20"/>
                  <w:u w:val="single"/>
                </w:rPr>
                <w:t xml:space="preserve">D03</w:t>
              </w:r>
            </w:hyperlink>
            <w:r>
              <w:rPr>
                <w:sz w:val="20"/>
                <w:szCs w:val="20"/>
              </w:rPr>
              <w:t xml:space="preserve">, </w:t>
            </w:r>
            <w:hyperlink w:history="1" w:anchor="E_D04">
              <w:r>
                <w:rPr>
                  <w:color w:val="0563C1"/>
                  <w:sz w:val="20"/>
                  <w:szCs w:val="20"/>
                  <w:u w:val="single"/>
                </w:rPr>
                <w:t xml:space="preserve">D04</w:t>
              </w:r>
            </w:hyperlink>
            <w:r>
              <w:rPr>
                <w:sz w:val="20"/>
                <w:szCs w:val="20"/>
              </w:rPr>
              <w:t xml:space="preserve">, </w:t>
            </w:r>
            <w:hyperlink w:history="1" w:anchor="E_D05">
              <w:r>
                <w:rPr>
                  <w:color w:val="0563C1"/>
                  <w:sz w:val="20"/>
                  <w:szCs w:val="20"/>
                  <w:u w:val="single"/>
                </w:rPr>
                <w:t xml:space="preserve">D05</w:t>
              </w:r>
            </w:hyperlink>
            <w:r>
              <w:rPr>
                <w:sz w:val="20"/>
                <w:szCs w:val="20"/>
              </w:rPr>
              <w:t xml:space="preserve">, </w:t>
            </w:r>
            <w:hyperlink w:history="1" w:anchor="E_D06">
              <w:r>
                <w:rPr>
                  <w:color w:val="0563C1"/>
                  <w:sz w:val="20"/>
                  <w:szCs w:val="20"/>
                  <w:u w:val="single"/>
                </w:rPr>
                <w:t xml:space="preserve">D06</w:t>
              </w:r>
            </w:hyperlink>
            <w:r>
              <w:rPr>
                <w:sz w:val="20"/>
                <w:szCs w:val="20"/>
              </w:rPr>
              <w:t xml:space="preserve">, </w:t>
            </w:r>
            <w:hyperlink w:history="1" w:anchor="E_D09">
              <w:r>
                <w:rPr>
                  <w:color w:val="0563C1"/>
                  <w:sz w:val="20"/>
                  <w:szCs w:val="20"/>
                  <w:u w:val="single"/>
                </w:rPr>
                <w:t xml:space="preserve">D09</w:t>
              </w:r>
            </w:hyperlink>
            <w:r>
              <w:rPr>
                <w:sz w:val="20"/>
                <w:szCs w:val="20"/>
              </w:rPr>
              <w:t xml:space="preserve">, </w:t>
            </w:r>
            <w:hyperlink w:history="1" w:anchor="E_D10">
              <w:r>
                <w:rPr>
                  <w:color w:val="0563C1"/>
                  <w:sz w:val="20"/>
                  <w:szCs w:val="20"/>
                  <w:u w:val="single"/>
                </w:rPr>
                <w:t xml:space="preserve">D10</w:t>
              </w:r>
            </w:hyperlink>
            <w:r>
              <w:rPr>
                <w:sz w:val="20"/>
                <w:szCs w:val="20"/>
              </w:rPr>
              <w:t xml:space="preserve">, </w:t>
            </w:r>
            <w:hyperlink w:history="1" w:anchor="E_D11">
              <w:r>
                <w:rPr>
                  <w:color w:val="0563C1"/>
                  <w:sz w:val="20"/>
                  <w:szCs w:val="20"/>
                  <w:u w:val="single"/>
                </w:rPr>
                <w:t xml:space="preserve">D11</w:t>
              </w:r>
            </w:hyperlink>
            <w:r>
              <w:rPr>
                <w:sz w:val="20"/>
                <w:szCs w:val="20"/>
              </w:rPr>
              <w:t xml:space="preserve">, </w:t>
            </w:r>
            <w:hyperlink w:history="1" w:anchor="E_D12">
              <w:r>
                <w:rPr>
                  <w:color w:val="0563C1"/>
                  <w:sz w:val="20"/>
                  <w:szCs w:val="20"/>
                  <w:u w:val="single"/>
                </w:rPr>
                <w:t xml:space="preserve">D12</w:t>
              </w:r>
            </w:hyperlink>
            <w:r>
              <w:rPr>
                <w:sz w:val="20"/>
                <w:szCs w:val="20"/>
              </w:rPr>
              <w:t xml:space="preserve">, </w:t>
            </w:r>
            <w:hyperlink w:history="1" w:anchor="E_D13">
              <w:r>
                <w:rPr>
                  <w:color w:val="0563C1"/>
                  <w:sz w:val="20"/>
                  <w:szCs w:val="20"/>
                  <w:u w:val="single"/>
                </w:rPr>
                <w:t xml:space="preserve">D13</w:t>
              </w:r>
            </w:hyperlink>
            <w:r>
              <w:rPr>
                <w:sz w:val="20"/>
                <w:szCs w:val="20"/>
              </w:rPr>
              <w:t xml:space="preserve">, </w:t>
            </w:r>
            <w:hyperlink w:history="1" w:anchor="E_D14">
              <w:r>
                <w:rPr>
                  <w:color w:val="0563C1"/>
                  <w:sz w:val="20"/>
                  <w:szCs w:val="20"/>
                  <w:u w:val="single"/>
                </w:rPr>
                <w:t xml:space="preserve">D14</w:t>
              </w:r>
            </w:hyperlink>
            <w:r>
              <w:rPr>
                <w:sz w:val="20"/>
                <w:szCs w:val="20"/>
              </w:rPr>
              <w:t xml:space="preserve">, </w:t>
            </w:r>
            <w:hyperlink w:history="1" w:anchor="E_D15">
              <w:r>
                <w:rPr>
                  <w:color w:val="0563C1"/>
                  <w:sz w:val="20"/>
                  <w:szCs w:val="20"/>
                  <w:u w:val="single"/>
                </w:rPr>
                <w:t xml:space="preserve">D15</w:t>
              </w:r>
            </w:hyperlink>
            <w:r>
              <w:rPr>
                <w:sz w:val="20"/>
                <w:szCs w:val="20"/>
              </w:rPr>
              <w:t xml:space="preserve">, </w:t>
            </w:r>
            <w:hyperlink w:history="1" w:anchor="E_D16">
              <w:r>
                <w:rPr>
                  <w:color w:val="0563C1"/>
                  <w:sz w:val="20"/>
                  <w:szCs w:val="20"/>
                  <w:u w:val="single"/>
                </w:rPr>
                <w:t xml:space="preserve">D16</w:t>
              </w:r>
            </w:hyperlink>
            <w:r>
              <w:rPr>
                <w:sz w:val="20"/>
                <w:szCs w:val="20"/>
              </w:rPr>
              <w:t xml:space="preserve">, </w:t>
            </w:r>
            <w:hyperlink w:history="1" w:anchor="E_D17">
              <w:r>
                <w:rPr>
                  <w:color w:val="0563C1"/>
                  <w:sz w:val="20"/>
                  <w:szCs w:val="20"/>
                  <w:u w:val="single"/>
                </w:rPr>
                <w:t xml:space="preserve">D17</w:t>
              </w:r>
            </w:hyperlink>
          </w:p>
        </w:tc>
      </w:tr>
      <w:tr>
        <w:trPr>
          <w:cantSplit/>
          <w:tblHeader w:val="off"/>
        </w:trPr>
        <w:tc>
          <w:tcPr>
            <w:tcW w:type="dxa" w:w="3694"/>
            <w:tcMar>
              <w:top w:type="dxa" w:w="70"/>
              <w:left w:type="dxa" w:w="100"/>
              <w:bottom w:type="dxa" w:w="70"/>
              <w:right w:type="dxa" w:w="100"/>
            </w:tcMar>
            <w:vAlign w:val="center"/>
          </w:tcPr>
          <w:p>
            <w:pPr>
              <w:spacing w:after="0"/>
            </w:pPr>
            <w:r>
              <w:rPr>
                <w:sz w:val="20"/>
                <w:szCs w:val="20"/>
              </w:rPr>
              <w:t xml:space="preserve">2.2 Depuración y etiquetado del reingreso</w:t>
            </w:r>
          </w:p>
        </w:tc>
        <w:tc>
          <w:tcPr>
            <w:tcW w:type="dxa" w:w="5332"/>
            <w:tcMar>
              <w:top w:type="dxa" w:w="70"/>
              <w:left w:type="dxa" w:w="100"/>
              <w:bottom w:type="dxa" w:w="70"/>
              <w:right w:type="dxa" w:w="100"/>
            </w:tcMar>
            <w:vAlign w:val="center"/>
          </w:tcPr>
          <w:p>
            <w:pPr>
              <w:spacing w:after="0"/>
            </w:pPr>
            <w:hyperlink w:history="1" w:anchor="E_D03">
              <w:r>
                <w:rPr>
                  <w:color w:val="0563C1"/>
                  <w:sz w:val="20"/>
                  <w:szCs w:val="20"/>
                  <w:u w:val="single"/>
                </w:rPr>
                <w:t xml:space="preserve">D03</w:t>
              </w:r>
            </w:hyperlink>
            <w:r>
              <w:rPr>
                <w:sz w:val="20"/>
                <w:szCs w:val="20"/>
              </w:rPr>
              <w:t xml:space="preserve">, </w:t>
            </w:r>
            <w:hyperlink w:history="1" w:anchor="E_D07">
              <w:r>
                <w:rPr>
                  <w:color w:val="0563C1"/>
                  <w:sz w:val="20"/>
                  <w:szCs w:val="20"/>
                  <w:u w:val="single"/>
                </w:rPr>
                <w:t xml:space="preserve">D07</w:t>
              </w:r>
            </w:hyperlink>
            <w:r>
              <w:rPr>
                <w:sz w:val="20"/>
                <w:szCs w:val="20"/>
              </w:rPr>
              <w:t xml:space="preserve">, </w:t>
            </w:r>
            <w:hyperlink w:history="1" w:anchor="E_D08">
              <w:r>
                <w:rPr>
                  <w:color w:val="0563C1"/>
                  <w:sz w:val="20"/>
                  <w:szCs w:val="20"/>
                  <w:u w:val="single"/>
                </w:rPr>
                <w:t xml:space="preserve">D08</w:t>
              </w:r>
            </w:hyperlink>
            <w:r>
              <w:rPr>
                <w:sz w:val="20"/>
                <w:szCs w:val="20"/>
              </w:rPr>
              <w:t xml:space="preserve">, </w:t>
            </w:r>
            <w:hyperlink w:history="1" w:anchor="E_D15">
              <w:r>
                <w:rPr>
                  <w:color w:val="0563C1"/>
                  <w:sz w:val="20"/>
                  <w:szCs w:val="20"/>
                  <w:u w:val="single"/>
                </w:rPr>
                <w:t xml:space="preserve">D15</w:t>
              </w:r>
            </w:hyperlink>
            <w:r>
              <w:rPr>
                <w:sz w:val="20"/>
                <w:szCs w:val="20"/>
              </w:rPr>
              <w:t xml:space="preserve">, </w:t>
            </w:r>
            <w:hyperlink w:history="1" w:anchor="E_H09">
              <w:r>
                <w:rPr>
                  <w:color w:val="0563C1"/>
                  <w:sz w:val="20"/>
                  <w:szCs w:val="20"/>
                  <w:u w:val="single"/>
                </w:rPr>
                <w:t xml:space="preserve">H09</w:t>
              </w:r>
            </w:hyperlink>
            <w:r>
              <w:rPr>
                <w:sz w:val="20"/>
                <w:szCs w:val="20"/>
              </w:rPr>
              <w:t xml:space="preserve">, </w:t>
            </w:r>
            <w:hyperlink w:history="1" w:anchor="E_H10">
              <w:r>
                <w:rPr>
                  <w:color w:val="0563C1"/>
                  <w:sz w:val="20"/>
                  <w:szCs w:val="20"/>
                  <w:u w:val="single"/>
                </w:rPr>
                <w:t xml:space="preserve">H10</w:t>
              </w:r>
            </w:hyperlink>
            <w:r>
              <w:rPr>
                <w:sz w:val="20"/>
                <w:szCs w:val="20"/>
              </w:rPr>
              <w:t xml:space="preserve">, </w:t>
            </w:r>
            <w:hyperlink w:history="1" w:anchor="E_H11">
              <w:r>
                <w:rPr>
                  <w:color w:val="0563C1"/>
                  <w:sz w:val="20"/>
                  <w:szCs w:val="20"/>
                  <w:u w:val="single"/>
                </w:rPr>
                <w:t xml:space="preserve">H11</w:t>
              </w:r>
            </w:hyperlink>
          </w:p>
        </w:tc>
      </w:tr>
      <w:tr>
        <w:trPr>
          <w:cantSplit/>
          <w:tblHeader w:val="off"/>
        </w:trPr>
        <w:tc>
          <w:tcPr>
            <w:tcW w:type="dxa" w:w="3694"/>
            <w:tcMar>
              <w:top w:type="dxa" w:w="70"/>
              <w:left w:type="dxa" w:w="100"/>
              <w:bottom w:type="dxa" w:w="70"/>
              <w:right w:type="dxa" w:w="100"/>
            </w:tcMar>
            <w:vAlign w:val="center"/>
          </w:tcPr>
          <w:p>
            <w:pPr>
              <w:spacing w:after="0"/>
            </w:pPr>
            <w:r>
              <w:rPr>
                <w:sz w:val="20"/>
                <w:szCs w:val="20"/>
              </w:rPr>
              <w:t xml:space="preserve">Informe</w:t>
            </w:r>
          </w:p>
        </w:tc>
        <w:tc>
          <w:tcPr>
            <w:tcW w:type="dxa" w:w="5332"/>
            <w:tcMar>
              <w:top w:type="dxa" w:w="70"/>
              <w:left w:type="dxa" w:w="100"/>
              <w:bottom w:type="dxa" w:w="70"/>
              <w:right w:type="dxa" w:w="100"/>
            </w:tcMar>
            <w:vAlign w:val="center"/>
          </w:tcPr>
          <w:p>
            <w:pPr>
              <w:spacing w:after="0"/>
            </w:pPr>
            <w:hyperlink w:history="1" w:anchor="E_C01">
              <w:r>
                <w:rPr>
                  <w:color w:val="0563C1"/>
                  <w:sz w:val="20"/>
                  <w:szCs w:val="20"/>
                  <w:u w:val="single"/>
                </w:rPr>
                <w:t xml:space="preserve">C01</w:t>
              </w:r>
            </w:hyperlink>
            <w:r>
              <w:rPr>
                <w:sz w:val="20"/>
                <w:szCs w:val="20"/>
              </w:rPr>
              <w:t xml:space="preserve">, </w:t>
            </w:r>
            <w:hyperlink w:history="1" w:anchor="E_C02">
              <w:r>
                <w:rPr>
                  <w:color w:val="0563C1"/>
                  <w:sz w:val="20"/>
                  <w:szCs w:val="20"/>
                  <w:u w:val="single"/>
                </w:rPr>
                <w:t xml:space="preserve">C02</w:t>
              </w:r>
            </w:hyperlink>
            <w:r>
              <w:rPr>
                <w:sz w:val="20"/>
                <w:szCs w:val="20"/>
              </w:rPr>
              <w:t xml:space="preserve">, </w:t>
            </w:r>
            <w:hyperlink w:history="1" w:anchor="E_C03">
              <w:r>
                <w:rPr>
                  <w:color w:val="0563C1"/>
                  <w:sz w:val="20"/>
                  <w:szCs w:val="20"/>
                  <w:u w:val="single"/>
                </w:rPr>
                <w:t xml:space="preserve">C03</w:t>
              </w:r>
            </w:hyperlink>
          </w:p>
        </w:tc>
      </w:tr>
    </w:tbl>
    <w:p>
      <w:pPr>
        <w:spacing w:after="0"/>
      </w:pPr>
    </w:p>
    <w:p>
      <w:pPr>
        <w:pStyle w:val="Heading1"/>
      </w:pPr>
      <w:r>
        <w:t xml:space="preserve">Entradas</w:t>
      </w:r>
    </w:p>
    <w:p>
      <w:pPr>
        <w:pStyle w:val="Heading2"/>
      </w:pPr>
      <w:bookmarkStart w:name="E_D01" w:id="1"/>
      <w:r>
        <w:rPr>
          <w:color w:val="548235"/>
        </w:rPr>
        <w:t xml:space="preserve">D01</w:t>
      </w:r>
      <w:bookmarkEnd w:id="1"/>
      <w:r>
        <w:t xml:space="preserve"> · Estructura del proyecto y entorno reproducible</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Separar </w:t>
            </w:r>
            <w:r>
              <w:rPr>
                <w:rFonts w:ascii="Consolas" w:cs="Consolas" w:eastAsia="Consolas" w:hAnsi="Consolas"/>
                <w:sz w:val="18"/>
                <w:szCs w:val="18"/>
                <w:shd w:fill="F2F2F2" w:color="auto" w:val="clear"/>
              </w:rPr>
              <w:t xml:space="preserve">Tesis\Datos</w:t>
            </w:r>
            <w:r>
              <w:rPr>
                <w:sz w:val="20"/>
                <w:szCs w:val="20"/>
              </w:rPr>
              <w:t xml:space="preserve"> (originales, solo lectura), </w:t>
            </w:r>
            <w:r>
              <w:rPr>
                <w:rFonts w:ascii="Consolas" w:cs="Consolas" w:eastAsia="Consolas" w:hAnsi="Consolas"/>
                <w:sz w:val="18"/>
                <w:szCs w:val="18"/>
                <w:shd w:fill="F2F2F2" w:color="auto" w:val="clear"/>
              </w:rPr>
              <w:t xml:space="preserve">Tesis\Codigo</w:t>
            </w:r>
            <w:r>
              <w:rPr>
                <w:sz w:val="20"/>
                <w:szCs w:val="20"/>
              </w:rPr>
              <w:t xml:space="preserve"> (repositorio Git con </w:t>
            </w:r>
            <w:r>
              <w:rPr>
                <w:rFonts w:ascii="Consolas" w:cs="Consolas" w:eastAsia="Consolas" w:hAnsi="Consolas"/>
                <w:sz w:val="18"/>
                <w:szCs w:val="18"/>
                <w:shd w:fill="F2F2F2" w:color="auto" w:val="clear"/>
              </w:rPr>
              <w:t xml:space="preserve">src/</w:t>
            </w:r>
            <w:r>
              <w:rPr>
                <w:sz w:val="20"/>
                <w:szCs w:val="20"/>
              </w:rPr>
              <w:t xml:space="preserve">, </w:t>
            </w:r>
            <w:r>
              <w:rPr>
                <w:rFonts w:ascii="Consolas" w:cs="Consolas" w:eastAsia="Consolas" w:hAnsi="Consolas"/>
                <w:sz w:val="18"/>
                <w:szCs w:val="18"/>
                <w:shd w:fill="F2F2F2" w:color="auto" w:val="clear"/>
              </w:rPr>
              <w:t xml:space="preserve">data/</w:t>
            </w:r>
            <w:r>
              <w:rPr>
                <w:sz w:val="20"/>
                <w:szCs w:val="20"/>
              </w:rPr>
              <w:t xml:space="preserve">, </w:t>
            </w:r>
            <w:r>
              <w:rPr>
                <w:rFonts w:ascii="Consolas" w:cs="Consolas" w:eastAsia="Consolas" w:hAnsi="Consolas"/>
                <w:sz w:val="18"/>
                <w:szCs w:val="18"/>
                <w:shd w:fill="F2F2F2" w:color="auto" w:val="clear"/>
              </w:rPr>
              <w:t xml:space="preserve">reports/</w:t>
            </w:r>
            <w:r>
              <w:rPr>
                <w:sz w:val="20"/>
                <w:szCs w:val="20"/>
              </w:rPr>
              <w:t xml:space="preserve">, </w:t>
            </w:r>
            <w:r>
              <w:rPr>
                <w:rFonts w:ascii="Consolas" w:cs="Consolas" w:eastAsia="Consolas" w:hAnsi="Consolas"/>
                <w:sz w:val="18"/>
                <w:szCs w:val="18"/>
                <w:shd w:fill="F2F2F2" w:color="auto" w:val="clear"/>
              </w:rPr>
              <w:t xml:space="preserve">docs/</w:t>
            </w:r>
            <w:r>
              <w:rPr>
                <w:sz w:val="20"/>
                <w:szCs w:val="20"/>
              </w:rPr>
              <w:t xml:space="preserve">) y </w:t>
            </w:r>
            <w:r>
              <w:rPr>
                <w:rFonts w:ascii="Consolas" w:cs="Consolas" w:eastAsia="Consolas" w:hAnsi="Consolas"/>
                <w:sz w:val="18"/>
                <w:szCs w:val="18"/>
                <w:shd w:fill="F2F2F2" w:color="auto" w:val="clear"/>
              </w:rPr>
              <w:t xml:space="preserve">Tesis\Informe seminario</w:t>
            </w:r>
            <w:r>
              <w:rPr>
                <w:sz w:val="20"/>
                <w:szCs w:val="20"/>
              </w:rPr>
              <w:t xml:space="preserve">. Entorno virtual en </w:t>
            </w:r>
            <w:r>
              <w:rPr>
                <w:rFonts w:ascii="Consolas" w:cs="Consolas" w:eastAsia="Consolas" w:hAnsi="Consolas"/>
                <w:sz w:val="18"/>
                <w:szCs w:val="18"/>
                <w:shd w:fill="F2F2F2" w:color="auto" w:val="clear"/>
              </w:rPr>
              <w:t xml:space="preserve">Codigo\.venv</w:t>
            </w:r>
            <w:r>
              <w:rPr>
                <w:sz w:val="20"/>
                <w:szCs w:val="20"/>
              </w:rPr>
              <w:t xml:space="preserve"> con versiones fijadas en </w:t>
            </w:r>
            <w:r>
              <w:rPr>
                <w:rFonts w:ascii="Consolas" w:cs="Consolas" w:eastAsia="Consolas" w:hAnsi="Consolas"/>
                <w:sz w:val="18"/>
                <w:szCs w:val="18"/>
                <w:shd w:fill="F2F2F2" w:color="auto" w:val="clear"/>
              </w:rPr>
              <w:t xml:space="preserve">requirements.txt</w:t>
            </w:r>
            <w:r>
              <w:rPr>
                <w:sz w:val="20"/>
                <w:szCs w:val="20"/>
              </w:rPr>
              <w:t xml:space="preserve"> (pandas 3.0.3, pyarrow 25.0.1, openpyxl 3.1.5). Los datos quedan fuera de Git.</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2.1_integracion_homogenizacion/reportes/hashes_originales.txt</w:t>
            </w:r>
            <w:r>
              <w:rPr>
                <w:sz w:val="20"/>
                <w:szCs w:val="20"/>
              </w:rPr>
              <w:t xml:space="preserve"> (SHA-256 de los 12 archivos originales).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La organización interna de </w:t>
            </w:r>
            <w:r>
              <w:rPr>
                <w:rFonts w:ascii="Consolas" w:cs="Consolas" w:eastAsia="Consolas" w:hAnsi="Consolas"/>
                <w:sz w:val="18"/>
                <w:szCs w:val="18"/>
                <w:shd w:fill="F2F2F2" w:color="auto" w:val="clear"/>
              </w:rPr>
              <w:t xml:space="preserve">Codigo</w:t>
            </w:r>
            <w:r>
              <w:rPr>
                <w:sz w:val="20"/>
                <w:szCs w:val="20"/>
              </w:rPr>
              <w:t xml:space="preserve"> se actualiza en </w:t>
            </w:r>
            <w:hyperlink w:history="1" w:anchor="E_D17">
              <w:r>
                <w:rPr>
                  <w:color w:val="0563C1"/>
                  <w:sz w:val="20"/>
                  <w:szCs w:val="20"/>
                  <w:u w:val="single"/>
                </w:rPr>
                <w:t xml:space="preserve">D17</w:t>
              </w:r>
            </w:hyperlink>
            <w:r>
              <w:rPr>
                <w:sz w:val="20"/>
                <w:szCs w:val="20"/>
              </w:rPr>
              <w:t xml:space="preserve">.</w:t>
            </w:r>
          </w:p>
        </w:tc>
      </w:tr>
    </w:tbl>
    <w:p>
      <w:pPr>
        <w:pStyle w:val="Heading2"/>
      </w:pPr>
      <w:bookmarkStart w:name="E_D02" w:id="2"/>
      <w:r>
        <w:rPr>
          <w:color w:val="548235"/>
        </w:rPr>
        <w:t xml:space="preserve">D02</w:t>
      </w:r>
      <w:bookmarkEnd w:id="2"/>
      <w:r>
        <w:t xml:space="preserve"> · Fuente de trabajo: archivos .txt</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trabaja sobre </w:t>
            </w:r>
            <w:r>
              <w:rPr>
                <w:rFonts w:ascii="Consolas" w:cs="Consolas" w:eastAsia="Consolas" w:hAnsi="Consolas"/>
                <w:sz w:val="18"/>
                <w:szCs w:val="18"/>
                <w:shd w:fill="F2F2F2" w:color="auto" w:val="clear"/>
              </w:rPr>
              <w:t xml:space="preserve">Datos\txt</w:t>
            </w:r>
            <w:r>
              <w:rPr>
                <w:sz w:val="20"/>
                <w:szCs w:val="20"/>
              </w:rPr>
              <w:t xml:space="preserve">; los comprimidos de </w:t>
            </w:r>
            <w:r>
              <w:rPr>
                <w:rFonts w:ascii="Consolas" w:cs="Consolas" w:eastAsia="Consolas" w:hAnsi="Consolas"/>
                <w:sz w:val="18"/>
                <w:szCs w:val="18"/>
                <w:shd w:fill="F2F2F2" w:color="auto" w:val="clear"/>
              </w:rPr>
              <w:t xml:space="preserve">Datos\Zip</w:t>
            </w:r>
            <w:r>
              <w:rPr>
                <w:sz w:val="20"/>
                <w:szCs w:val="20"/>
              </w:rPr>
              <w:t xml:space="preserve"> se conservan como respaldo. El tamaño de cada .txt coincide con el declarado dentro de su .zip (el .rar de 2020 no se verificó). El archivo de 2022 se llama </w:t>
            </w:r>
            <w:r>
              <w:rPr>
                <w:rFonts w:ascii="Consolas" w:cs="Consolas" w:eastAsia="Consolas" w:hAnsi="Consolas"/>
                <w:sz w:val="18"/>
                <w:szCs w:val="18"/>
                <w:shd w:fill="F2F2F2" w:color="auto" w:val="clear"/>
              </w:rPr>
              <w:t xml:space="preserve">GRD_PUBLICO_EXTERNO_2022.txt</w:t>
            </w:r>
            <w:r>
              <w:rPr>
                <w:sz w:val="20"/>
                <w:szCs w:val="20"/>
              </w:rPr>
              <w:t xml:space="preserve"> también dentro del .zip.</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Pendiente</w:t>
            </w:r>
          </w:p>
        </w:tc>
        <w:tc>
          <w:tcPr>
            <w:tcW w:type="dxa" w:w="7226"/>
            <w:tcMar>
              <w:top w:type="dxa" w:w="70"/>
              <w:left w:type="dxa" w:w="100"/>
              <w:bottom w:type="dxa" w:w="70"/>
              <w:right w:type="dxa" w:w="100"/>
            </w:tcMar>
          </w:tcPr>
          <w:p>
            <w:pPr>
              <w:keepNext/>
              <w:spacing w:after="0" w:before="0"/>
            </w:pPr>
            <w:r>
              <w:rPr>
                <w:sz w:val="20"/>
                <w:szCs w:val="20"/>
              </w:rPr>
              <w:t xml:space="preserve">Confirmar que "EXTERNO" cubre el mismo universo de hospitales que los demás años.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H01" w:id="3"/>
      <w:r>
        <w:rPr>
          <w:color w:val="2E75B6"/>
        </w:rPr>
        <w:t xml:space="preserve">H01</w:t>
      </w:r>
      <w:bookmarkEnd w:id="3"/>
      <w:r>
        <w:t xml:space="preserve"> · Diferencias de formato entre archivos</w:t>
      </w:r>
    </w:p>
    <w:p>
      <w:pPr>
        <w:keepNext/>
        <w:spacing w:after="100"/>
      </w:pPr>
      <w:r>
        <w:rPr>
          <w:b/>
          <w:bCs/>
          <w:color w:val="2E75B6"/>
          <w:sz w:val="18"/>
          <w:szCs w:val="18"/>
        </w:rPr>
        <w:t xml:space="preserve">Hallazgo</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80" w:before="0"/>
            </w:pPr>
            <w:r>
              <w:rPr>
                <w:sz w:val="20"/>
                <w:szCs w:val="20"/>
              </w:rPr>
              <w:t xml:space="preserve">Los seis archivos tienen las mismas 129 columnas en el mismo orden, separador </w:t>
            </w:r>
            <w:r>
              <w:rPr>
                <w:rFonts w:ascii="Consolas" w:cs="Consolas" w:eastAsia="Consolas" w:hAnsi="Consolas"/>
                <w:sz w:val="18"/>
                <w:szCs w:val="18"/>
                <w:shd w:fill="F2F2F2" w:color="auto" w:val="clear"/>
              </w:rPr>
              <w:t xml:space="preserve">|</w:t>
            </w:r>
            <w:r>
              <w:rPr>
                <w:sz w:val="20"/>
                <w:szCs w:val="20"/>
              </w:rPr>
              <w:t xml:space="preserve"> y 5.808.536 registros en total, pero difieren en:</w:t>
            </w:r>
          </w:p>
          <w:tbl>
            <w:tblPr>
              <w:tblW w:type="dxa" w:w="7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666"/>
              <w:gridCol w:w="1599"/>
              <w:gridCol w:w="1910"/>
              <w:gridCol w:w="899"/>
              <w:gridCol w:w="1952"/>
            </w:tblGrid>
            <w:tr>
              <w:trPr>
                <w:cantSplit/>
                <w:tblHeader/>
              </w:trPr>
              <w:tc>
                <w:tcPr>
                  <w:tcW w:type="dxa" w:w="666"/>
                  <w:shd w:fill="D9E2F3" w:color="auto" w:val="clear"/>
                  <w:tcMar>
                    <w:top w:type="dxa" w:w="70"/>
                    <w:left w:type="dxa" w:w="100"/>
                    <w:bottom w:type="dxa" w:w="70"/>
                    <w:right w:type="dxa" w:w="100"/>
                  </w:tcMar>
                  <w:vAlign w:val="center"/>
                </w:tcPr>
                <w:p>
                  <w:pPr>
                    <w:spacing w:after="0"/>
                  </w:pPr>
                  <w:r>
                    <w:rPr>
                      <w:b/>
                      <w:bCs/>
                      <w:sz w:val="18"/>
                      <w:szCs w:val="18"/>
                    </w:rPr>
                    <w:t xml:space="preserve">Año</w:t>
                  </w:r>
                </w:p>
              </w:tc>
              <w:tc>
                <w:tcPr>
                  <w:tcW w:type="dxa" w:w="1599"/>
                  <w:shd w:fill="D9E2F3" w:color="auto" w:val="clear"/>
                  <w:tcMar>
                    <w:top w:type="dxa" w:w="70"/>
                    <w:left w:type="dxa" w:w="100"/>
                    <w:bottom w:type="dxa" w:w="70"/>
                    <w:right w:type="dxa" w:w="100"/>
                  </w:tcMar>
                  <w:vAlign w:val="center"/>
                </w:tcPr>
                <w:p>
                  <w:pPr>
                    <w:spacing w:after="0"/>
                  </w:pPr>
                  <w:r>
                    <w:rPr>
                      <w:b/>
                      <w:bCs/>
                      <w:sz w:val="18"/>
                      <w:szCs w:val="18"/>
                    </w:rPr>
                    <w:t xml:space="preserve">Codificación</w:t>
                  </w:r>
                </w:p>
              </w:tc>
              <w:tc>
                <w:tcPr>
                  <w:tcW w:type="dxa" w:w="1910"/>
                  <w:shd w:fill="D9E2F3" w:color="auto" w:val="clear"/>
                  <w:tcMar>
                    <w:top w:type="dxa" w:w="70"/>
                    <w:left w:type="dxa" w:w="100"/>
                    <w:bottom w:type="dxa" w:w="70"/>
                    <w:right w:type="dxa" w:w="100"/>
                  </w:tcMar>
                  <w:vAlign w:val="center"/>
                </w:tcPr>
                <w:p>
                  <w:pPr>
                    <w:spacing w:after="0"/>
                  </w:pPr>
                  <w:r>
                    <w:rPr>
                      <w:b/>
                      <w:bCs/>
                      <w:sz w:val="18"/>
                      <w:szCs w:val="18"/>
                    </w:rPr>
                    <w:t xml:space="preserve">Fecha ingreso/alta</w:t>
                  </w:r>
                </w:p>
              </w:tc>
              <w:tc>
                <w:tcPr>
                  <w:tcW w:type="dxa" w:w="899"/>
                  <w:shd w:fill="D9E2F3" w:color="auto" w:val="clear"/>
                  <w:tcMar>
                    <w:top w:type="dxa" w:w="70"/>
                    <w:left w:type="dxa" w:w="100"/>
                    <w:bottom w:type="dxa" w:w="70"/>
                    <w:right w:type="dxa" w:w="100"/>
                  </w:tcMar>
                  <w:vAlign w:val="center"/>
                </w:tcPr>
                <w:p>
                  <w:pPr>
                    <w:spacing w:after="0"/>
                  </w:pPr>
                  <w:r>
                    <w:rPr>
                      <w:b/>
                      <w:bCs/>
                      <w:sz w:val="18"/>
                      <w:szCs w:val="18"/>
                    </w:rPr>
                    <w:t xml:space="preserve">Peso GRD</w:t>
                  </w:r>
                </w:p>
              </w:tc>
              <w:tc>
                <w:tcPr>
                  <w:tcW w:type="dxa" w:w="1952"/>
                  <w:shd w:fill="D9E2F3" w:color="auto" w:val="clear"/>
                  <w:tcMar>
                    <w:top w:type="dxa" w:w="70"/>
                    <w:left w:type="dxa" w:w="100"/>
                    <w:bottom w:type="dxa" w:w="70"/>
                    <w:right w:type="dxa" w:w="100"/>
                  </w:tcMar>
                  <w:vAlign w:val="center"/>
                </w:tcPr>
                <w:p>
                  <w:pPr>
                    <w:spacing w:after="0"/>
                  </w:pPr>
                  <w:r>
                    <w:rPr>
                      <w:b/>
                      <w:bCs/>
                      <w:sz w:val="18"/>
                      <w:szCs w:val="18"/>
                    </w:rPr>
                    <w:t xml:space="preserve">Columna ID</w:t>
                  </w:r>
                </w:p>
              </w:tc>
            </w:tr>
            <w:tr>
              <w:trPr>
                <w:cantSplit/>
                <w:tblHeader w:val="off"/>
              </w:trPr>
              <w:tc>
                <w:tcPr>
                  <w:tcW w:type="dxa" w:w="666"/>
                  <w:tcMar>
                    <w:top w:type="dxa" w:w="70"/>
                    <w:left w:type="dxa" w:w="100"/>
                    <w:bottom w:type="dxa" w:w="70"/>
                    <w:right w:type="dxa" w:w="100"/>
                  </w:tcMar>
                  <w:vAlign w:val="center"/>
                </w:tcPr>
                <w:p>
                  <w:pPr>
                    <w:spacing w:after="0"/>
                  </w:pPr>
                  <w:r>
                    <w:rPr>
                      <w:sz w:val="18"/>
                      <w:szCs w:val="18"/>
                    </w:rPr>
                    <w:t xml:space="preserve">2019</w:t>
                  </w:r>
                </w:p>
              </w:tc>
              <w:tc>
                <w:tcPr>
                  <w:tcW w:type="dxa" w:w="1599"/>
                  <w:tcMar>
                    <w:top w:type="dxa" w:w="70"/>
                    <w:left w:type="dxa" w:w="100"/>
                    <w:bottom w:type="dxa" w:w="70"/>
                    <w:right w:type="dxa" w:w="100"/>
                  </w:tcMar>
                  <w:vAlign w:val="center"/>
                </w:tcPr>
                <w:p>
                  <w:pPr>
                    <w:spacing w:after="0"/>
                  </w:pPr>
                  <w:r>
                    <w:rPr>
                      <w:sz w:val="18"/>
                      <w:szCs w:val="18"/>
                    </w:rPr>
                    <w:t xml:space="preserve">UTF-8</w:t>
                  </w:r>
                </w:p>
              </w:tc>
              <w:tc>
                <w:tcPr>
                  <w:tcW w:type="dxa" w:w="1910"/>
                  <w:tcMar>
                    <w:top w:type="dxa" w:w="70"/>
                    <w:left w:type="dxa" w:w="100"/>
                    <w:bottom w:type="dxa" w:w="70"/>
                    <w:right w:type="dxa" w:w="100"/>
                  </w:tcMar>
                  <w:vAlign w:val="center"/>
                </w:tcPr>
                <w:p>
                  <w:pPr>
                    <w:spacing w:after="0"/>
                  </w:pPr>
                  <w:r>
                    <w:rPr>
                      <w:sz w:val="18"/>
                      <w:szCs w:val="18"/>
                    </w:rPr>
                    <w:t xml:space="preserve">AAAA-MM-DD</w:t>
                  </w:r>
                </w:p>
              </w:tc>
              <w:tc>
                <w:tcPr>
                  <w:tcW w:type="dxa" w:w="8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0,5744</w:t>
                  </w:r>
                </w:p>
              </w:tc>
              <w:tc>
                <w:tcPr>
                  <w:tcW w:type="dxa" w:w="1952"/>
                  <w:tcMar>
                    <w:top w:type="dxa" w:w="70"/>
                    <w:left w:type="dxa" w:w="100"/>
                    <w:bottom w:type="dxa" w:w="70"/>
                    <w:right w:type="dxa" w:w="100"/>
                  </w:tcMar>
                  <w:vAlign w:val="center"/>
                </w:tcPr>
                <w:p>
                  <w:pPr>
                    <w:spacing w:after="0"/>
                  </w:pPr>
                  <w:r>
                    <w:rPr>
                      <w:sz w:val="18"/>
                      <w:szCs w:val="18"/>
                    </w:rPr>
                    <w:t xml:space="preserve">CIP_ENCRIPTADO</w:t>
                  </w:r>
                </w:p>
              </w:tc>
            </w:tr>
            <w:tr>
              <w:trPr>
                <w:cantSplit/>
                <w:tblHeader w:val="off"/>
              </w:trPr>
              <w:tc>
                <w:tcPr>
                  <w:tcW w:type="dxa" w:w="666"/>
                  <w:tcMar>
                    <w:top w:type="dxa" w:w="70"/>
                    <w:left w:type="dxa" w:w="100"/>
                    <w:bottom w:type="dxa" w:w="70"/>
                    <w:right w:type="dxa" w:w="100"/>
                  </w:tcMar>
                  <w:vAlign w:val="center"/>
                </w:tcPr>
                <w:p>
                  <w:pPr>
                    <w:spacing w:after="0"/>
                  </w:pPr>
                  <w:r>
                    <w:rPr>
                      <w:sz w:val="18"/>
                      <w:szCs w:val="18"/>
                    </w:rPr>
                    <w:t xml:space="preserve">2020</w:t>
                  </w:r>
                </w:p>
              </w:tc>
              <w:tc>
                <w:tcPr>
                  <w:tcW w:type="dxa" w:w="1599"/>
                  <w:tcMar>
                    <w:top w:type="dxa" w:w="70"/>
                    <w:left w:type="dxa" w:w="100"/>
                    <w:bottom w:type="dxa" w:w="70"/>
                    <w:right w:type="dxa" w:w="100"/>
                  </w:tcMar>
                  <w:vAlign w:val="center"/>
                </w:tcPr>
                <w:p>
                  <w:pPr>
                    <w:spacing w:after="0"/>
                  </w:pPr>
                  <w:r>
                    <w:rPr>
                      <w:sz w:val="18"/>
                      <w:szCs w:val="18"/>
                    </w:rPr>
                    <w:t xml:space="preserve">UTF-8</w:t>
                  </w:r>
                </w:p>
              </w:tc>
              <w:tc>
                <w:tcPr>
                  <w:tcW w:type="dxa" w:w="1910"/>
                  <w:tcMar>
                    <w:top w:type="dxa" w:w="70"/>
                    <w:left w:type="dxa" w:w="100"/>
                    <w:bottom w:type="dxa" w:w="70"/>
                    <w:right w:type="dxa" w:w="100"/>
                  </w:tcMar>
                  <w:vAlign w:val="center"/>
                </w:tcPr>
                <w:p>
                  <w:pPr>
                    <w:spacing w:after="0"/>
                  </w:pPr>
                  <w:r>
                    <w:rPr>
                      <w:sz w:val="18"/>
                      <w:szCs w:val="18"/>
                    </w:rPr>
                    <w:t xml:space="preserve">AAAA-MM-DD</w:t>
                  </w:r>
                </w:p>
              </w:tc>
              <w:tc>
                <w:tcPr>
                  <w:tcW w:type="dxa" w:w="8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1,303</w:t>
                  </w:r>
                </w:p>
              </w:tc>
              <w:tc>
                <w:tcPr>
                  <w:tcW w:type="dxa" w:w="1952"/>
                  <w:tcMar>
                    <w:top w:type="dxa" w:w="70"/>
                    <w:left w:type="dxa" w:w="100"/>
                    <w:bottom w:type="dxa" w:w="70"/>
                    <w:right w:type="dxa" w:w="100"/>
                  </w:tcMar>
                  <w:vAlign w:val="center"/>
                </w:tcPr>
                <w:p>
                  <w:pPr>
                    <w:spacing w:after="0"/>
                  </w:pPr>
                  <w:r>
                    <w:rPr>
                      <w:sz w:val="18"/>
                      <w:szCs w:val="18"/>
                    </w:rPr>
                    <w:t xml:space="preserve">CIP_ENCRIPTADO</w:t>
                  </w:r>
                </w:p>
              </w:tc>
            </w:tr>
            <w:tr>
              <w:trPr>
                <w:cantSplit/>
                <w:tblHeader w:val="off"/>
              </w:trPr>
              <w:tc>
                <w:tcPr>
                  <w:tcW w:type="dxa" w:w="666"/>
                  <w:tcMar>
                    <w:top w:type="dxa" w:w="70"/>
                    <w:left w:type="dxa" w:w="100"/>
                    <w:bottom w:type="dxa" w:w="70"/>
                    <w:right w:type="dxa" w:w="100"/>
                  </w:tcMar>
                  <w:vAlign w:val="center"/>
                </w:tcPr>
                <w:p>
                  <w:pPr>
                    <w:spacing w:after="0"/>
                  </w:pPr>
                  <w:r>
                    <w:rPr>
                      <w:sz w:val="18"/>
                      <w:szCs w:val="18"/>
                    </w:rPr>
                    <w:t xml:space="preserve">2021</w:t>
                  </w:r>
                </w:p>
              </w:tc>
              <w:tc>
                <w:tcPr>
                  <w:tcW w:type="dxa" w:w="1599"/>
                  <w:tcMar>
                    <w:top w:type="dxa" w:w="70"/>
                    <w:left w:type="dxa" w:w="100"/>
                    <w:bottom w:type="dxa" w:w="70"/>
                    <w:right w:type="dxa" w:w="100"/>
                  </w:tcMar>
                  <w:vAlign w:val="center"/>
                </w:tcPr>
                <w:p>
                  <w:pPr>
                    <w:spacing w:after="0"/>
                  </w:pPr>
                  <w:r>
                    <w:rPr>
                      <w:sz w:val="18"/>
                      <w:szCs w:val="18"/>
                    </w:rPr>
                    <w:t xml:space="preserve">UTF-8 con BOM</w:t>
                  </w:r>
                </w:p>
              </w:tc>
              <w:tc>
                <w:tcPr>
                  <w:tcW w:type="dxa" w:w="1910"/>
                  <w:tcMar>
                    <w:top w:type="dxa" w:w="70"/>
                    <w:left w:type="dxa" w:w="100"/>
                    <w:bottom w:type="dxa" w:w="70"/>
                    <w:right w:type="dxa" w:w="100"/>
                  </w:tcMar>
                  <w:vAlign w:val="center"/>
                </w:tcPr>
                <w:p>
                  <w:pPr>
                    <w:spacing w:after="0"/>
                  </w:pPr>
                  <w:r>
                    <w:rPr>
                      <w:sz w:val="18"/>
                      <w:szCs w:val="18"/>
                    </w:rPr>
                    <w:t xml:space="preserve">AAAA-MM-DD</w:t>
                  </w:r>
                </w:p>
              </w:tc>
              <w:tc>
                <w:tcPr>
                  <w:tcW w:type="dxa" w:w="8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,3045</w:t>
                  </w:r>
                </w:p>
              </w:tc>
              <w:tc>
                <w:tcPr>
                  <w:tcW w:type="dxa" w:w="1952"/>
                  <w:tcMar>
                    <w:top w:type="dxa" w:w="70"/>
                    <w:left w:type="dxa" w:w="100"/>
                    <w:bottom w:type="dxa" w:w="70"/>
                    <w:right w:type="dxa" w:w="100"/>
                  </w:tcMar>
                  <w:vAlign w:val="center"/>
                </w:tcPr>
                <w:p>
                  <w:pPr>
                    <w:spacing w:after="0"/>
                  </w:pPr>
                  <w:r>
                    <w:rPr>
                      <w:sz w:val="18"/>
                      <w:szCs w:val="18"/>
                    </w:rPr>
                    <w:t xml:space="preserve">CIP_ENCRIPTADO</w:t>
                  </w:r>
                </w:p>
              </w:tc>
            </w:tr>
            <w:tr>
              <w:trPr>
                <w:cantSplit/>
                <w:tblHeader w:val="off"/>
              </w:trPr>
              <w:tc>
                <w:tcPr>
                  <w:tcW w:type="dxa" w:w="666"/>
                  <w:tcMar>
                    <w:top w:type="dxa" w:w="70"/>
                    <w:left w:type="dxa" w:w="100"/>
                    <w:bottom w:type="dxa" w:w="70"/>
                    <w:right w:type="dxa" w:w="100"/>
                  </w:tcMar>
                  <w:vAlign w:val="center"/>
                </w:tcPr>
                <w:p>
                  <w:pPr>
                    <w:spacing w:after="0"/>
                  </w:pPr>
                  <w:r>
                    <w:rPr>
                      <w:sz w:val="18"/>
                      <w:szCs w:val="18"/>
                    </w:rPr>
                    <w:t xml:space="preserve">2022</w:t>
                  </w:r>
                </w:p>
              </w:tc>
              <w:tc>
                <w:tcPr>
                  <w:tcW w:type="dxa" w:w="1599"/>
                  <w:tcMar>
                    <w:top w:type="dxa" w:w="70"/>
                    <w:left w:type="dxa" w:w="100"/>
                    <w:bottom w:type="dxa" w:w="70"/>
                    <w:right w:type="dxa" w:w="100"/>
                  </w:tcMar>
                  <w:vAlign w:val="center"/>
                </w:tcPr>
                <w:p>
                  <w:pPr>
                    <w:spacing w:after="0"/>
                  </w:pPr>
                  <w:r>
                    <w:rPr>
                      <w:sz w:val="18"/>
                      <w:szCs w:val="18"/>
                    </w:rPr>
                    <w:t xml:space="preserve">UTF-16</w:t>
                  </w:r>
                </w:p>
              </w:tc>
              <w:tc>
                <w:tcPr>
                  <w:tcW w:type="dxa" w:w="1910"/>
                  <w:tcMar>
                    <w:top w:type="dxa" w:w="70"/>
                    <w:left w:type="dxa" w:w="100"/>
                    <w:bottom w:type="dxa" w:w="70"/>
                    <w:right w:type="dxa" w:w="100"/>
                  </w:tcMar>
                  <w:vAlign w:val="center"/>
                </w:tcPr>
                <w:p>
                  <w:pPr>
                    <w:spacing w:after="0"/>
                  </w:pPr>
                  <w:r>
                    <w:rPr>
                      <w:sz w:val="18"/>
                      <w:szCs w:val="18"/>
                    </w:rPr>
                    <w:t xml:space="preserve">AAAA-MM-DD</w:t>
                  </w:r>
                </w:p>
              </w:tc>
              <w:tc>
                <w:tcPr>
                  <w:tcW w:type="dxa" w:w="8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2,4156</w:t>
                  </w:r>
                </w:p>
              </w:tc>
              <w:tc>
                <w:tcPr>
                  <w:tcW w:type="dxa" w:w="1952"/>
                  <w:tcMar>
                    <w:top w:type="dxa" w:w="70"/>
                    <w:left w:type="dxa" w:w="100"/>
                    <w:bottom w:type="dxa" w:w="70"/>
                    <w:right w:type="dxa" w:w="100"/>
                  </w:tcMar>
                  <w:vAlign w:val="center"/>
                </w:tcPr>
                <w:p>
                  <w:pPr>
                    <w:spacing w:after="0"/>
                  </w:pPr>
                  <w:r>
                    <w:rPr>
                      <w:sz w:val="18"/>
                      <w:szCs w:val="18"/>
                    </w:rPr>
                    <w:t xml:space="preserve">CIP_ENCRIPTADO</w:t>
                  </w:r>
                </w:p>
              </w:tc>
            </w:tr>
            <w:tr>
              <w:trPr>
                <w:cantSplit/>
                <w:tblHeader w:val="off"/>
              </w:trPr>
              <w:tc>
                <w:tcPr>
                  <w:tcW w:type="dxa" w:w="666"/>
                  <w:tcMar>
                    <w:top w:type="dxa" w:w="70"/>
                    <w:left w:type="dxa" w:w="100"/>
                    <w:bottom w:type="dxa" w:w="70"/>
                    <w:right w:type="dxa" w:w="100"/>
                  </w:tcMar>
                  <w:vAlign w:val="center"/>
                </w:tcPr>
                <w:p>
                  <w:pPr>
                    <w:spacing w:after="0"/>
                  </w:pPr>
                  <w:r>
                    <w:rPr>
                      <w:sz w:val="18"/>
                      <w:szCs w:val="18"/>
                    </w:rPr>
                    <w:t xml:space="preserve">2023</w:t>
                  </w:r>
                </w:p>
              </w:tc>
              <w:tc>
                <w:tcPr>
                  <w:tcW w:type="dxa" w:w="1599"/>
                  <w:tcMar>
                    <w:top w:type="dxa" w:w="70"/>
                    <w:left w:type="dxa" w:w="100"/>
                    <w:bottom w:type="dxa" w:w="70"/>
                    <w:right w:type="dxa" w:w="100"/>
                  </w:tcMar>
                  <w:vAlign w:val="center"/>
                </w:tcPr>
                <w:p>
                  <w:pPr>
                    <w:spacing w:after="0"/>
                  </w:pPr>
                  <w:r>
                    <w:rPr>
                      <w:sz w:val="18"/>
                      <w:szCs w:val="18"/>
                    </w:rPr>
                    <w:t xml:space="preserve">UTF-16</w:t>
                  </w:r>
                </w:p>
              </w:tc>
              <w:tc>
                <w:tcPr>
                  <w:tcW w:type="dxa" w:w="1910"/>
                  <w:tcMar>
                    <w:top w:type="dxa" w:w="70"/>
                    <w:left w:type="dxa" w:w="100"/>
                    <w:bottom w:type="dxa" w:w="70"/>
                    <w:right w:type="dxa" w:w="100"/>
                  </w:tcMar>
                  <w:vAlign w:val="center"/>
                </w:tcPr>
                <w:p>
                  <w:pPr>
                    <w:spacing w:after="0"/>
                  </w:pPr>
                  <w:r>
                    <w:rPr>
                      <w:b/>
                      <w:bCs/>
                      <w:sz w:val="18"/>
                      <w:szCs w:val="18"/>
                    </w:rPr>
                    <w:t xml:space="preserve">DD-MM-AAAA</w:t>
                  </w:r>
                  <w:r>
                    <w:rPr>
                      <w:sz w:val="18"/>
                      <w:szCs w:val="18"/>
                    </w:rPr>
                    <w:t xml:space="preserve"> (nacimiento sí en AAAA-MM-DD)</w:t>
                  </w:r>
                </w:p>
              </w:tc>
              <w:tc>
                <w:tcPr>
                  <w:tcW w:type="dxa" w:w="8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0,7094</w:t>
                  </w:r>
                </w:p>
              </w:tc>
              <w:tc>
                <w:tcPr>
                  <w:tcW w:type="dxa" w:w="1952"/>
                  <w:tcMar>
                    <w:top w:type="dxa" w:w="70"/>
                    <w:left w:type="dxa" w:w="100"/>
                    <w:bottom w:type="dxa" w:w="70"/>
                    <w:right w:type="dxa" w:w="100"/>
                  </w:tcMar>
                  <w:vAlign w:val="center"/>
                </w:tcPr>
                <w:p>
                  <w:pPr>
                    <w:spacing w:after="0"/>
                  </w:pPr>
                  <w:r>
                    <w:rPr>
                      <w:sz w:val="18"/>
                      <w:szCs w:val="18"/>
                    </w:rPr>
                    <w:t xml:space="preserve">CIP_ENCRIPTADO</w:t>
                  </w:r>
                </w:p>
              </w:tc>
            </w:tr>
            <w:tr>
              <w:trPr>
                <w:cantSplit/>
                <w:tblHeader w:val="off"/>
              </w:trPr>
              <w:tc>
                <w:tcPr>
                  <w:tcW w:type="dxa" w:w="666"/>
                  <w:tcMar>
                    <w:top w:type="dxa" w:w="70"/>
                    <w:left w:type="dxa" w:w="100"/>
                    <w:bottom w:type="dxa" w:w="70"/>
                    <w:right w:type="dxa" w:w="100"/>
                  </w:tcMar>
                  <w:vAlign w:val="center"/>
                </w:tcPr>
                <w:p>
                  <w:pPr>
                    <w:spacing w:after="0"/>
                  </w:pPr>
                  <w:r>
                    <w:rPr>
                      <w:sz w:val="18"/>
                      <w:szCs w:val="18"/>
                    </w:rPr>
                    <w:t xml:space="preserve">2024</w:t>
                  </w:r>
                </w:p>
              </w:tc>
              <w:tc>
                <w:tcPr>
                  <w:tcW w:type="dxa" w:w="1599"/>
                  <w:tcMar>
                    <w:top w:type="dxa" w:w="70"/>
                    <w:left w:type="dxa" w:w="100"/>
                    <w:bottom w:type="dxa" w:w="70"/>
                    <w:right w:type="dxa" w:w="100"/>
                  </w:tcMar>
                  <w:vAlign w:val="center"/>
                </w:tcPr>
                <w:p>
                  <w:pPr>
                    <w:spacing w:after="0"/>
                  </w:pPr>
                  <w:r>
                    <w:rPr>
                      <w:sz w:val="18"/>
                      <w:szCs w:val="18"/>
                    </w:rPr>
                    <w:t xml:space="preserve">Latin-1 / cp1252</w:t>
                  </w:r>
                </w:p>
              </w:tc>
              <w:tc>
                <w:tcPr>
                  <w:tcW w:type="dxa" w:w="1910"/>
                  <w:tcMar>
                    <w:top w:type="dxa" w:w="70"/>
                    <w:left w:type="dxa" w:w="100"/>
                    <w:bottom w:type="dxa" w:w="70"/>
                    <w:right w:type="dxa" w:w="100"/>
                  </w:tcMar>
                  <w:vAlign w:val="center"/>
                </w:tcPr>
                <w:p>
                  <w:pPr>
                    <w:spacing w:after="0"/>
                  </w:pPr>
                  <w:r>
                    <w:rPr>
                      <w:sz w:val="18"/>
                      <w:szCs w:val="18"/>
                    </w:rPr>
                    <w:t xml:space="preserve">AAAA-MM-DD</w:t>
                  </w:r>
                </w:p>
              </w:tc>
              <w:tc>
                <w:tcPr>
                  <w:tcW w:type="dxa" w:w="899"/>
                  <w:tcMar>
                    <w:top w:type="dxa" w:w="70"/>
                    <w:left w:type="dxa" w:w="100"/>
                    <w:bottom w:type="dxa" w:w="70"/>
                    <w:right w:type="dxa" w:w="100"/>
                  </w:tcMar>
                  <w:vAlign w:val="center"/>
                </w:tcPr>
                <w:p>
                  <w:pPr>
                    <w:spacing w:after="0"/>
                  </w:pPr>
                  <w:r>
                    <w:rPr>
                      <w:rFonts w:ascii="Consolas" w:cs="Consolas" w:eastAsia="Consolas" w:hAnsi="Consolas"/>
                      <w:sz w:val="16"/>
                      <w:szCs w:val="16"/>
                      <w:shd w:fill="F2F2F2" w:color="auto" w:val="clear"/>
                    </w:rPr>
                    <w:t xml:space="preserve">0,4384</w:t>
                  </w:r>
                </w:p>
              </w:tc>
              <w:tc>
                <w:tcPr>
                  <w:tcW w:type="dxa" w:w="1952"/>
                  <w:tcMar>
                    <w:top w:type="dxa" w:w="70"/>
                    <w:left w:type="dxa" w:w="100"/>
                    <w:bottom w:type="dxa" w:w="70"/>
                    <w:right w:type="dxa" w:w="100"/>
                  </w:tcMar>
                  <w:vAlign w:val="center"/>
                </w:tcPr>
                <w:p>
                  <w:pPr>
                    <w:spacing w:after="0"/>
                  </w:pPr>
                  <w:r>
                    <w:rPr>
                      <w:b/>
                      <w:bCs/>
                      <w:sz w:val="18"/>
                      <w:szCs w:val="18"/>
                    </w:rPr>
                    <w:t xml:space="preserve">ID_BENEFICIARIO</w:t>
                  </w:r>
                </w:p>
              </w:tc>
            </w:tr>
          </w:tbl>
          <w:p>
            <w:pPr>
              <w:keepNext/>
              <w:spacing w:after="0" w:before="100"/>
            </w:pPr>
            <w:r>
              <w:rPr>
                <w:sz w:val="20"/>
                <w:szCs w:val="20"/>
              </w:rPr>
              <w:t xml:space="preserve">Además, </w:t>
            </w:r>
            <w:r>
              <w:rPr>
                <w:rFonts w:ascii="Consolas" w:cs="Consolas" w:eastAsia="Consolas" w:hAnsi="Consolas"/>
                <w:sz w:val="18"/>
                <w:szCs w:val="18"/>
                <w:shd w:fill="F2F2F2" w:color="auto" w:val="clear"/>
              </w:rPr>
              <w:t xml:space="preserve">IR_29301_COD_GRD</w:t>
            </w:r>
            <w:r>
              <w:rPr>
                <w:sz w:val="20"/>
                <w:szCs w:val="20"/>
              </w:rPr>
              <w:t xml:space="preserve"> tiene ceros a la izquierda y debe leerse como texto.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sz w:val="20"/>
                <w:szCs w:val="20"/>
              </w:rPr>
              <w:t xml:space="preserve">inspección inicial de encabezados y primeras filas.</w:t>
            </w:r>
          </w:p>
        </w:tc>
      </w:tr>
    </w:tbl>
    <w:p>
      <w:pPr>
        <w:pStyle w:val="Heading2"/>
      </w:pPr>
      <w:bookmarkStart w:name="E_H02" w:id="4"/>
      <w:r>
        <w:rPr>
          <w:color w:val="2E75B6"/>
        </w:rPr>
        <w:t xml:space="preserve">H02</w:t>
      </w:r>
      <w:bookmarkEnd w:id="4"/>
      <w:r>
        <w:t xml:space="preserve"> · Dos sistemas de identificador de paciente</w:t>
      </w:r>
    </w:p>
    <w:p>
      <w:pPr>
        <w:keepNext/>
        <w:spacing w:after="100"/>
      </w:pPr>
      <w:r>
        <w:rPr>
          <w:b/>
          <w:bCs/>
          <w:color w:val="2E75B6"/>
          <w:sz w:val="18"/>
          <w:szCs w:val="18"/>
        </w:rPr>
        <w:t xml:space="preserve">Hallazgo</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Bloque A (2019–2020): ID de 4 a 7 dígitos. Bloque B (2021–2024): ID de 8 a 9 dígitos. Dentro de cada bloque, entre 8 y 15 % de los pacientes reaparece en otro año, y entre ellos el 97–98 % coincide en sexo y fecha de nacimiento (misma persona). Entre bloques no hay ninguna coincidencia. El cambio de nombre de la columna en 2024 no implica cambio de identificador: 2024 es compatible con 2021–2023.</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Consistencia interna</w:t>
            </w:r>
          </w:p>
        </w:tc>
        <w:tc>
          <w:tcPr>
            <w:tcW w:type="dxa" w:w="7226"/>
            <w:tcMar>
              <w:top w:type="dxa" w:w="70"/>
              <w:left w:type="dxa" w:w="100"/>
              <w:bottom w:type="dxa" w:w="70"/>
              <w:right w:type="dxa" w:w="100"/>
            </w:tcMar>
          </w:tcPr>
          <w:p>
            <w:pPr>
              <w:keepNext/>
              <w:spacing w:after="0" w:before="0"/>
            </w:pPr>
            <w:r>
              <w:rPr>
                <w:sz w:val="20"/>
                <w:szCs w:val="20"/>
              </w:rPr>
              <w:t xml:space="preserve">solo 0,1–0,4 % de los ID tiene más de un sexo o fecha de nacimiento dentro del año.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1.2_exploracion_calidad/scripts/01_diagnostico_ids.py</w:t>
            </w:r>
            <w:r>
              <w:rPr>
                <w:sz w:val="20"/>
                <w:szCs w:val="20"/>
              </w:rPr>
              <w:t xml:space="preserve"> → </w:t>
            </w:r>
            <w:r>
              <w:rPr>
                <w:rFonts w:ascii="Consolas" w:cs="Consolas" w:eastAsia="Consolas" w:hAnsi="Consolas"/>
                <w:sz w:val="18"/>
                <w:szCs w:val="18"/>
                <w:shd w:fill="F2F2F2" w:color="auto" w:val="clear"/>
              </w:rPr>
              <w:t xml:space="preserve">1.2_exploracion_calidad/reportes/01_diagnostico_ids.md</w:t>
            </w:r>
            <w:r>
              <w:rPr>
                <w:sz w:val="20"/>
                <w:szCs w:val="20"/>
              </w:rPr>
              <w:t xml:space="preserve">.</w:t>
            </w:r>
          </w:p>
        </w:tc>
      </w:tr>
    </w:tbl>
    <w:p>
      <w:pPr>
        <w:pStyle w:val="Heading2"/>
      </w:pPr>
      <w:bookmarkStart w:name="E_D03" w:id="5"/>
      <w:r>
        <w:rPr>
          <w:color w:val="548235"/>
        </w:rPr>
        <w:t xml:space="preserve">D03</w:t>
      </w:r>
      <w:bookmarkEnd w:id="5"/>
      <w:r>
        <w:t xml:space="preserve"> · Reingreso reconstruido por bloque de identificador</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 y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agrega la variable </w:t>
            </w:r>
            <w:r>
              <w:rPr>
                <w:rFonts w:ascii="Consolas" w:cs="Consolas" w:eastAsia="Consolas" w:hAnsi="Consolas"/>
                <w:sz w:val="18"/>
                <w:szCs w:val="18"/>
                <w:shd w:fill="F2F2F2" w:color="auto" w:val="clear"/>
              </w:rPr>
              <w:t xml:space="preserve">BLOQUE_ID</w:t>
            </w:r>
            <w:r>
              <w:rPr>
                <w:sz w:val="20"/>
                <w:szCs w:val="20"/>
              </w:rPr>
              <w:t xml:space="preserve"> (A = 2019–2020, B = 2021–2024) y el reingreso se reconstruye solo dentro de cada bloque. Los egresos del bloque A cuya ventana de seguimiento supera el 31-12-2020 se tratan como censurados por la derecha, igual que los del bloque B que superan el 31-12-2024.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Alternativas descartadas</w:t>
            </w:r>
          </w:p>
        </w:tc>
        <w:tc>
          <w:tcPr>
            <w:tcW w:type="dxa" w:w="7226"/>
            <w:tcMar>
              <w:top w:type="dxa" w:w="70"/>
              <w:left w:type="dxa" w:w="100"/>
              <w:bottom w:type="dxa" w:w="70"/>
              <w:right w:type="dxa" w:w="100"/>
            </w:tcMar>
          </w:tcPr>
          <w:p>
            <w:pPr>
              <w:keepNext/>
              <w:spacing w:after="0" w:before="0"/>
            </w:pPr>
            <w:r>
              <w:rPr>
                <w:sz w:val="20"/>
                <w:szCs w:val="20"/>
              </w:rPr>
              <w:t xml:space="preserve">(1) tabla de correspondencia del DEIS: no disponible; (2) enlace por sexo, fecha de nacimiento y comuna: descartado por el alto riesgo de falsos enlaces.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Consecuencias</w:t>
            </w:r>
          </w:p>
        </w:tc>
        <w:tc>
          <w:tcPr>
            <w:tcW w:type="dxa" w:w="7226"/>
            <w:tcMar>
              <w:top w:type="dxa" w:w="70"/>
              <w:left w:type="dxa" w:w="100"/>
              <w:bottom w:type="dxa" w:w="70"/>
              <w:right w:type="dxa" w:w="100"/>
            </w:tcMar>
          </w:tcPr>
          <w:p>
            <w:pPr>
              <w:keepNext/>
              <w:spacing w:after="0" w:before="0"/>
            </w:pPr>
            <w:r>
              <w:rPr>
                <w:sz w:val="20"/>
                <w:szCs w:val="20"/>
              </w:rPr>
              <w:t xml:space="preserve">se pierden los reingresos que cruzan de 2020 a 2021, y las "hospitalizaciones previas" de los egresos de comienzos de 2021 quedan subestimadas. Se declara como limitación.</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D04" w:id="6"/>
      <w:r>
        <w:rPr>
          <w:color w:val="548235"/>
        </w:rPr>
        <w:t xml:space="preserve">D04</w:t>
      </w:r>
      <w:bookmarkEnd w:id="6"/>
      <w:r>
        <w:t xml:space="preserve"> · Valores nulos</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consideran nulos: vacío, </w:t>
            </w:r>
            <w:r>
              <w:rPr>
                <w:rFonts w:ascii="Consolas" w:cs="Consolas" w:eastAsia="Consolas" w:hAnsi="Consolas"/>
                <w:sz w:val="18"/>
                <w:szCs w:val="18"/>
                <w:shd w:fill="F2F2F2" w:color="auto" w:val="clear"/>
              </w:rPr>
              <w:t xml:space="preserve">DESCONOCIDO</w:t>
            </w:r>
            <w:r>
              <w:rPr>
                <w:sz w:val="20"/>
                <w:szCs w:val="20"/>
              </w:rPr>
              <w:t xml:space="preserve"> y </w:t>
            </w:r>
            <w:r>
              <w:rPr>
                <w:rFonts w:ascii="Consolas" w:cs="Consolas" w:eastAsia="Consolas" w:hAnsi="Consolas"/>
                <w:sz w:val="18"/>
                <w:szCs w:val="18"/>
                <w:shd w:fill="F2F2F2" w:color="auto" w:val="clear"/>
              </w:rPr>
              <w:t xml:space="preserve">SIN INFORMACIÓN</w:t>
            </w:r>
            <w:r>
              <w:rPr>
                <w:sz w:val="20"/>
                <w:szCs w:val="20"/>
              </w:rPr>
              <w:t xml:space="preserve"> (este último solo en los ID de 2019–2020). En el ID, además, el valor </w:t>
            </w:r>
            <w:r>
              <w:rPr>
                <w:rFonts w:ascii="Consolas" w:cs="Consolas" w:eastAsia="Consolas" w:hAnsi="Consolas"/>
                <w:sz w:val="18"/>
                <w:szCs w:val="18"/>
                <w:shd w:fill="F2F2F2" w:color="auto" w:val="clear"/>
              </w:rPr>
              <w:t xml:space="preserve">0</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1.2_exploracion_calidad/reportes/01_diagnostico_ids.md</w:t>
            </w:r>
            <w:r>
              <w:rPr>
                <w:sz w:val="20"/>
                <w:szCs w:val="20"/>
              </w:rPr>
              <w:t xml:space="preserve">, </w:t>
            </w:r>
            <w:r>
              <w:rPr>
                <w:rFonts w:ascii="Consolas" w:cs="Consolas" w:eastAsia="Consolas" w:hAnsi="Consolas"/>
                <w:sz w:val="18"/>
                <w:szCs w:val="18"/>
                <w:shd w:fill="F2F2F2" w:color="auto" w:val="clear"/>
              </w:rPr>
              <w:t xml:space="preserve">1.2_exploracion_calidad/reportes/02_cobertura_tablas_auxiliares.md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Reemplazada por </w:t>
            </w:r>
            <w:hyperlink w:history="1" w:anchor="E_D11">
              <w:r>
                <w:rPr>
                  <w:color w:val="0563C1"/>
                  <w:sz w:val="20"/>
                  <w:szCs w:val="20"/>
                  <w:u w:val="single"/>
                </w:rPr>
                <w:t xml:space="preserve">D11</w:t>
              </w:r>
            </w:hyperlink>
            <w:r>
              <w:rPr>
                <w:sz w:val="20"/>
                <w:szCs w:val="20"/>
              </w:rPr>
              <w:t xml:space="preserve">.</w:t>
            </w:r>
          </w:p>
        </w:tc>
      </w:tr>
    </w:tbl>
    <w:p>
      <w:pPr>
        <w:pStyle w:val="Heading2"/>
      </w:pPr>
      <w:bookmarkStart w:name="E_H03" w:id="7"/>
      <w:r>
        <w:rPr>
          <w:color w:val="2E75B6"/>
        </w:rPr>
        <w:t xml:space="preserve">H03</w:t>
      </w:r>
      <w:bookmarkEnd w:id="7"/>
      <w:r>
        <w:t xml:space="preserve"> · Cobertura de los códigos en las tablas auxiliares del DEIS</w:t>
      </w:r>
    </w:p>
    <w:p>
      <w:pPr>
        <w:keepNext/>
        <w:spacing w:after="100"/>
      </w:pPr>
      <w:r>
        <w:rPr>
          <w:b/>
          <w:bCs/>
          <w:color w:val="2E75B6"/>
          <w:sz w:val="18"/>
          <w:szCs w:val="18"/>
        </w:rPr>
        <w:t xml:space="preserve">Hallazgo</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Diagnósticos (CIE-10) 99,5–99,9 %, procedimientos (CIE-9) ~100 %, GRD ~100 %, hospitales 100 % hasta 2023 y 99 % en 2024. Lo que no aparece en los catálogos: </w:t>
            </w:r>
            <w:r>
              <w:rPr>
                <w:rFonts w:ascii="Consolas" w:cs="Consolas" w:eastAsia="Consolas" w:hAnsi="Consolas"/>
                <w:sz w:val="18"/>
                <w:szCs w:val="18"/>
                <w:shd w:fill="F2F2F2" w:color="auto" w:val="clear"/>
              </w:rPr>
              <w:t xml:space="preserve">DESCONOCIDO</w:t>
            </w:r>
            <w:r>
              <w:rPr>
                <w:sz w:val="20"/>
                <w:szCs w:val="20"/>
              </w:rPr>
              <w:t xml:space="preserve">, códigos COVID posteriores al catálogo (U08.9, U09.9, U10.9, U12.9) y el hospital </w:t>
            </w:r>
            <w:r>
              <w:rPr>
                <w:rFonts w:ascii="Consolas" w:cs="Consolas" w:eastAsia="Consolas" w:hAnsi="Consolas"/>
                <w:sz w:val="18"/>
                <w:szCs w:val="18"/>
                <w:shd w:fill="F2F2F2" w:color="auto" w:val="clear"/>
              </w:rPr>
              <w:t xml:space="preserve">200717</w:t>
            </w:r>
            <w:r>
              <w:rPr>
                <w:sz w:val="20"/>
                <w:szCs w:val="20"/>
              </w:rPr>
              <w:t xml:space="preserve"> (10.354 egresos en 2024).</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1.2_exploracion_calidad/scripts/02_cobertura_tablas_auxiliares.py</w:t>
            </w:r>
            <w:r>
              <w:rPr>
                <w:sz w:val="20"/>
                <w:szCs w:val="20"/>
              </w:rPr>
              <w:t xml:space="preserve"> → </w:t>
            </w:r>
            <w:r>
              <w:rPr>
                <w:rFonts w:ascii="Consolas" w:cs="Consolas" w:eastAsia="Consolas" w:hAnsi="Consolas"/>
                <w:sz w:val="18"/>
                <w:szCs w:val="18"/>
                <w:shd w:fill="F2F2F2" w:color="auto" w:val="clear"/>
              </w:rPr>
              <w:t xml:space="preserve">1.2_exploracion_calidad/reportes/02_cobertura_tablas_auxiliares.md</w:t>
            </w:r>
            <w:r>
              <w:rPr>
                <w:sz w:val="20"/>
                <w:szCs w:val="20"/>
              </w:rPr>
              <w:t xml:space="preserve">.</w:t>
            </w:r>
          </w:p>
        </w:tc>
      </w:tr>
    </w:tbl>
    <w:p>
      <w:pPr>
        <w:pStyle w:val="Heading2"/>
      </w:pPr>
      <w:bookmarkStart w:name="E_H04" w:id="8"/>
      <w:r>
        <w:rPr>
          <w:color w:val="2E75B6"/>
        </w:rPr>
        <w:t xml:space="preserve">H04</w:t>
      </w:r>
      <w:bookmarkEnd w:id="8"/>
      <w:r>
        <w:t xml:space="preserve"> · Estructura del código GRD</w:t>
      </w:r>
    </w:p>
    <w:p>
      <w:pPr>
        <w:keepNext/>
        <w:spacing w:after="100"/>
      </w:pPr>
      <w:r>
        <w:rPr>
          <w:b/>
          <w:bCs/>
          <w:color w:val="2E75B6"/>
          <w:sz w:val="18"/>
          <w:szCs w:val="18"/>
        </w:rPr>
        <w:t xml:space="preserve">Hallazgo</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val="false"/>
              <w:spacing w:after="0" w:before="0"/>
            </w:pPr>
            <w:r>
              <w:rPr>
                <w:sz w:val="20"/>
                <w:szCs w:val="20"/>
              </w:rPr>
              <w:t xml:space="preserve">En la tabla maestra, los 2 primeros dígitos del código toman 24 valores (CDM 01–23 y 99 = inagrupable), lo que respalda derivar la CDM desde los 2 primeros dígitos. El último dígito corresponde a la severidad (0–3). En el Excel los códigos perdieron el cero inicial. Las descripciones comienzan con PH/PA/MH/MA (se interpreta como procedimiento o médico, hospitalizado o ambulatorio; falta confirmarlo con documentación). La tabla maestra no incluye los nombres de las CDM.</w:t>
            </w:r>
          </w:p>
        </w:tc>
      </w:tr>
    </w:tbl>
    <w:p>
      <w:pPr>
        <w:pStyle w:val="Heading2"/>
      </w:pPr>
      <w:bookmarkStart w:name="E_H05" w:id="9"/>
      <w:r>
        <w:rPr>
          <w:color w:val="2E75B6"/>
        </w:rPr>
        <w:t xml:space="preserve">H05</w:t>
      </w:r>
      <w:bookmarkEnd w:id="9"/>
      <w:r>
        <w:t xml:space="preserve"> · Incorporación de hospitales al sistema GRD</w:t>
      </w:r>
    </w:p>
    <w:p>
      <w:pPr>
        <w:keepNext/>
        <w:spacing w:after="100"/>
      </w:pPr>
      <w:r>
        <w:rPr>
          <w:b/>
          <w:bCs/>
          <w:color w:val="2E75B6"/>
          <w:sz w:val="18"/>
          <w:szCs w:val="18"/>
        </w:rPr>
        <w:t xml:space="preserve">Hallazgo</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65 hospitales entre 2019 y 2022, 68 en 2023 y 72 en 2024. Un reingreso en un hospital que aún no reportaba a GRD no es observable, lo que puede aumentar artificialmente la tasa de reingreso en 2023–2024.</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val="false"/>
              <w:spacing w:after="0" w:before="0"/>
            </w:pPr>
            <w:r>
              <w:rPr>
                <w:sz w:val="20"/>
                <w:szCs w:val="20"/>
              </w:rPr>
              <w:t xml:space="preserve">Declarar como limitación y considerarlo al interpretar la validación temporal (entrenamiento 2019–2022, evaluación 2023–2024).</w:t>
            </w:r>
          </w:p>
        </w:tc>
      </w:tr>
    </w:tbl>
    <w:p>
      <w:pPr>
        <w:pStyle w:val="Heading2"/>
      </w:pPr>
      <w:bookmarkStart w:name="E_D05" w:id="10"/>
      <w:r>
        <w:rPr>
          <w:color w:val="548235"/>
        </w:rPr>
        <w:t xml:space="preserve">D05</w:t>
      </w:r>
      <w:bookmarkEnd w:id="10"/>
      <w:r>
        <w:t xml:space="preserve"> · Diagnósticos COVID fuera del catálogo</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conservan U08.9, U09.9, U10.9 y U12.9 como códigos válidos (OMS, posteriores a la versión 2015 del catálogo) y se agregan manualmente al catálogo con su descripción.</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D06" w:id="11"/>
      <w:r>
        <w:rPr>
          <w:color w:val="548235"/>
        </w:rPr>
        <w:t xml:space="preserve">D06</w:t>
      </w:r>
      <w:bookmarkEnd w:id="11"/>
      <w:r>
        <w:t xml:space="preserve"> · Código GRD y CDM como texto</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IR_29301_COD_GRD</w:t>
            </w:r>
            <w:r>
              <w:rPr>
                <w:sz w:val="20"/>
                <w:szCs w:val="20"/>
              </w:rPr>
              <w:t xml:space="preserve"> se guarda como texto de 6 caracteres con ceros a la izquierda (también en la tabla maestra). </w:t>
            </w:r>
            <w:r>
              <w:rPr>
                <w:rFonts w:ascii="Consolas" w:cs="Consolas" w:eastAsia="Consolas" w:hAnsi="Consolas"/>
                <w:sz w:val="18"/>
                <w:szCs w:val="18"/>
                <w:shd w:fill="F2F2F2" w:color="auto" w:val="clear"/>
              </w:rPr>
              <w:t xml:space="preserve">CDM</w:t>
            </w:r>
            <w:r>
              <w:rPr>
                <w:sz w:val="20"/>
                <w:szCs w:val="20"/>
              </w:rPr>
              <w:t xml:space="preserve"> = 2 primeros caracteres.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D07" w:id="12"/>
      <w:r>
        <w:rPr>
          <w:color w:val="548235"/>
        </w:rPr>
        <w:t xml:space="preserve">D07</w:t>
      </w:r>
      <w:bookmarkEnd w:id="12"/>
      <w:r>
        <w:t xml:space="preserve"> · Egresos sin diagnóstico principal</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 propuesta</w:t>
            </w:r>
          </w:p>
        </w:tc>
        <w:tc>
          <w:tcPr>
            <w:tcW w:type="dxa" w:w="7226"/>
            <w:tcMar>
              <w:top w:type="dxa" w:w="70"/>
              <w:left w:type="dxa" w:w="100"/>
              <w:bottom w:type="dxa" w:w="70"/>
              <w:right w:type="dxa" w:w="100"/>
            </w:tcMar>
          </w:tcPr>
          <w:p>
            <w:pPr>
              <w:keepNext/>
              <w:spacing w:after="0" w:before="0"/>
            </w:pPr>
            <w:r>
              <w:rPr>
                <w:sz w:val="20"/>
                <w:szCs w:val="20"/>
              </w:rPr>
              <w:t xml:space="preserve">Conservar los egresos sin diagnóstico principal. Son 11.396 (0,20 %) y casi todos tienen GRD, CDM, diagnósticos secundarios y procedimientos. Solo se excluyen como caso de estudio los que no tienen un GRD válido (ver </w:t>
            </w:r>
            <w:hyperlink w:history="1" w:anchor="E_D08">
              <w:r>
                <w:rPr>
                  <w:color w:val="0563C1"/>
                  <w:sz w:val="20"/>
                  <w:szCs w:val="20"/>
                  <w:u w:val="single"/>
                </w:rPr>
                <w:t xml:space="preserve">D08</w:t>
              </w:r>
            </w:hyperlink>
            <w:r>
              <w:rPr>
                <w:sz w:val="20"/>
                <w:szCs w:val="20"/>
              </w:rPr>
              <w:t xml:space="preserve">). Reemplaza la propuesta inicial de excluirlos.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5 de octubre de 2026 sobre la tabla integrada. El 95 % de estos egresos tiene diagnósticos secundarios, el 98 % tiene procedimientos y todos salvo 19 tienen código GRD; el 65 % pertenece a la CDM 08. Se concentran en 2019 (8.650) y 2020 (2.372). En un conteo preliminar, 871 ocurren dentro de los 30 días posteriores a un alta anterior del mismo paciente, por lo que eliminarlos dejaría esas altas sin su reingreso.</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Pendiente de validar con profesor guía.</w:t>
            </w:r>
          </w:p>
        </w:tc>
      </w:tr>
    </w:tbl>
    <w:p>
      <w:pPr>
        <w:pStyle w:val="Heading2"/>
      </w:pPr>
      <w:bookmarkStart w:name="E_D08" w:id="13"/>
      <w:r>
        <w:rPr>
          <w:color w:val="548235"/>
        </w:rPr>
        <w:t xml:space="preserve">D08</w:t>
      </w:r>
      <w:bookmarkEnd w:id="13"/>
      <w:r>
        <w:t xml:space="preserve"> · GRD inagrupable (CDM 99)</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 propuesta</w:t>
            </w:r>
          </w:p>
        </w:tc>
        <w:tc>
          <w:tcPr>
            <w:tcW w:type="dxa" w:w="7226"/>
            <w:tcMar>
              <w:top w:type="dxa" w:w="70"/>
              <w:left w:type="dxa" w:w="100"/>
              <w:bottom w:type="dxa" w:w="70"/>
              <w:right w:type="dxa" w:w="100"/>
            </w:tcMar>
          </w:tcPr>
          <w:p>
            <w:pPr>
              <w:keepNext/>
              <w:spacing w:after="0" w:before="0"/>
            </w:pPr>
            <w:r>
              <w:rPr>
                <w:sz w:val="20"/>
                <w:szCs w:val="20"/>
              </w:rPr>
              <w:t xml:space="preserve">Los egresos con GRD inagrupable (CDM 99) se excluyen como caso de estudio (egreso índice), porque no tienen una categoría diagnóstica ni un peso GRD válidos. Se conservan en la tabla para identificar reingresos por cualquier causa. Un reingreso con CDM 99 no se cuenta como relacionado con el diagnóstico. El mismo criterio se aplica a los 90 egresos sin código GRD (</w:t>
            </w:r>
            <w:hyperlink w:history="1" w:anchor="E_H07">
              <w:r>
                <w:rPr>
                  <w:color w:val="0563C1"/>
                  <w:sz w:val="20"/>
                  <w:szCs w:val="20"/>
                  <w:u w:val="single"/>
                </w:rPr>
                <w:t xml:space="preserve">H07</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Fundamento</w:t>
            </w:r>
          </w:p>
        </w:tc>
        <w:tc>
          <w:tcPr>
            <w:tcW w:type="dxa" w:w="7226"/>
            <w:tcMar>
              <w:top w:type="dxa" w:w="70"/>
              <w:left w:type="dxa" w:w="100"/>
              <w:bottom w:type="dxa" w:w="70"/>
              <w:right w:type="dxa" w:w="100"/>
            </w:tcMar>
          </w:tcPr>
          <w:p>
            <w:pPr>
              <w:keepNext/>
              <w:spacing w:after="0" w:before="0"/>
            </w:pPr>
            <w:r>
              <w:rPr>
                <w:sz w:val="20"/>
                <w:szCs w:val="20"/>
              </w:rPr>
              <w:t xml:space="preserve">Revisión del 5 de octubre de 2026. Son 4.983 egresos (0,09 %). El 91 % corresponde al GRD 990099, "paciente ambulatorio con procedimiento de hospitalización" (cirugía mayor ambulatoria), y todos tienen peso GRD igual a 0. En un conteo preliminar, de unos 671.000 pares de alta seguida de un nuevo ingreso dentro de 30 días, solo 383 involucran la CDM 99.</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Pendiente de validar con profesor guía.</w:t>
            </w:r>
          </w:p>
        </w:tc>
      </w:tr>
    </w:tbl>
    <w:p>
      <w:pPr>
        <w:pStyle w:val="Heading2"/>
      </w:pPr>
      <w:bookmarkStart w:name="E_H06" w:id="14"/>
      <w:r>
        <w:rPr>
          <w:color w:val="2E75B6"/>
        </w:rPr>
        <w:t xml:space="preserve">H06</w:t>
      </w:r>
      <w:bookmarkEnd w:id="14"/>
      <w:r>
        <w:t xml:space="preserve"> · Línea con un separador de más en 2022</w:t>
      </w:r>
    </w:p>
    <w:p>
      <w:pPr>
        <w:keepNext/>
        <w:spacing w:after="100"/>
      </w:pPr>
      <w:r>
        <w:rPr>
          <w:b/>
          <w:bCs/>
          <w:color w:val="2E75B6"/>
          <w:sz w:val="18"/>
          <w:szCs w:val="18"/>
        </w:rPr>
        <w:t xml:space="preserve">Hallazgo</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En </w:t>
            </w:r>
            <w:r>
              <w:rPr>
                <w:rFonts w:ascii="Consolas" w:cs="Consolas" w:eastAsia="Consolas" w:hAnsi="Consolas"/>
                <w:sz w:val="18"/>
                <w:szCs w:val="18"/>
                <w:shd w:fill="F2F2F2" w:color="auto" w:val="clear"/>
              </w:rPr>
              <w:t xml:space="preserve">GRD_PUBLICO_EXTERNO_2022.txt</w:t>
            </w:r>
            <w:r>
              <w:rPr>
                <w:sz w:val="20"/>
                <w:szCs w:val="20"/>
              </w:rPr>
              <w:t xml:space="preserve">, la línea 120127 tiene 130 campos en vez de 129. Todas las columnas están alineadas hasta </w:t>
            </w:r>
            <w:r>
              <w:rPr>
                <w:rFonts w:ascii="Consolas" w:cs="Consolas" w:eastAsia="Consolas" w:hAnsi="Consolas"/>
                <w:sz w:val="18"/>
                <w:szCs w:val="18"/>
                <w:shd w:fill="F2F2F2" w:color="auto" w:val="clear"/>
              </w:rPr>
              <w:t xml:space="preserve">HOSPPROCEDENCIA</w:t>
            </w:r>
            <w:r>
              <w:rPr>
                <w:sz w:val="20"/>
                <w:szCs w:val="20"/>
              </w:rPr>
              <w:t xml:space="preserve">, que viene vacía, seguida de un campo extra </w:t>
            </w:r>
            <w:r>
              <w:rPr>
                <w:rFonts w:ascii="Consolas" w:cs="Consolas" w:eastAsia="Consolas" w:hAnsi="Consolas"/>
                <w:sz w:val="18"/>
                <w:szCs w:val="18"/>
                <w:shd w:fill="F2F2F2" w:color="auto" w:val="clear"/>
              </w:rPr>
              <w:t xml:space="preserve">114101</w:t>
            </w:r>
            <w:r>
              <w:rPr>
                <w:sz w:val="20"/>
                <w:szCs w:val="20"/>
              </w:rPr>
              <w:t xml:space="preserve">. Se interpreta que el valor original de </w:t>
            </w:r>
            <w:r>
              <w:rPr>
                <w:rFonts w:ascii="Consolas" w:cs="Consolas" w:eastAsia="Consolas" w:hAnsi="Consolas"/>
                <w:sz w:val="18"/>
                <w:szCs w:val="18"/>
                <w:shd w:fill="F2F2F2" w:color="auto" w:val="clear"/>
              </w:rPr>
              <w:t xml:space="preserve">HOSPPROCEDENCIA</w:t>
            </w:r>
            <w:r>
              <w:rPr>
                <w:sz w:val="20"/>
                <w:szCs w:val="20"/>
              </w:rPr>
              <w:t xml:space="preserve"> era </w:t>
            </w:r>
            <w:r>
              <w:rPr>
                <w:rFonts w:ascii="Consolas" w:cs="Consolas" w:eastAsia="Consolas" w:hAnsi="Consolas"/>
                <w:sz w:val="18"/>
                <w:szCs w:val="18"/>
                <w:shd w:fill="F2F2F2" w:color="auto" w:val="clear"/>
              </w:rPr>
              <w:t xml:space="preserve">|114101</w:t>
            </w:r>
            <w:r>
              <w:rPr>
                <w:sz w:val="20"/>
                <w:szCs w:val="20"/>
              </w:rPr>
              <w:t xml:space="preserve">. Es la única línea anómala en los seis archivos. El registro corresponde a un egreso fallecido con GRD </w:t>
            </w:r>
            <w:r>
              <w:rPr>
                <w:rFonts w:ascii="Consolas" w:cs="Consolas" w:eastAsia="Consolas" w:hAnsi="Consolas"/>
                <w:sz w:val="18"/>
                <w:szCs w:val="18"/>
                <w:shd w:fill="F2F2F2" w:color="auto" w:val="clear"/>
              </w:rPr>
              <w:t xml:space="preserve">DESCONOCIDO</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2.1_integracion_homogenizacion/scripts/03_convertir_parquet.py</w:t>
            </w:r>
            <w:r>
              <w:rPr>
                <w:sz w:val="20"/>
                <w:szCs w:val="20"/>
              </w:rPr>
              <w:t xml:space="preserve"> → </w:t>
            </w:r>
            <w:r>
              <w:rPr>
                <w:rFonts w:ascii="Consolas" w:cs="Consolas" w:eastAsia="Consolas" w:hAnsi="Consolas"/>
                <w:sz w:val="18"/>
                <w:szCs w:val="18"/>
                <w:shd w:fill="F2F2F2" w:color="auto" w:val="clear"/>
              </w:rPr>
              <w:t xml:space="preserve">2.1_integracion_homogenizacion/reportes/03_conversion_parquet.md</w:t>
            </w:r>
            <w:r>
              <w:rPr>
                <w:sz w:val="20"/>
                <w:szCs w:val="20"/>
              </w:rPr>
              <w:t xml:space="preserve">.</w:t>
            </w:r>
          </w:p>
        </w:tc>
      </w:tr>
    </w:tbl>
    <w:p>
      <w:pPr>
        <w:pStyle w:val="Heading2"/>
      </w:pPr>
      <w:bookmarkStart w:name="E_D09" w:id="15"/>
      <w:r>
        <w:rPr>
          <w:color w:val="548235"/>
        </w:rPr>
        <w:t xml:space="preserve">D09</w:t>
      </w:r>
      <w:bookmarkEnd w:id="15"/>
      <w:r>
        <w:t xml:space="preserve"> · Conversión a Parquet sin transformar</w:t>
      </w:r>
    </w:p>
    <w:p>
      <w:pPr>
        <w:keepNext/>
        <w:spacing w:after="100"/>
      </w:pPr>
      <w:r>
        <w:rPr>
          <w:b/>
          <w:bCs/>
          <w:color w:val="548235"/>
          <w:sz w:val="18"/>
          <w:szCs w:val="18"/>
        </w:rPr>
        <w:t xml:space="preserve">Decisión</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Cada archivo se convierte a </w:t>
            </w:r>
            <w:r>
              <w:rPr>
                <w:rFonts w:ascii="Consolas" w:cs="Consolas" w:eastAsia="Consolas" w:hAnsi="Consolas"/>
                <w:sz w:val="18"/>
                <w:szCs w:val="18"/>
                <w:shd w:fill="F2F2F2" w:color="auto" w:val="clear"/>
              </w:rPr>
              <w:t xml:space="preserve">data/interim/crudo_&lt;año&gt;.parquet</w:t>
            </w:r>
            <w:r>
              <w:rPr>
                <w:sz w:val="20"/>
                <w:szCs w:val="20"/>
              </w:rPr>
              <w:t xml:space="preserve"> con las 129 columnas como texto, sin modificaciones, más </w:t>
            </w:r>
            <w:r>
              <w:rPr>
                <w:rFonts w:ascii="Consolas" w:cs="Consolas" w:eastAsia="Consolas" w:hAnsi="Consolas"/>
                <w:sz w:val="18"/>
                <w:szCs w:val="18"/>
                <w:shd w:fill="F2F2F2" w:color="auto" w:val="clear"/>
              </w:rPr>
              <w:t xml:space="preserve">ANIO_ARCHIVO</w:t>
            </w:r>
            <w:r>
              <w:rPr>
                <w:sz w:val="20"/>
                <w:szCs w:val="20"/>
              </w:rPr>
              <w:t xml:space="preserve">, </w:t>
            </w:r>
            <w:r>
              <w:rPr>
                <w:rFonts w:ascii="Consolas" w:cs="Consolas" w:eastAsia="Consolas" w:hAnsi="Consolas"/>
                <w:sz w:val="18"/>
                <w:szCs w:val="18"/>
                <w:shd w:fill="F2F2F2" w:color="auto" w:val="clear"/>
              </w:rPr>
              <w:t xml:space="preserve">ARCHIVO_ORIGEN</w:t>
            </w:r>
            <w:r>
              <w:rPr>
                <w:sz w:val="20"/>
                <w:szCs w:val="20"/>
              </w:rPr>
              <w:t xml:space="preserve"> y </w:t>
            </w:r>
            <w:r>
              <w:rPr>
                <w:rFonts w:ascii="Consolas" w:cs="Consolas" w:eastAsia="Consolas" w:hAnsi="Consolas"/>
                <w:sz w:val="18"/>
                <w:szCs w:val="18"/>
                <w:shd w:fill="F2F2F2" w:color="auto" w:val="clear"/>
              </w:rPr>
              <w:t xml:space="preserve">FILA_ORIGEN</w:t>
            </w:r>
            <w:r>
              <w:rPr>
                <w:sz w:val="20"/>
                <w:szCs w:val="20"/>
              </w:rPr>
              <w:t xml:space="preserve"> (número de línea en el txt). La línea de </w:t>
            </w:r>
            <w:hyperlink w:history="1" w:anchor="E_H06">
              <w:r>
                <w:rPr>
                  <w:color w:val="0563C1"/>
                  <w:sz w:val="20"/>
                  <w:szCs w:val="20"/>
                  <w:u w:val="single"/>
                </w:rPr>
                <w:t xml:space="preserve">H06</w:t>
              </w:r>
            </w:hyperlink>
            <w:r>
              <w:rPr>
                <w:sz w:val="20"/>
                <w:szCs w:val="20"/>
              </w:rPr>
              <w:t xml:space="preserve"> se conserva uniendo el campo extra a </w:t>
            </w:r>
            <w:r>
              <w:rPr>
                <w:rFonts w:ascii="Consolas" w:cs="Consolas" w:eastAsia="Consolas" w:hAnsi="Consolas"/>
                <w:sz w:val="18"/>
                <w:szCs w:val="18"/>
                <w:shd w:fill="F2F2F2" w:color="auto" w:val="clear"/>
              </w:rPr>
              <w:t xml:space="preserve">HOSPPROCEDENCIA</w:t>
            </w:r>
            <w:r>
              <w:rPr>
                <w:sz w:val="20"/>
                <w:szCs w:val="20"/>
              </w:rPr>
              <w:t xml:space="preserve"> (</w:t>
            </w:r>
            <w:r>
              <w:rPr>
                <w:rFonts w:ascii="Consolas" w:cs="Consolas" w:eastAsia="Consolas" w:hAnsi="Consolas"/>
                <w:sz w:val="18"/>
                <w:szCs w:val="18"/>
                <w:shd w:fill="F2F2F2" w:color="auto" w:val="clear"/>
              </w:rPr>
              <w:t xml:space="preserve">|114101</w:t>
            </w:r>
            <w:r>
              <w:rPr>
                <w:sz w:val="20"/>
                <w:szCs w:val="20"/>
              </w:rPr>
              <w:t xml:space="preserve">), sin descartar el registro.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Verificación</w:t>
            </w:r>
          </w:p>
        </w:tc>
        <w:tc>
          <w:tcPr>
            <w:tcW w:type="dxa" w:w="7226"/>
            <w:tcMar>
              <w:top w:type="dxa" w:w="70"/>
              <w:left w:type="dxa" w:w="100"/>
              <w:bottom w:type="dxa" w:w="70"/>
              <w:right w:type="dxa" w:w="100"/>
            </w:tcMar>
          </w:tcPr>
          <w:p>
            <w:pPr>
              <w:keepNext/>
              <w:spacing w:after="0" w:before="0"/>
            </w:pPr>
            <w:r>
              <w:rPr>
                <w:sz w:val="20"/>
                <w:szCs w:val="20"/>
              </w:rPr>
              <w:t xml:space="preserve">5.808.536 registros en txt y en Parquet, sin campos faltantes y con el texto (tildes, Ñ) decodificado correctamente en los seis años. Tamaño: 4,0 GB en txt frente a 0,32 GB en Parquet.</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C01" w:id="16"/>
      <w:r>
        <w:rPr>
          <w:color w:val="C55A11"/>
        </w:rPr>
        <w:t xml:space="preserve">C01</w:t>
      </w:r>
      <w:bookmarkEnd w:id="16"/>
      <w:r>
        <w:t xml:space="preserve"> · Corrección: año del cambio de identificador</w:t>
      </w:r>
    </w:p>
    <w:p>
      <w:pPr>
        <w:keepNext/>
        <w:spacing w:after="100"/>
      </w:pPr>
      <w:r>
        <w:rPr>
          <w:b/>
          <w:bCs/>
          <w:color w:val="C55A11"/>
          <w:sz w:val="18"/>
          <w:szCs w:val="18"/>
        </w:rPr>
        <w:t xml:space="preserve">Corrección al informe</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Sección</w:t>
            </w:r>
          </w:p>
        </w:tc>
        <w:tc>
          <w:tcPr>
            <w:tcW w:type="dxa" w:w="7226"/>
            <w:tcMar>
              <w:top w:type="dxa" w:w="70"/>
              <w:left w:type="dxa" w:w="100"/>
              <w:bottom w:type="dxa" w:w="70"/>
              <w:right w:type="dxa" w:w="100"/>
            </w:tcMar>
          </w:tcPr>
          <w:p>
            <w:pPr>
              <w:keepNext/>
              <w:spacing w:after="0" w:before="0"/>
            </w:pPr>
            <w:r>
              <w:rPr>
                <w:i/>
                <w:iCs/>
                <w:sz w:val="20"/>
                <w:szCs w:val="20"/>
              </w:rPr>
              <w:t xml:space="preserve">Descripción de los datos o corpus</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Corrección</w:t>
            </w:r>
          </w:p>
        </w:tc>
        <w:tc>
          <w:tcPr>
            <w:tcW w:type="dxa" w:w="7226"/>
            <w:tcMar>
              <w:top w:type="dxa" w:w="70"/>
              <w:left w:type="dxa" w:w="100"/>
              <w:bottom w:type="dxa" w:w="70"/>
              <w:right w:type="dxa" w:w="100"/>
            </w:tcMar>
          </w:tcPr>
          <w:p>
            <w:pPr>
              <w:keepNext w:val="false"/>
              <w:spacing w:after="0" w:before="0"/>
            </w:pPr>
            <w:r>
              <w:rPr>
                <w:sz w:val="20"/>
                <w:szCs w:val="20"/>
              </w:rPr>
              <w:t xml:space="preserve">El informe indica un cambio de identificador "desde 2024". El cambio real ocurre entre 2020 y 2021; en 2024 solo cambia el nombre de la columna (ver </w:t>
            </w:r>
            <w:hyperlink w:history="1" w:anchor="E_H02">
              <w:r>
                <w:rPr>
                  <w:color w:val="0563C1"/>
                  <w:sz w:val="20"/>
                  <w:szCs w:val="20"/>
                  <w:u w:val="single"/>
                </w:rPr>
                <w:t xml:space="preserve">H02</w:t>
              </w:r>
            </w:hyperlink>
            <w:r>
              <w:rPr>
                <w:sz w:val="20"/>
                <w:szCs w:val="20"/>
              </w:rPr>
              <w:t xml:space="preserve">).</w:t>
            </w:r>
          </w:p>
        </w:tc>
      </w:tr>
    </w:tbl>
    <w:p>
      <w:pPr>
        <w:pStyle w:val="Heading2"/>
      </w:pPr>
      <w:bookmarkStart w:name="E_C02" w:id="17"/>
      <w:r>
        <w:rPr>
          <w:color w:val="C55A11"/>
        </w:rPr>
        <w:t xml:space="preserve">C02</w:t>
      </w:r>
      <w:bookmarkEnd w:id="17"/>
      <w:r>
        <w:t xml:space="preserve"> · Corrección: codificación de procedimientos</w:t>
      </w:r>
    </w:p>
    <w:p>
      <w:pPr>
        <w:keepNext/>
        <w:spacing w:after="100"/>
      </w:pPr>
      <w:r>
        <w:rPr>
          <w:b/>
          <w:bCs/>
          <w:color w:val="C55A11"/>
          <w:sz w:val="18"/>
          <w:szCs w:val="18"/>
        </w:rPr>
        <w:t xml:space="preserve">Corrección al informe</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Sección</w:t>
            </w:r>
          </w:p>
        </w:tc>
        <w:tc>
          <w:tcPr>
            <w:tcW w:type="dxa" w:w="7226"/>
            <w:tcMar>
              <w:top w:type="dxa" w:w="70"/>
              <w:left w:type="dxa" w:w="100"/>
              <w:bottom w:type="dxa" w:w="70"/>
              <w:right w:type="dxa" w:w="100"/>
            </w:tcMar>
          </w:tcPr>
          <w:p>
            <w:pPr>
              <w:keepNext/>
              <w:spacing w:after="0" w:before="0"/>
            </w:pPr>
            <w:r>
              <w:rPr>
                <w:i/>
                <w:iCs/>
                <w:sz w:val="20"/>
                <w:szCs w:val="20"/>
              </w:rPr>
              <w:t xml:space="preserve">Procedimiento experimental</w:t>
            </w:r>
            <w:r>
              <w:rPr>
                <w:sz w:val="20"/>
                <w:szCs w:val="20"/>
              </w:rPr>
              <w:t xml:space="preserve">, etapa 3.</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Corrección</w:t>
            </w:r>
          </w:p>
        </w:tc>
        <w:tc>
          <w:tcPr>
            <w:tcW w:type="dxa" w:w="7226"/>
            <w:tcMar>
              <w:top w:type="dxa" w:w="70"/>
              <w:left w:type="dxa" w:w="100"/>
              <w:bottom w:type="dxa" w:w="70"/>
              <w:right w:type="dxa" w:w="100"/>
            </w:tcMar>
          </w:tcPr>
          <w:p>
            <w:pPr>
              <w:keepNext w:val="false"/>
              <w:spacing w:after="0" w:before="0"/>
            </w:pPr>
            <w:r>
              <w:rPr>
                <w:sz w:val="20"/>
                <w:szCs w:val="20"/>
              </w:rPr>
              <w:t xml:space="preserve">Dice "codificación CIE-10 de diagnósticos y procedimientos". Los procedimientos están en CIE-9-MC.</w:t>
            </w:r>
          </w:p>
        </w:tc>
      </w:tr>
    </w:tbl>
    <w:p>
      <w:pPr>
        <w:pStyle w:val="Heading2"/>
      </w:pPr>
      <w:bookmarkStart w:name="E_C03" w:id="18"/>
      <w:r>
        <w:rPr>
          <w:color w:val="C55A11"/>
        </w:rPr>
        <w:t xml:space="preserve">C03</w:t>
      </w:r>
      <w:bookmarkEnd w:id="18"/>
      <w:r>
        <w:t xml:space="preserve"> · Corrección: software</w:t>
      </w:r>
    </w:p>
    <w:p>
      <w:pPr>
        <w:keepNext/>
        <w:spacing w:after="100"/>
      </w:pPr>
      <w:r>
        <w:rPr>
          <w:b/>
          <w:bCs/>
          <w:color w:val="C55A11"/>
          <w:sz w:val="18"/>
          <w:szCs w:val="18"/>
        </w:rPr>
        <w:t xml:space="preserve">Corrección al informe</w:t>
      </w:r>
      <w:r>
        <w:rPr>
          <w:color w:val="808080"/>
          <w:sz w:val="18"/>
          <w:szCs w:val="18"/>
        </w:rPr>
        <w:t xml:space="preserve">  ·  30 de septiembre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Sección</w:t>
            </w:r>
          </w:p>
        </w:tc>
        <w:tc>
          <w:tcPr>
            <w:tcW w:type="dxa" w:w="7226"/>
            <w:tcMar>
              <w:top w:type="dxa" w:w="70"/>
              <w:left w:type="dxa" w:w="100"/>
              <w:bottom w:type="dxa" w:w="70"/>
              <w:right w:type="dxa" w:w="100"/>
            </w:tcMar>
          </w:tcPr>
          <w:p>
            <w:pPr>
              <w:keepNext/>
              <w:spacing w:after="0" w:before="0"/>
            </w:pPr>
            <w:r>
              <w:rPr>
                <w:i/>
                <w:iCs/>
                <w:sz w:val="20"/>
                <w:szCs w:val="20"/>
              </w:rPr>
              <w:t xml:space="preserve">Software y hardware requerido</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Corrección</w:t>
            </w:r>
          </w:p>
        </w:tc>
        <w:tc>
          <w:tcPr>
            <w:tcW w:type="dxa" w:w="7226"/>
            <w:tcMar>
              <w:top w:type="dxa" w:w="70"/>
              <w:left w:type="dxa" w:w="100"/>
              <w:bottom w:type="dxa" w:w="70"/>
              <w:right w:type="dxa" w:w="100"/>
            </w:tcMar>
          </w:tcPr>
          <w:p>
            <w:pPr>
              <w:keepNext w:val="false"/>
              <w:spacing w:after="0" w:before="0"/>
            </w:pPr>
            <w:r>
              <w:rPr>
                <w:sz w:val="20"/>
                <w:szCs w:val="20"/>
              </w:rPr>
              <w:t xml:space="preserve">Agregar pyarrow 25.0.1 (lectura y escritura de Parquet) y openpyxl 3.1.5 (lectura de las tablas auxiliares).</w:t>
            </w:r>
          </w:p>
        </w:tc>
      </w:tr>
    </w:tbl>
    <w:p>
      <w:pPr>
        <w:pStyle w:val="Heading2"/>
      </w:pPr>
      <w:bookmarkStart w:name="E_H07" w:id="19"/>
      <w:r>
        <w:rPr>
          <w:color w:val="2E75B6"/>
        </w:rPr>
        <w:t xml:space="preserve">H07</w:t>
      </w:r>
      <w:bookmarkEnd w:id="19"/>
      <w:r>
        <w:t xml:space="preserve"> · Valores con forma de RUT en 2019</w:t>
      </w:r>
    </w:p>
    <w:p>
      <w:pPr>
        <w:keepNext/>
        <w:spacing w:after="100"/>
      </w:pPr>
      <w:r>
        <w:rPr>
          <w:b/>
          <w:bCs/>
          <w:color w:val="2E75B6"/>
          <w:sz w:val="18"/>
          <w:szCs w:val="18"/>
        </w:rPr>
        <w:t xml:space="preserve">Hallazgo</w:t>
      </w:r>
      <w:r>
        <w:rPr>
          <w:color w:val="808080"/>
          <w:sz w:val="18"/>
          <w:szCs w:val="18"/>
        </w:rPr>
        <w:t xml:space="preserve">  ·  2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En 2019, 27 filas tienen valores anómalos en </w:t>
            </w:r>
            <w:r>
              <w:rPr>
                <w:rFonts w:ascii="Consolas" w:cs="Consolas" w:eastAsia="Consolas" w:hAnsi="Consolas"/>
                <w:sz w:val="18"/>
                <w:szCs w:val="18"/>
                <w:shd w:fill="F2F2F2" w:color="auto" w:val="clear"/>
              </w:rPr>
              <w:t xml:space="preserve">USOSPABELLON</w:t>
            </w:r>
            <w:r>
              <w:rPr>
                <w:sz w:val="20"/>
                <w:szCs w:val="20"/>
              </w:rPr>
              <w:t xml:space="preserve"> o </w:t>
            </w:r>
            <w:r>
              <w:rPr>
                <w:rFonts w:ascii="Consolas" w:cs="Consolas" w:eastAsia="Consolas" w:hAnsi="Consolas"/>
                <w:sz w:val="18"/>
                <w:szCs w:val="18"/>
                <w:shd w:fill="F2F2F2" w:color="auto" w:val="clear"/>
              </w:rPr>
              <w:t xml:space="preserve">FECHAPROCEDIMIENTO1</w:t>
            </w:r>
            <w:r>
              <w:rPr>
                <w:sz w:val="20"/>
                <w:szCs w:val="20"/>
              </w:rPr>
              <w:t xml:space="preserve">; en la mayoría el valor tiene forma de RUT (número con dígito verificador). </w:t>
            </w:r>
            <w:r>
              <w:rPr>
                <w:rFonts w:ascii="Consolas" w:cs="Consolas" w:eastAsia="Consolas" w:hAnsi="Consolas"/>
                <w:sz w:val="18"/>
                <w:szCs w:val="18"/>
                <w:shd w:fill="F2F2F2" w:color="auto" w:val="clear"/>
              </w:rPr>
              <w:t xml:space="preserve">FECHAPROCEDIMIENTO1</w:t>
            </w:r>
            <w:r>
              <w:rPr>
                <w:sz w:val="20"/>
                <w:szCs w:val="20"/>
              </w:rPr>
              <w:t xml:space="preserve"> está vacía en todo el resto de la base. La mayoría de estas filas tiene GRD </w:t>
            </w:r>
            <w:r>
              <w:rPr>
                <w:rFonts w:ascii="Consolas" w:cs="Consolas" w:eastAsia="Consolas" w:hAnsi="Consolas"/>
                <w:sz w:val="18"/>
                <w:szCs w:val="18"/>
                <w:shd w:fill="F2F2F2" w:color="auto" w:val="clear"/>
              </w:rPr>
              <w:t xml:space="preserve">DESCONOCIDO</w:t>
            </w:r>
            <w:r>
              <w:rPr>
                <w:sz w:val="20"/>
                <w:szCs w:val="20"/>
              </w:rPr>
              <w:t xml:space="preserve"> y el resto de sus columnas está alineado (no son filas corridas). Podrían ser identificadores personales dentro de una base anonimizada.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sz w:val="20"/>
                <w:szCs w:val="20"/>
              </w:rPr>
              <w:t xml:space="preserve">revisión de formatos sin mostrar los valores. </w:t>
            </w:r>
            <w:r>
              <w:rPr>
                <w:rFonts w:ascii="Consolas" w:cs="Consolas" w:eastAsia="Consolas" w:hAnsi="Consolas"/>
                <w:sz w:val="18"/>
                <w:szCs w:val="18"/>
                <w:shd w:fill="F2F2F2" w:color="auto" w:val="clear"/>
              </w:rPr>
              <w:t xml:space="preserve">1.2_exploracion_calidad/reportes/04_perfil_columnas.md</w:t>
            </w:r>
            <w:r>
              <w:rPr>
                <w:sz w:val="20"/>
                <w:szCs w:val="20"/>
              </w:rPr>
              <w:t xml:space="preserve"> solo muestra formatos.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Verificación</w:t>
            </w:r>
          </w:p>
        </w:tc>
        <w:tc>
          <w:tcPr>
            <w:tcW w:type="dxa" w:w="7226"/>
            <w:tcMar>
              <w:top w:type="dxa" w:w="70"/>
              <w:left w:type="dxa" w:w="100"/>
              <w:bottom w:type="dxa" w:w="70"/>
              <w:right w:type="dxa" w:w="100"/>
            </w:tcMar>
          </w:tcPr>
          <w:p>
            <w:pPr>
              <w:keepNext/>
              <w:spacing w:after="0" w:before="0"/>
            </w:pPr>
            <w:r>
              <w:rPr>
                <w:sz w:val="20"/>
                <w:szCs w:val="20"/>
              </w:rPr>
              <w:t xml:space="preserve">El dígito verificador del RUT (módulo 11) es válido en 24 de las 27 celdas; con números al azar coincidiría en 2 o 3, por lo que casi con seguridad son RUT reales. Dos valores se repiten en pacientes distintos del mismo hospital, así que al menos esos no son del paciente (probablemente de un profesional). Provienen de 14 hospitales distintos.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Filas afectadas</w:t>
            </w:r>
          </w:p>
        </w:tc>
        <w:tc>
          <w:tcPr>
            <w:tcW w:type="dxa" w:w="7226"/>
            <w:tcMar>
              <w:top w:type="dxa" w:w="70"/>
              <w:left w:type="dxa" w:w="100"/>
              <w:bottom w:type="dxa" w:w="70"/>
              <w:right w:type="dxa" w:w="100"/>
            </w:tcMar>
          </w:tcPr>
          <w:p>
            <w:pPr>
              <w:keepNext/>
              <w:spacing w:after="0" w:before="0"/>
            </w:pPr>
            <w:r>
              <w:rPr>
                <w:sz w:val="20"/>
                <w:szCs w:val="20"/>
              </w:rPr>
              <w:t xml:space="preserve">Se concentran en 19 de las 21 filas de 2019 con GRD </w:t>
            </w:r>
            <w:r>
              <w:rPr>
                <w:rFonts w:ascii="Consolas" w:cs="Consolas" w:eastAsia="Consolas" w:hAnsi="Consolas"/>
                <w:sz w:val="18"/>
                <w:szCs w:val="18"/>
                <w:shd w:fill="F2F2F2" w:color="auto" w:val="clear"/>
              </w:rPr>
              <w:t xml:space="preserve">DESCONOCIDO</w:t>
            </w:r>
            <w:r>
              <w:rPr>
                <w:sz w:val="20"/>
                <w:szCs w:val="20"/>
              </w:rPr>
              <w:t xml:space="preserve">, que en su mayoría tienen además una fecha de nacimiento inválida (</w:t>
            </w:r>
            <w:r>
              <w:rPr>
                <w:rFonts w:ascii="Consolas" w:cs="Consolas" w:eastAsia="Consolas" w:hAnsi="Consolas"/>
                <w:sz w:val="18"/>
                <w:szCs w:val="18"/>
                <w:shd w:fill="F2F2F2" w:color="auto" w:val="clear"/>
              </w:rPr>
              <w:t xml:space="preserve">--01</w:t>
            </w:r>
            <w:r>
              <w:rPr>
                <w:sz w:val="20"/>
                <w:szCs w:val="20"/>
              </w:rPr>
              <w:t xml:space="preserve">, </w:t>
            </w:r>
            <w:r>
              <w:rPr>
                <w:rFonts w:ascii="Consolas" w:cs="Consolas" w:eastAsia="Consolas" w:hAnsi="Consolas"/>
                <w:sz w:val="18"/>
                <w:szCs w:val="18"/>
                <w:shd w:fill="F2F2F2" w:color="auto" w:val="clear"/>
              </w:rPr>
              <w:t xml:space="preserve">--02</w:t>
            </w:r>
            <w:r>
              <w:rPr>
                <w:sz w:val="20"/>
                <w:szCs w:val="20"/>
              </w:rPr>
              <w:t xml:space="preserve">): son registros defectuosos.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val="false"/>
              <w:spacing w:after="0" w:before="0"/>
            </w:pPr>
            <w:r>
              <w:rPr>
                <w:sz w:val="20"/>
                <w:szCs w:val="20"/>
              </w:rPr>
              <w:t xml:space="preserve">Los valores no se copian a reportes ni a la base homogenizada (ver </w:t>
            </w:r>
            <w:hyperlink w:history="1" w:anchor="E_D10">
              <w:r>
                <w:rPr>
                  <w:color w:val="0563C1"/>
                  <w:sz w:val="20"/>
                  <w:szCs w:val="20"/>
                  <w:u w:val="single"/>
                </w:rPr>
                <w:t xml:space="preserve">D10</w:t>
              </w:r>
            </w:hyperlink>
            <w:r>
              <w:rPr>
                <w:sz w:val="20"/>
                <w:szCs w:val="20"/>
              </w:rPr>
              <w:t xml:space="preserve">). Informar al profesor guía. Propuesta: excluir en la actividad 2.2 los egresos sin GRD (90 en los seis años).</w:t>
            </w:r>
          </w:p>
        </w:tc>
      </w:tr>
    </w:tbl>
    <w:p>
      <w:pPr>
        <w:pStyle w:val="Heading2"/>
      </w:pPr>
      <w:bookmarkStart w:name="E_H08" w:id="20"/>
      <w:r>
        <w:rPr>
          <w:color w:val="2E75B6"/>
        </w:rPr>
        <w:t xml:space="preserve">H08</w:t>
      </w:r>
      <w:bookmarkEnd w:id="20"/>
      <w:r>
        <w:t xml:space="preserve"> · Perfil de las 129 columnas (complementa H01)</w:t>
      </w:r>
    </w:p>
    <w:p>
      <w:pPr>
        <w:keepNext/>
        <w:spacing w:after="100"/>
      </w:pPr>
      <w:r>
        <w:rPr>
          <w:b/>
          <w:bCs/>
          <w:color w:val="2E75B6"/>
          <w:sz w:val="18"/>
          <w:szCs w:val="18"/>
        </w:rPr>
        <w:t xml:space="preserve">Hallazgo</w:t>
      </w:r>
      <w:r>
        <w:rPr>
          <w:color w:val="808080"/>
          <w:sz w:val="18"/>
          <w:szCs w:val="18"/>
        </w:rPr>
        <w:t xml:space="preserve">  ·  2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Fechas</w:t>
            </w:r>
          </w:p>
        </w:tc>
        <w:tc>
          <w:tcPr>
            <w:tcW w:type="dxa" w:w="7226"/>
            <w:tcMar>
              <w:top w:type="dxa" w:w="70"/>
              <w:left w:type="dxa" w:w="100"/>
              <w:bottom w:type="dxa" w:w="70"/>
              <w:right w:type="dxa" w:w="100"/>
            </w:tcMar>
          </w:tcPr>
          <w:p>
            <w:pPr>
              <w:keepNext/>
              <w:spacing w:after="0" w:before="0"/>
            </w:pPr>
            <w:r>
              <w:rPr>
                <w:sz w:val="20"/>
                <w:szCs w:val="20"/>
              </w:rPr>
              <w:t xml:space="preserve">En 2023 también están en DD-MM-AAAA </w:t>
            </w:r>
            <w:r>
              <w:rPr>
                <w:rFonts w:ascii="Consolas" w:cs="Consolas" w:eastAsia="Consolas" w:hAnsi="Consolas"/>
                <w:sz w:val="18"/>
                <w:szCs w:val="18"/>
                <w:shd w:fill="F2F2F2" w:color="auto" w:val="clear"/>
              </w:rPr>
              <w:t xml:space="preserve">FECHATRASLADO1-9</w:t>
            </w:r>
            <w:r>
              <w:rPr>
                <w:sz w:val="20"/>
                <w:szCs w:val="20"/>
              </w:rPr>
              <w:t xml:space="preserve"> y </w:t>
            </w:r>
            <w:r>
              <w:rPr>
                <w:rFonts w:ascii="Consolas" w:cs="Consolas" w:eastAsia="Consolas" w:hAnsi="Consolas"/>
                <w:sz w:val="18"/>
                <w:szCs w:val="18"/>
                <w:shd w:fill="F2F2F2" w:color="auto" w:val="clear"/>
              </w:rPr>
              <w:t xml:space="preserve">FECHAINTERV1</w:t>
            </w:r>
            <w:r>
              <w:rPr>
                <w:sz w:val="20"/>
                <w:szCs w:val="20"/>
              </w:rPr>
              <w:t xml:space="preserve">, no solo ingreso y alta. </w:t>
            </w:r>
            <w:r>
              <w:rPr>
                <w:rFonts w:ascii="Consolas" w:cs="Consolas" w:eastAsia="Consolas" w:hAnsi="Consolas"/>
                <w:sz w:val="18"/>
                <w:szCs w:val="18"/>
                <w:shd w:fill="F2F2F2" w:color="auto" w:val="clear"/>
              </w:rPr>
              <w:t xml:space="preserve">FECHA_NACIMIENTO</w:t>
            </w:r>
            <w:r>
              <w:rPr>
                <w:sz w:val="20"/>
                <w:szCs w:val="20"/>
              </w:rPr>
              <w:t xml:space="preserve"> está en AAAA-MM-DD en los seis años.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Peso GRD</w:t>
            </w:r>
          </w:p>
        </w:tc>
        <w:tc>
          <w:tcPr>
            <w:tcW w:type="dxa" w:w="7226"/>
            <w:tcMar>
              <w:top w:type="dxa" w:w="70"/>
              <w:left w:type="dxa" w:w="100"/>
              <w:bottom w:type="dxa" w:w="70"/>
              <w:right w:type="dxa" w:w="100"/>
            </w:tcMar>
          </w:tcPr>
          <w:p>
            <w:pPr>
              <w:keepNext/>
              <w:spacing w:after="0" w:before="0"/>
            </w:pPr>
            <w:r>
              <w:rPr>
                <w:sz w:val="20"/>
                <w:szCs w:val="20"/>
              </w:rPr>
              <w:t xml:space="preserve">El decimal sin cero inicial (</w:t>
            </w:r>
            <w:r>
              <w:rPr>
                <w:rFonts w:ascii="Consolas" w:cs="Consolas" w:eastAsia="Consolas" w:hAnsi="Consolas"/>
                <w:sz w:val="18"/>
                <w:szCs w:val="18"/>
                <w:shd w:fill="F2F2F2" w:color="auto" w:val="clear"/>
              </w:rPr>
              <w:t xml:space="preserve">,3045</w:t>
            </w:r>
            <w:r>
              <w:rPr>
                <w:sz w:val="20"/>
                <w:szCs w:val="20"/>
              </w:rPr>
              <w:t xml:space="preserve">) aparece en 2020 (70 % de los valores) y en 2021 (67 %), no solo en 2021.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Sin dato</w:t>
            </w:r>
          </w:p>
        </w:tc>
        <w:tc>
          <w:tcPr>
            <w:tcW w:type="dxa" w:w="7226"/>
            <w:tcMar>
              <w:top w:type="dxa" w:w="70"/>
              <w:left w:type="dxa" w:w="100"/>
              <w:bottom w:type="dxa" w:w="70"/>
              <w:right w:type="dxa" w:w="100"/>
            </w:tcMar>
          </w:tcPr>
          <w:p>
            <w:pPr>
              <w:keepNext/>
              <w:spacing w:after="0" w:before="0"/>
            </w:pPr>
            <w:r>
              <w:rPr>
                <w:sz w:val="20"/>
                <w:szCs w:val="20"/>
              </w:rPr>
              <w:t xml:space="preserve">Se expresa con distintos valores según el año y la columna: </w:t>
            </w:r>
            <w:r>
              <w:rPr>
                <w:rFonts w:ascii="Consolas" w:cs="Consolas" w:eastAsia="Consolas" w:hAnsi="Consolas"/>
                <w:sz w:val="18"/>
                <w:szCs w:val="18"/>
                <w:shd w:fill="F2F2F2" w:color="auto" w:val="clear"/>
              </w:rPr>
              <w:t xml:space="preserve">DESCONOCIDO</w:t>
            </w:r>
            <w:r>
              <w:rPr>
                <w:sz w:val="20"/>
                <w:szCs w:val="20"/>
              </w:rPr>
              <w:t xml:space="preserve">, </w:t>
            </w:r>
            <w:r>
              <w:rPr>
                <w:rFonts w:ascii="Consolas" w:cs="Consolas" w:eastAsia="Consolas" w:hAnsi="Consolas"/>
                <w:sz w:val="18"/>
                <w:szCs w:val="18"/>
                <w:shd w:fill="F2F2F2" w:color="auto" w:val="clear"/>
              </w:rPr>
              <w:t xml:space="preserve">DESCONOCIDA</w:t>
            </w:r>
            <w:r>
              <w:rPr>
                <w:sz w:val="20"/>
                <w:szCs w:val="20"/>
              </w:rPr>
              <w:t xml:space="preserve">, </w:t>
            </w:r>
            <w:r>
              <w:rPr>
                <w:rFonts w:ascii="Consolas" w:cs="Consolas" w:eastAsia="Consolas" w:hAnsi="Consolas"/>
                <w:sz w:val="18"/>
                <w:szCs w:val="18"/>
                <w:shd w:fill="F2F2F2" w:color="auto" w:val="clear"/>
              </w:rPr>
              <w:t xml:space="preserve">SIN INFORMACIÓN</w:t>
            </w:r>
            <w:r>
              <w:rPr>
                <w:sz w:val="20"/>
                <w:szCs w:val="20"/>
              </w:rPr>
              <w:t xml:space="preserve">, </w:t>
            </w:r>
            <w:r>
              <w:rPr>
                <w:rFonts w:ascii="Consolas" w:cs="Consolas" w:eastAsia="Consolas" w:hAnsi="Consolas"/>
                <w:sz w:val="18"/>
                <w:szCs w:val="18"/>
                <w:shd w:fill="F2F2F2" w:color="auto" w:val="clear"/>
              </w:rPr>
              <w:t xml:space="preserve">NO APLICA</w:t>
            </w:r>
            <w:r>
              <w:rPr>
                <w:sz w:val="20"/>
                <w:szCs w:val="20"/>
              </w:rPr>
              <w:t xml:space="preserve">, </w:t>
            </w:r>
            <w:r>
              <w:rPr>
                <w:rFonts w:ascii="Consolas" w:cs="Consolas" w:eastAsia="Consolas" w:hAnsi="Consolas"/>
                <w:sz w:val="18"/>
                <w:szCs w:val="18"/>
                <w:shd w:fill="F2F2F2" w:color="auto" w:val="clear"/>
              </w:rPr>
              <w:t xml:space="preserve">NO IDENTIFICADA</w:t>
            </w:r>
            <w:r>
              <w:rPr>
                <w:sz w:val="20"/>
                <w:szCs w:val="20"/>
              </w:rPr>
              <w:t xml:space="preserve">, </w:t>
            </w:r>
            <w:r>
              <w:rPr>
                <w:rFonts w:ascii="Consolas" w:cs="Consolas" w:eastAsia="Consolas" w:hAnsi="Consolas"/>
                <w:sz w:val="18"/>
                <w:szCs w:val="18"/>
                <w:shd w:fill="F2F2F2" w:color="auto" w:val="clear"/>
              </w:rPr>
              <w:t xml:space="preserve">NO IDENTIFICADO</w:t>
            </w:r>
            <w:r>
              <w:rPr>
                <w:sz w:val="20"/>
                <w:szCs w:val="20"/>
              </w:rPr>
              <w:t xml:space="preserve">, </w:t>
            </w:r>
            <w:r>
              <w:rPr>
                <w:rFonts w:ascii="Consolas" w:cs="Consolas" w:eastAsia="Consolas" w:hAnsi="Consolas"/>
                <w:sz w:val="18"/>
                <w:szCs w:val="18"/>
                <w:shd w:fill="F2F2F2" w:color="auto" w:val="clear"/>
              </w:rPr>
              <w:t xml:space="preserve">NO CONSIGNADO</w:t>
            </w:r>
            <w:r>
              <w:rPr>
                <w:sz w:val="20"/>
                <w:szCs w:val="20"/>
              </w:rPr>
              <w:t xml:space="preserve">, </w:t>
            </w:r>
            <w:r>
              <w:rPr>
                <w:rFonts w:ascii="Consolas" w:cs="Consolas" w:eastAsia="Consolas" w:hAnsi="Consolas"/>
                <w:sz w:val="18"/>
                <w:szCs w:val="18"/>
                <w:shd w:fill="F2F2F2" w:color="auto" w:val="clear"/>
              </w:rPr>
              <w:t xml:space="preserve">IGNORADO</w:t>
            </w:r>
            <w:r>
              <w:rPr>
                <w:sz w:val="20"/>
                <w:szCs w:val="20"/>
              </w:rPr>
              <w:t xml:space="preserve">, </w:t>
            </w:r>
            <w:r>
              <w:rPr>
                <w:rFonts w:ascii="Consolas" w:cs="Consolas" w:eastAsia="Consolas" w:hAnsi="Consolas"/>
                <w:sz w:val="18"/>
                <w:szCs w:val="18"/>
                <w:shd w:fill="F2F2F2" w:color="auto" w:val="clear"/>
              </w:rPr>
              <w:t xml:space="preserve">NO RESPONDE</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Textos</w:t>
            </w:r>
          </w:p>
        </w:tc>
        <w:tc>
          <w:tcPr>
            <w:tcW w:type="dxa" w:w="7226"/>
            <w:tcMar>
              <w:top w:type="dxa" w:w="70"/>
              <w:left w:type="dxa" w:w="100"/>
              <w:bottom w:type="dxa" w:w="70"/>
              <w:right w:type="dxa" w:w="100"/>
            </w:tcMar>
          </w:tcPr>
          <w:p>
            <w:pPr>
              <w:keepNext/>
              <w:spacing w:after="0" w:before="0"/>
            </w:pPr>
            <w:r>
              <w:rPr>
                <w:sz w:val="20"/>
                <w:szCs w:val="20"/>
              </w:rPr>
              <w:t xml:space="preserve">Espacios sobrantes (</w:t>
            </w:r>
            <w:r>
              <w:rPr>
                <w:rFonts w:ascii="Consolas" w:cs="Consolas" w:eastAsia="Consolas" w:hAnsi="Consolas"/>
                <w:sz w:val="18"/>
                <w:szCs w:val="18"/>
                <w:shd w:fill="F2F2F2" w:color="auto" w:val="clear"/>
              </w:rPr>
              <w:t xml:space="preserve">OTRO </w:t>
            </w:r>
            <w:r>
              <w:rPr>
                <w:sz w:val="20"/>
                <w:szCs w:val="20"/>
              </w:rPr>
              <w:t xml:space="preserve"> frente a </w:t>
            </w:r>
            <w:r>
              <w:rPr>
                <w:rFonts w:ascii="Consolas" w:cs="Consolas" w:eastAsia="Consolas" w:hAnsi="Consolas"/>
                <w:sz w:val="18"/>
                <w:szCs w:val="18"/>
                <w:shd w:fill="F2F2F2" w:color="auto" w:val="clear"/>
              </w:rPr>
              <w:t xml:space="preserve">OTRO</w:t>
            </w:r>
            <w:r>
              <w:rPr>
                <w:sz w:val="20"/>
                <w:szCs w:val="20"/>
              </w:rPr>
              <w:t xml:space="preserve">, </w:t>
            </w:r>
            <w:r>
              <w:rPr>
                <w:rFonts w:ascii="Consolas" w:cs="Consolas" w:eastAsia="Consolas" w:hAnsi="Consolas"/>
                <w:sz w:val="18"/>
                <w:szCs w:val="18"/>
                <w:shd w:fill="F2F2F2" w:color="auto" w:val="clear"/>
              </w:rPr>
              <w:t xml:space="preserve">MATRONAS(ES)  </w:t>
            </w:r>
            <w:r>
              <w:rPr>
                <w:sz w:val="20"/>
                <w:szCs w:val="20"/>
              </w:rPr>
              <w:t xml:space="preserve">), variantes de tildes (</w:t>
            </w:r>
            <w:r>
              <w:rPr>
                <w:rFonts w:ascii="Consolas" w:cs="Consolas" w:eastAsia="Consolas" w:hAnsi="Consolas"/>
                <w:sz w:val="18"/>
                <w:szCs w:val="18"/>
                <w:shd w:fill="F2F2F2" w:color="auto" w:val="clear"/>
              </w:rPr>
              <w:t xml:space="preserve">HAITI</w:t>
            </w:r>
            <w:r>
              <w:rPr>
                <w:sz w:val="20"/>
                <w:szCs w:val="20"/>
              </w:rPr>
              <w:t xml:space="preserve"> / </w:t>
            </w:r>
            <w:r>
              <w:rPr>
                <w:rFonts w:ascii="Consolas" w:cs="Consolas" w:eastAsia="Consolas" w:hAnsi="Consolas"/>
                <w:sz w:val="18"/>
                <w:szCs w:val="18"/>
                <w:shd w:fill="F2F2F2" w:color="auto" w:val="clear"/>
              </w:rPr>
              <w:t xml:space="preserve">HAITÍ</w:t>
            </w:r>
            <w:r>
              <w:rPr>
                <w:sz w:val="20"/>
                <w:szCs w:val="20"/>
              </w:rPr>
              <w:t xml:space="preserve">) y valores en minúsculas en </w:t>
            </w:r>
            <w:r>
              <w:rPr>
                <w:rFonts w:ascii="Consolas" w:cs="Consolas" w:eastAsia="Consolas" w:hAnsi="Consolas"/>
                <w:sz w:val="18"/>
                <w:szCs w:val="18"/>
                <w:shd w:fill="F2F2F2" w:color="auto" w:val="clear"/>
              </w:rPr>
              <w:t xml:space="preserve">SERVICIOINGRESO</w:t>
            </w:r>
            <w:r>
              <w:rPr>
                <w:sz w:val="20"/>
                <w:szCs w:val="20"/>
              </w:rPr>
              <w:t xml:space="preserve"> de 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Especialidades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ESPECIALIDAD_MEDICA</w:t>
            </w:r>
            <w:r>
              <w:rPr>
                <w:sz w:val="20"/>
                <w:szCs w:val="20"/>
              </w:rPr>
              <w:t xml:space="preserve"> y </w:t>
            </w:r>
            <w:r>
              <w:rPr>
                <w:rFonts w:ascii="Consolas" w:cs="Consolas" w:eastAsia="Consolas" w:hAnsi="Consolas"/>
                <w:sz w:val="18"/>
                <w:szCs w:val="18"/>
                <w:shd w:fill="F2F2F2" w:color="auto" w:val="clear"/>
              </w:rPr>
              <w:t xml:space="preserve">ESPECIALIDADINTERVENCION</w:t>
            </w:r>
            <w:r>
              <w:rPr>
                <w:sz w:val="20"/>
                <w:szCs w:val="20"/>
              </w:rPr>
              <w:t xml:space="preserve"> usan otros nombres en 2019 (p. ej. </w:t>
            </w:r>
            <w:r>
              <w:rPr>
                <w:rFonts w:ascii="Consolas" w:cs="Consolas" w:eastAsia="Consolas" w:hAnsi="Consolas"/>
                <w:sz w:val="18"/>
                <w:szCs w:val="18"/>
                <w:shd w:fill="F2F2F2" w:color="auto" w:val="clear"/>
              </w:rPr>
              <w:t xml:space="preserve">MEDICINA GENERAL</w:t>
            </w:r>
            <w:r>
              <w:rPr>
                <w:sz w:val="20"/>
                <w:szCs w:val="20"/>
              </w:rPr>
              <w:t xml:space="preserve"> y </w:t>
            </w:r>
            <w:r>
              <w:rPr>
                <w:rFonts w:ascii="Consolas" w:cs="Consolas" w:eastAsia="Consolas" w:hAnsi="Consolas"/>
                <w:sz w:val="18"/>
                <w:szCs w:val="18"/>
                <w:shd w:fill="F2F2F2" w:color="auto" w:val="clear"/>
              </w:rPr>
              <w:t xml:space="preserve">MATRONA</w:t>
            </w:r>
            <w:r>
              <w:rPr>
                <w:sz w:val="20"/>
                <w:szCs w:val="20"/>
              </w:rPr>
              <w:t xml:space="preserve">, que desde 2020 son </w:t>
            </w:r>
            <w:r>
              <w:rPr>
                <w:rFonts w:ascii="Consolas" w:cs="Consolas" w:eastAsia="Consolas" w:hAnsi="Consolas"/>
                <w:sz w:val="18"/>
                <w:szCs w:val="18"/>
                <w:shd w:fill="F2F2F2" w:color="auto" w:val="clear"/>
              </w:rPr>
              <w:t xml:space="preserve">MÉDICO GENERAL</w:t>
            </w:r>
            <w:r>
              <w:rPr>
                <w:sz w:val="20"/>
                <w:szCs w:val="20"/>
              </w:rPr>
              <w:t xml:space="preserve"> y </w:t>
            </w:r>
            <w:r>
              <w:rPr>
                <w:rFonts w:ascii="Consolas" w:cs="Consolas" w:eastAsia="Consolas" w:hAnsi="Consolas"/>
                <w:sz w:val="18"/>
                <w:szCs w:val="18"/>
                <w:shd w:fill="F2F2F2" w:color="auto" w:val="clear"/>
              </w:rPr>
              <w:t xml:space="preserve">MATRONAS(ES)</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Etnia</w:t>
            </w:r>
          </w:p>
        </w:tc>
        <w:tc>
          <w:tcPr>
            <w:tcW w:type="dxa" w:w="7226"/>
            <w:tcMar>
              <w:top w:type="dxa" w:w="70"/>
              <w:left w:type="dxa" w:w="100"/>
              <w:bottom w:type="dxa" w:w="70"/>
              <w:right w:type="dxa" w:w="100"/>
            </w:tcMar>
          </w:tcPr>
          <w:p>
            <w:pPr>
              <w:keepNext/>
              <w:spacing w:after="0" w:before="0"/>
            </w:pPr>
            <w:r>
              <w:rPr>
                <w:sz w:val="20"/>
                <w:szCs w:val="20"/>
              </w:rPr>
              <w:t xml:space="preserve">En 2022 y 2023 desaparece </w:t>
            </w:r>
            <w:r>
              <w:rPr>
                <w:rFonts w:ascii="Consolas" w:cs="Consolas" w:eastAsia="Consolas" w:hAnsi="Consolas"/>
                <w:sz w:val="18"/>
                <w:szCs w:val="18"/>
                <w:shd w:fill="F2F2F2" w:color="auto" w:val="clear"/>
              </w:rPr>
              <w:t xml:space="preserve">NINGUNO</w:t>
            </w:r>
            <w:r>
              <w:rPr>
                <w:sz w:val="20"/>
                <w:szCs w:val="20"/>
              </w:rPr>
              <w:t xml:space="preserve"> y casi todos los registros quedan como </w:t>
            </w:r>
            <w:r>
              <w:rPr>
                <w:rFonts w:ascii="Consolas" w:cs="Consolas" w:eastAsia="Consolas" w:hAnsi="Consolas"/>
                <w:sz w:val="18"/>
                <w:szCs w:val="18"/>
                <w:shd w:fill="F2F2F2" w:color="auto" w:val="clear"/>
              </w:rPr>
              <w:t xml:space="preserve">OTRO</w:t>
            </w:r>
            <w:r>
              <w:rPr>
                <w:sz w:val="20"/>
                <w:szCs w:val="20"/>
              </w:rPr>
              <w:t xml:space="preserve">; la variable no es comparable entre años. Los pueblos originarios (mapuche, aymara, etc.) sí se codifican igual todos los años.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Otros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USOSPABELLON</w:t>
            </w:r>
            <w:r>
              <w:rPr>
                <w:sz w:val="20"/>
                <w:szCs w:val="20"/>
              </w:rPr>
              <w:t xml:space="preserve"> casi no se informó en 2020. Los campos de recién nacido se codifican distinto en 2019 (</w:t>
            </w:r>
            <w:r>
              <w:rPr>
                <w:rFonts w:ascii="Consolas" w:cs="Consolas" w:eastAsia="Consolas" w:hAnsi="Consolas"/>
                <w:sz w:val="18"/>
                <w:szCs w:val="18"/>
                <w:shd w:fill="F2F2F2" w:color="auto" w:val="clear"/>
              </w:rPr>
              <w:t xml:space="preserve">CONDICIONDEALTANEONATO</w:t>
            </w:r>
            <w:r>
              <w:rPr>
                <w:sz w:val="20"/>
                <w:szCs w:val="20"/>
              </w:rPr>
              <w:t xml:space="preserve"> solo existe ese año). </w:t>
            </w:r>
            <w:r>
              <w:rPr>
                <w:rFonts w:ascii="Consolas" w:cs="Consolas" w:eastAsia="Consolas" w:hAnsi="Consolas"/>
                <w:sz w:val="18"/>
                <w:szCs w:val="18"/>
                <w:shd w:fill="F2F2F2" w:color="auto" w:val="clear"/>
              </w:rPr>
              <w:t xml:space="preserve">SERVICIOTRASLADO</w:t>
            </w:r>
            <w:r>
              <w:rPr>
                <w:sz w:val="20"/>
                <w:szCs w:val="20"/>
              </w:rPr>
              <w:t xml:space="preserve"> trae códigos numéricos sin diccionario en 2021, 2022 y 2024. </w:t>
            </w:r>
            <w:r>
              <w:rPr>
                <w:rFonts w:ascii="Consolas" w:cs="Consolas" w:eastAsia="Consolas" w:hAnsi="Consolas"/>
                <w:sz w:val="18"/>
                <w:szCs w:val="18"/>
                <w:shd w:fill="F2F2F2" w:color="auto" w:val="clear"/>
              </w:rPr>
              <w:t xml:space="preserve">HOSPPROCEDENCIA</w:t>
            </w:r>
            <w:r>
              <w:rPr>
                <w:sz w:val="20"/>
                <w:szCs w:val="20"/>
              </w:rPr>
              <w:t xml:space="preserve"> nombra los hospitales distinto según el año. El valor </w:t>
            </w:r>
            <w:r>
              <w:rPr>
                <w:rFonts w:ascii="Consolas" w:cs="Consolas" w:eastAsia="Consolas" w:hAnsi="Consolas"/>
                <w:sz w:val="18"/>
                <w:szCs w:val="18"/>
                <w:shd w:fill="F2F2F2" w:color="auto" w:val="clear"/>
              </w:rPr>
              <w:t xml:space="preserve">|114101</w:t>
            </w:r>
            <w:r>
              <w:rPr>
                <w:sz w:val="20"/>
                <w:szCs w:val="20"/>
              </w:rPr>
              <w:t xml:space="preserve"> de </w:t>
            </w:r>
            <w:hyperlink w:history="1" w:anchor="E_H06">
              <w:r>
                <w:rPr>
                  <w:color w:val="0563C1"/>
                  <w:sz w:val="20"/>
                  <w:szCs w:val="20"/>
                  <w:u w:val="single"/>
                </w:rPr>
                <w:t xml:space="preserve">H06</w:t>
              </w:r>
            </w:hyperlink>
            <w:r>
              <w:rPr>
                <w:sz w:val="20"/>
                <w:szCs w:val="20"/>
              </w:rPr>
              <w:t xml:space="preserve"> corresponde al Complejo Hospitalario Dr. Sótero del Río según la tabla maestra.</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1.2_exploracion_calidad/scripts/04_perfil_columnas.py</w:t>
            </w:r>
            <w:r>
              <w:rPr>
                <w:sz w:val="20"/>
                <w:szCs w:val="20"/>
              </w:rPr>
              <w:t xml:space="preserve"> → </w:t>
            </w:r>
            <w:r>
              <w:rPr>
                <w:rFonts w:ascii="Consolas" w:cs="Consolas" w:eastAsia="Consolas" w:hAnsi="Consolas"/>
                <w:sz w:val="18"/>
                <w:szCs w:val="18"/>
                <w:shd w:fill="F2F2F2" w:color="auto" w:val="clear"/>
              </w:rPr>
              <w:t xml:space="preserve">1.2_exploracion_calidad/reportes/04_perfil_columnas.md</w:t>
            </w:r>
            <w:r>
              <w:rPr>
                <w:sz w:val="20"/>
                <w:szCs w:val="20"/>
              </w:rPr>
              <w:t xml:space="preserve">.</w:t>
            </w:r>
          </w:p>
        </w:tc>
      </w:tr>
    </w:tbl>
    <w:p>
      <w:pPr>
        <w:pStyle w:val="Heading2"/>
      </w:pPr>
      <w:bookmarkStart w:name="E_H09" w:id="21"/>
      <w:r>
        <w:rPr>
          <w:color w:val="2E75B6"/>
        </w:rPr>
        <w:t xml:space="preserve">H09</w:t>
      </w:r>
      <w:bookmarkEnd w:id="21"/>
      <w:r>
        <w:t xml:space="preserve"> · Tipos de actividad que solo existen en 2019</w:t>
      </w:r>
    </w:p>
    <w:p>
      <w:pPr>
        <w:keepNext/>
        <w:spacing w:after="100"/>
      </w:pPr>
      <w:r>
        <w:rPr>
          <w:b/>
          <w:bCs/>
          <w:color w:val="2E75B6"/>
          <w:sz w:val="18"/>
          <w:szCs w:val="18"/>
        </w:rPr>
        <w:t xml:space="preserve">Hallazgo</w:t>
      </w:r>
      <w:r>
        <w:rPr>
          <w:color w:val="808080"/>
          <w:sz w:val="18"/>
          <w:szCs w:val="18"/>
        </w:rPr>
        <w:t xml:space="preserve">  ·  2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 y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2019 incluye 55.328 egresos </w:t>
            </w:r>
            <w:r>
              <w:rPr>
                <w:rFonts w:ascii="Consolas" w:cs="Consolas" w:eastAsia="Consolas" w:hAnsi="Consolas"/>
                <w:sz w:val="18"/>
                <w:szCs w:val="18"/>
                <w:shd w:fill="F2F2F2" w:color="auto" w:val="clear"/>
              </w:rPr>
              <w:t xml:space="preserve">HOSPITALIZACIÓN DIURNA</w:t>
            </w:r>
            <w:r>
              <w:rPr>
                <w:sz w:val="20"/>
                <w:szCs w:val="20"/>
              </w:rPr>
              <w:t xml:space="preserve"> (98,6 % con estadía de 0 días, casi todos programados) y 62.551 </w:t>
            </w:r>
            <w:r>
              <w:rPr>
                <w:rFonts w:ascii="Consolas" w:cs="Consolas" w:eastAsia="Consolas" w:hAnsi="Consolas"/>
                <w:sz w:val="18"/>
                <w:szCs w:val="18"/>
                <w:shd w:fill="F2F2F2" w:color="auto" w:val="clear"/>
              </w:rPr>
              <w:t xml:space="preserve">HOSPITALIZACIÓN EN URGENCIA</w:t>
            </w:r>
            <w:r>
              <w:rPr>
                <w:sz w:val="20"/>
                <w:szCs w:val="20"/>
              </w:rPr>
              <w:t xml:space="preserve"> (mediana de 1 día, casi todos por urgencia). Desde 2020 solo existen </w:t>
            </w:r>
            <w:r>
              <w:rPr>
                <w:rFonts w:ascii="Consolas" w:cs="Consolas" w:eastAsia="Consolas" w:hAnsi="Consolas"/>
                <w:sz w:val="18"/>
                <w:szCs w:val="18"/>
                <w:shd w:fill="F2F2F2" w:color="auto" w:val="clear"/>
              </w:rPr>
              <w:t xml:space="preserve">HOSPITALIZACIÓN</w:t>
            </w:r>
            <w:r>
              <w:rPr>
                <w:sz w:val="20"/>
                <w:szCs w:val="20"/>
              </w:rPr>
              <w:t xml:space="preserve"> y </w:t>
            </w:r>
            <w:r>
              <w:rPr>
                <w:rFonts w:ascii="Consolas" w:cs="Consolas" w:eastAsia="Consolas" w:hAnsi="Consolas"/>
                <w:sz w:val="18"/>
                <w:szCs w:val="18"/>
                <w:shd w:fill="F2F2F2" w:color="auto" w:val="clear"/>
              </w:rPr>
              <w:t xml:space="preserve">CIRUGÍA MAYOR AMBULATORIA (CMA)</w:t>
            </w:r>
            <w:r>
              <w:rPr>
                <w:sz w:val="20"/>
                <w:szCs w:val="20"/>
              </w:rPr>
              <w:t xml:space="preserve">, y la proporción de hospitalizaciones de 0 días se mantiene en ~5 % todos los años: esos episodios no se reclasificaron, dejaron de registrarse en la base.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spacing w:after="0" w:before="0"/>
            </w:pPr>
            <w:r>
              <w:rPr>
                <w:sz w:val="20"/>
                <w:szCs w:val="20"/>
              </w:rPr>
              <w:t xml:space="preserve">2019 contiene ~118 mil episodios (10 % del año) de tipos que no existen después. Propuesta: no renombrarlos en la homogenización y excluirlos en la actividad 2.2 para que 2019 sea comparable con 2020–2024.</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 adicional</w:t>
            </w:r>
          </w:p>
        </w:tc>
        <w:tc>
          <w:tcPr>
            <w:tcW w:type="dxa" w:w="7226"/>
            <w:tcMar>
              <w:top w:type="dxa" w:w="70"/>
              <w:left w:type="dxa" w:w="100"/>
              <w:bottom w:type="dxa" w:w="70"/>
              <w:right w:type="dxa" w:w="100"/>
            </w:tcMar>
          </w:tcPr>
          <w:p>
            <w:pPr>
              <w:keepNext/>
              <w:spacing w:after="0" w:before="0"/>
            </w:pPr>
            <w:r>
              <w:rPr>
                <w:sz w:val="20"/>
                <w:szCs w:val="20"/>
              </w:rPr>
              <w:t xml:space="preserve">Revisión del 5 de octubre de 2026. La hospitalización diurna corresponde sobre todo a tratamientos que se repiten: sesiones de quimioterapia (12.576) y diálisis (10.068); 649 pacientes tienen 10 o más episodios en el año, y el 30 % de los episodios diurnos va seguido de otro ingreso dentro de 7 días. Con estos dos tipos de actividad, el 14,0 % de las altas de 2019 va seguido de un nuevo ingreso del mismo paciente dentro de 30 días, frente a entre 10,7 % y 11,4 % en los demás años; sin ellos, el valor de 2019 es 11,6 % (conteo preliminar, sin otras exclusiones).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Se aplicará en la actividad 2.2: estos episodios quedan fuera como caso de estudio y como reingreso de otra alta. Pendiente de validar con profesor guía.</w:t>
            </w:r>
          </w:p>
        </w:tc>
      </w:tr>
    </w:tbl>
    <w:p>
      <w:pPr>
        <w:pStyle w:val="Heading2"/>
      </w:pPr>
      <w:bookmarkStart w:name="E_D10" w:id="22"/>
      <w:r>
        <w:rPr>
          <w:color w:val="548235"/>
        </w:rPr>
        <w:t xml:space="preserve">D10</w:t>
      </w:r>
      <w:bookmarkEnd w:id="22"/>
      <w:r>
        <w:t xml:space="preserve"> · Protección de los valores con forma de RUT</w:t>
      </w:r>
    </w:p>
    <w:p>
      <w:pPr>
        <w:keepNext/>
        <w:spacing w:after="100"/>
      </w:pPr>
      <w:r>
        <w:rPr>
          <w:b/>
          <w:bCs/>
          <w:color w:val="548235"/>
          <w:sz w:val="18"/>
          <w:szCs w:val="18"/>
        </w:rPr>
        <w:t xml:space="preserve">Decisión</w:t>
      </w:r>
      <w:r>
        <w:rPr>
          <w:color w:val="808080"/>
          <w:sz w:val="18"/>
          <w:szCs w:val="18"/>
        </w:rPr>
        <w:t xml:space="preserve">  ·  2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Ningún reporte muestra valores con forma de RUT; el perfil de columnas publica solo sus formatos. En la base homogenizada se elimina </w:t>
            </w:r>
            <w:r>
              <w:rPr>
                <w:rFonts w:ascii="Consolas" w:cs="Consolas" w:eastAsia="Consolas" w:hAnsi="Consolas"/>
                <w:sz w:val="18"/>
                <w:szCs w:val="18"/>
                <w:shd w:fill="F2F2F2" w:color="auto" w:val="clear"/>
              </w:rPr>
              <w:t xml:space="preserve">FECHAPROCEDIMIENTO1</w:t>
            </w:r>
            <w:r>
              <w:rPr>
                <w:sz w:val="20"/>
                <w:szCs w:val="20"/>
              </w:rPr>
              <w:t xml:space="preserve"> (vacía salvo esos valores) y los valores no numéricos de </w:t>
            </w:r>
            <w:r>
              <w:rPr>
                <w:rFonts w:ascii="Consolas" w:cs="Consolas" w:eastAsia="Consolas" w:hAnsi="Consolas"/>
                <w:sz w:val="18"/>
                <w:szCs w:val="18"/>
                <w:shd w:fill="F2F2F2" w:color="auto" w:val="clear"/>
              </w:rPr>
              <w:t xml:space="preserve">USOSPABELLON</w:t>
            </w:r>
            <w:r>
              <w:rPr>
                <w:sz w:val="20"/>
                <w:szCs w:val="20"/>
              </w:rPr>
              <w:t xml:space="preserve"> quedan como nulos.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Aplicada en la homogenización (</w:t>
            </w:r>
            <w:hyperlink w:history="1" w:anchor="E_D11">
              <w:r>
                <w:rPr>
                  <w:color w:val="0563C1"/>
                  <w:sz w:val="20"/>
                  <w:szCs w:val="20"/>
                  <w:u w:val="single"/>
                </w:rPr>
                <w:t xml:space="preserve">D11</w:t>
              </w:r>
            </w:hyperlink>
            <w:r>
              <w:rPr>
                <w:sz w:val="20"/>
                <w:szCs w:val="20"/>
              </w:rPr>
              <w:t xml:space="preserve">).</w:t>
            </w:r>
          </w:p>
        </w:tc>
      </w:tr>
    </w:tbl>
    <w:p>
      <w:pPr>
        <w:pStyle w:val="Heading2"/>
      </w:pPr>
      <w:bookmarkStart w:name="E_D11" w:id="23"/>
      <w:r>
        <w:rPr>
          <w:color w:val="548235"/>
        </w:rPr>
        <w:t xml:space="preserve">D11</w:t>
      </w:r>
      <w:bookmarkEnd w:id="23"/>
      <w:r>
        <w:t xml:space="preserve"> · Reglas de homogenización</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Se aplican a los seis años las mismas nueve reglas: (1) </w:t>
            </w:r>
            <w:r>
              <w:rPr>
                <w:rFonts w:ascii="Consolas" w:cs="Consolas" w:eastAsia="Consolas" w:hAnsi="Consolas"/>
                <w:sz w:val="18"/>
                <w:szCs w:val="18"/>
                <w:shd w:fill="F2F2F2" w:color="auto" w:val="clear"/>
              </w:rPr>
              <w:t xml:space="preserve">ID_PACIENTE</w:t>
            </w:r>
            <w:r>
              <w:rPr>
                <w:sz w:val="20"/>
                <w:szCs w:val="20"/>
              </w:rPr>
              <w:t xml:space="preserve"> como nombre único del identificador, más las columnas </w:t>
            </w:r>
            <w:r>
              <w:rPr>
                <w:rFonts w:ascii="Consolas" w:cs="Consolas" w:eastAsia="Consolas" w:hAnsi="Consolas"/>
                <w:sz w:val="18"/>
                <w:szCs w:val="18"/>
                <w:shd w:fill="F2F2F2" w:color="auto" w:val="clear"/>
              </w:rPr>
              <w:t xml:space="preserve">BLOQUE_ID</w:t>
            </w:r>
            <w:r>
              <w:rPr>
                <w:sz w:val="20"/>
                <w:szCs w:val="20"/>
              </w:rPr>
              <w:t xml:space="preserve"> y </w:t>
            </w:r>
            <w:r>
              <w:rPr>
                <w:rFonts w:ascii="Consolas" w:cs="Consolas" w:eastAsia="Consolas" w:hAnsi="Consolas"/>
                <w:sz w:val="18"/>
                <w:szCs w:val="18"/>
                <w:shd w:fill="F2F2F2" w:color="auto" w:val="clear"/>
              </w:rPr>
              <w:t xml:space="preserve">CDM</w:t>
            </w:r>
            <w:r>
              <w:rPr>
                <w:sz w:val="20"/>
                <w:szCs w:val="20"/>
              </w:rPr>
              <w:t xml:space="preserve">; (2) un solo "sin dato"; (3) textos sin espacios sobrantes y en mayúsculas; (4) fechas en AAAA-MM-DD o DD-MM-AAAA convertidas a fecha; (5) peso GRD con punto decimal y enteros guardados como enteros; (6) códigos GRD, CIE-10, CIE-9 y de hospital como texto; (7) equivalencias de categorías (</w:t>
            </w:r>
            <w:hyperlink w:history="1" w:anchor="E_D12">
              <w:r>
                <w:rPr>
                  <w:color w:val="0563C1"/>
                  <w:sz w:val="20"/>
                  <w:szCs w:val="20"/>
                  <w:u w:val="single"/>
                </w:rPr>
                <w:t xml:space="preserve">D12</w:t>
              </w:r>
            </w:hyperlink>
            <w:r>
              <w:rPr>
                <w:sz w:val="20"/>
                <w:szCs w:val="20"/>
              </w:rPr>
              <w:t xml:space="preserve">); (8) eliminación de </w:t>
            </w:r>
            <w:r>
              <w:rPr>
                <w:rFonts w:ascii="Consolas" w:cs="Consolas" w:eastAsia="Consolas" w:hAnsi="Consolas"/>
                <w:sz w:val="18"/>
                <w:szCs w:val="18"/>
                <w:shd w:fill="F2F2F2" w:color="auto" w:val="clear"/>
              </w:rPr>
              <w:t xml:space="preserve">FECHAPROCEDIMIENTO1</w:t>
            </w:r>
            <w:r>
              <w:rPr>
                <w:sz w:val="20"/>
                <w:szCs w:val="20"/>
              </w:rPr>
              <w:t xml:space="preserve"> (</w:t>
            </w:r>
            <w:hyperlink w:history="1" w:anchor="E_D10">
              <w:r>
                <w:rPr>
                  <w:color w:val="0563C1"/>
                  <w:sz w:val="20"/>
                  <w:szCs w:val="20"/>
                  <w:u w:val="single"/>
                </w:rPr>
                <w:t xml:space="preserve">D10</w:t>
              </w:r>
            </w:hyperlink>
            <w:r>
              <w:rPr>
                <w:sz w:val="20"/>
                <w:szCs w:val="20"/>
              </w:rPr>
              <w:t xml:space="preserve">); (9) un tipo de dato por columna, igual en todos los años. No se elimina ni agrega ninguna fila.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Sin dato</w:t>
            </w:r>
          </w:p>
        </w:tc>
        <w:tc>
          <w:tcPr>
            <w:tcW w:type="dxa" w:w="7226"/>
            <w:tcMar>
              <w:top w:type="dxa" w:w="70"/>
              <w:left w:type="dxa" w:w="100"/>
              <w:bottom w:type="dxa" w:w="70"/>
              <w:right w:type="dxa" w:w="100"/>
            </w:tcMar>
          </w:tcPr>
          <w:p>
            <w:pPr>
              <w:keepNext/>
              <w:spacing w:after="0" w:before="0"/>
            </w:pPr>
            <w:r>
              <w:rPr>
                <w:sz w:val="20"/>
                <w:szCs w:val="20"/>
              </w:rPr>
              <w:t xml:space="preserve">Pasan a nulo las celdas vacías y los valores </w:t>
            </w:r>
            <w:r>
              <w:rPr>
                <w:rFonts w:ascii="Consolas" w:cs="Consolas" w:eastAsia="Consolas" w:hAnsi="Consolas"/>
                <w:sz w:val="18"/>
                <w:szCs w:val="18"/>
                <w:shd w:fill="F2F2F2" w:color="auto" w:val="clear"/>
              </w:rPr>
              <w:t xml:space="preserve">DESCONOCIDO</w:t>
            </w:r>
            <w:r>
              <w:rPr>
                <w:sz w:val="20"/>
                <w:szCs w:val="20"/>
              </w:rPr>
              <w:t xml:space="preserve">, </w:t>
            </w:r>
            <w:r>
              <w:rPr>
                <w:rFonts w:ascii="Consolas" w:cs="Consolas" w:eastAsia="Consolas" w:hAnsi="Consolas"/>
                <w:sz w:val="18"/>
                <w:szCs w:val="18"/>
                <w:shd w:fill="F2F2F2" w:color="auto" w:val="clear"/>
              </w:rPr>
              <w:t xml:space="preserve">DESCONOCIDA</w:t>
            </w:r>
            <w:r>
              <w:rPr>
                <w:sz w:val="20"/>
                <w:szCs w:val="20"/>
              </w:rPr>
              <w:t xml:space="preserve">, </w:t>
            </w:r>
            <w:r>
              <w:rPr>
                <w:rFonts w:ascii="Consolas" w:cs="Consolas" w:eastAsia="Consolas" w:hAnsi="Consolas"/>
                <w:sz w:val="18"/>
                <w:szCs w:val="18"/>
                <w:shd w:fill="F2F2F2" w:color="auto" w:val="clear"/>
              </w:rPr>
              <w:t xml:space="preserve">SIN INFORMACIÓN</w:t>
            </w:r>
            <w:r>
              <w:rPr>
                <w:sz w:val="20"/>
                <w:szCs w:val="20"/>
              </w:rPr>
              <w:t xml:space="preserve">, </w:t>
            </w:r>
            <w:r>
              <w:rPr>
                <w:rFonts w:ascii="Consolas" w:cs="Consolas" w:eastAsia="Consolas" w:hAnsi="Consolas"/>
                <w:sz w:val="18"/>
                <w:szCs w:val="18"/>
                <w:shd w:fill="F2F2F2" w:color="auto" w:val="clear"/>
              </w:rPr>
              <w:t xml:space="preserve">NO APLICA</w:t>
            </w:r>
            <w:r>
              <w:rPr>
                <w:sz w:val="20"/>
                <w:szCs w:val="20"/>
              </w:rPr>
              <w:t xml:space="preserve">, </w:t>
            </w:r>
            <w:r>
              <w:rPr>
                <w:rFonts w:ascii="Consolas" w:cs="Consolas" w:eastAsia="Consolas" w:hAnsi="Consolas"/>
                <w:sz w:val="18"/>
                <w:szCs w:val="18"/>
                <w:shd w:fill="F2F2F2" w:color="auto" w:val="clear"/>
              </w:rPr>
              <w:t xml:space="preserve">NO IDENTIFICADA</w:t>
            </w:r>
            <w:r>
              <w:rPr>
                <w:sz w:val="20"/>
                <w:szCs w:val="20"/>
              </w:rPr>
              <w:t xml:space="preserve">, </w:t>
            </w:r>
            <w:r>
              <w:rPr>
                <w:rFonts w:ascii="Consolas" w:cs="Consolas" w:eastAsia="Consolas" w:hAnsi="Consolas"/>
                <w:sz w:val="18"/>
                <w:szCs w:val="18"/>
                <w:shd w:fill="F2F2F2" w:color="auto" w:val="clear"/>
              </w:rPr>
              <w:t xml:space="preserve">NO IDENTIFICADO</w:t>
            </w:r>
            <w:r>
              <w:rPr>
                <w:sz w:val="20"/>
                <w:szCs w:val="20"/>
              </w:rPr>
              <w:t xml:space="preserve">, </w:t>
            </w:r>
            <w:r>
              <w:rPr>
                <w:rFonts w:ascii="Consolas" w:cs="Consolas" w:eastAsia="Consolas" w:hAnsi="Consolas"/>
                <w:sz w:val="18"/>
                <w:szCs w:val="18"/>
                <w:shd w:fill="F2F2F2" w:color="auto" w:val="clear"/>
              </w:rPr>
              <w:t xml:space="preserve">NO CONSIGNADO</w:t>
            </w:r>
            <w:r>
              <w:rPr>
                <w:sz w:val="20"/>
                <w:szCs w:val="20"/>
              </w:rPr>
              <w:t xml:space="preserve">, </w:t>
            </w:r>
            <w:r>
              <w:rPr>
                <w:rFonts w:ascii="Consolas" w:cs="Consolas" w:eastAsia="Consolas" w:hAnsi="Consolas"/>
                <w:sz w:val="18"/>
                <w:szCs w:val="18"/>
                <w:shd w:fill="F2F2F2" w:color="auto" w:val="clear"/>
              </w:rPr>
              <w:t xml:space="preserve">IGNORADO</w:t>
            </w:r>
            <w:r>
              <w:rPr>
                <w:sz w:val="20"/>
                <w:szCs w:val="20"/>
              </w:rPr>
              <w:t xml:space="preserve">, </w:t>
            </w:r>
            <w:r>
              <w:rPr>
                <w:rFonts w:ascii="Consolas" w:cs="Consolas" w:eastAsia="Consolas" w:hAnsi="Consolas"/>
                <w:sz w:val="18"/>
                <w:szCs w:val="18"/>
                <w:shd w:fill="F2F2F2" w:color="auto" w:val="clear"/>
              </w:rPr>
              <w:t xml:space="preserve">NO RESPONDE</w:t>
            </w:r>
            <w:r>
              <w:rPr>
                <w:sz w:val="20"/>
                <w:szCs w:val="20"/>
              </w:rPr>
              <w:t xml:space="preserve">, </w:t>
            </w:r>
            <w:r>
              <w:rPr>
                <w:rFonts w:ascii="Consolas" w:cs="Consolas" w:eastAsia="Consolas" w:hAnsi="Consolas"/>
                <w:sz w:val="18"/>
                <w:szCs w:val="18"/>
                <w:shd w:fill="F2F2F2" w:color="auto" w:val="clear"/>
              </w:rPr>
              <w:t xml:space="preserve">NO ESPECIFICADO</w:t>
            </w:r>
            <w:r>
              <w:rPr>
                <w:sz w:val="20"/>
                <w:szCs w:val="20"/>
              </w:rPr>
              <w:t xml:space="preserve"> y </w:t>
            </w:r>
            <w:r>
              <w:rPr>
                <w:rFonts w:ascii="Consolas" w:cs="Consolas" w:eastAsia="Consolas" w:hAnsi="Consolas"/>
                <w:sz w:val="18"/>
                <w:szCs w:val="18"/>
                <w:shd w:fill="F2F2F2" w:color="auto" w:val="clear"/>
              </w:rPr>
              <w:t xml:space="preserve">SERVICIO NO DEFINIDO</w:t>
            </w:r>
            <w:r>
              <w:rPr>
                <w:sz w:val="20"/>
                <w:szCs w:val="20"/>
              </w:rPr>
              <w:t xml:space="preserve">: 222.964 celdas en total. El </w:t>
            </w:r>
            <w:r>
              <w:rPr>
                <w:rFonts w:ascii="Consolas" w:cs="Consolas" w:eastAsia="Consolas" w:hAnsi="Consolas"/>
                <w:sz w:val="18"/>
                <w:szCs w:val="18"/>
                <w:shd w:fill="F2F2F2" w:color="auto" w:val="clear"/>
              </w:rPr>
              <w:t xml:space="preserve">0</w:t>
            </w:r>
            <w:r>
              <w:rPr>
                <w:sz w:val="20"/>
                <w:szCs w:val="20"/>
              </w:rPr>
              <w:t xml:space="preserve"> solo se trata como sin dato en procedimientos y servicios de traslado (6 de esas celdas). Reemplaza a </w:t>
            </w:r>
            <w:hyperlink w:history="1" w:anchor="E_D04">
              <w:r>
                <w:rPr>
                  <w:color w:val="0563C1"/>
                  <w:sz w:val="20"/>
                  <w:szCs w:val="20"/>
                  <w:u w:val="single"/>
                </w:rPr>
                <w:t xml:space="preserve">D04</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Valores no convertibles</w:t>
            </w:r>
          </w:p>
        </w:tc>
        <w:tc>
          <w:tcPr>
            <w:tcW w:type="dxa" w:w="7226"/>
            <w:tcMar>
              <w:top w:type="dxa" w:w="70"/>
              <w:left w:type="dxa" w:w="100"/>
              <w:bottom w:type="dxa" w:w="70"/>
              <w:right w:type="dxa" w:w="100"/>
            </w:tcMar>
          </w:tcPr>
          <w:p>
            <w:pPr>
              <w:keepNext/>
              <w:spacing w:after="0" w:before="0"/>
            </w:pPr>
            <w:r>
              <w:rPr>
                <w:sz w:val="20"/>
                <w:szCs w:val="20"/>
              </w:rPr>
              <w:t xml:space="preserve">91 celdas con fechas o números inválidos quedaron como sin dato (por ejemplo, fechas escritas </w:t>
            </w:r>
            <w:r>
              <w:rPr>
                <w:rFonts w:ascii="Consolas" w:cs="Consolas" w:eastAsia="Consolas" w:hAnsi="Consolas"/>
                <w:sz w:val="18"/>
                <w:szCs w:val="18"/>
                <w:shd w:fill="F2F2F2" w:color="auto" w:val="clear"/>
              </w:rPr>
              <w:t xml:space="preserve">--01</w:t>
            </w:r>
            <w:r>
              <w:rPr>
                <w:sz w:val="20"/>
                <w:szCs w:val="20"/>
              </w:rPr>
              <w:t xml:space="preserve"> y los valores con forma de RUT de </w:t>
            </w:r>
            <w:r>
              <w:rPr>
                <w:rFonts w:ascii="Consolas" w:cs="Consolas" w:eastAsia="Consolas" w:hAnsi="Consolas"/>
                <w:sz w:val="18"/>
                <w:szCs w:val="18"/>
                <w:shd w:fill="F2F2F2" w:color="auto" w:val="clear"/>
              </w:rPr>
              <w:t xml:space="preserve">USOSPABELLON</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Verificación</w:t>
            </w:r>
          </w:p>
        </w:tc>
        <w:tc>
          <w:tcPr>
            <w:tcW w:type="dxa" w:w="7226"/>
            <w:tcMar>
              <w:top w:type="dxa" w:w="70"/>
              <w:left w:type="dxa" w:w="100"/>
              <w:bottom w:type="dxa" w:w="70"/>
              <w:right w:type="dxa" w:w="100"/>
            </w:tcMar>
          </w:tcPr>
          <w:p>
            <w:pPr>
              <w:keepNext/>
              <w:spacing w:after="0" w:before="0"/>
            </w:pPr>
            <w:r>
              <w:rPr>
                <w:sz w:val="20"/>
                <w:szCs w:val="20"/>
              </w:rPr>
              <w:t xml:space="preserve">5.808.536 registros antes y después, en el mismo orden; esquema idéntico en los seis años (133 columnas); 0 celdas con forma de RUT; 0 variantes de un mismo valor. Comprobación independiente: las fechas de 2023 y el peso GRD de 2021 coinciden con el texto original en todas las filas, y el número de pacientes por año coincide con el de </w:t>
            </w:r>
            <w:hyperlink w:history="1" w:anchor="E_H02">
              <w:r>
                <w:rPr>
                  <w:color w:val="0563C1"/>
                  <w:sz w:val="20"/>
                  <w:szCs w:val="20"/>
                  <w:u w:val="single"/>
                </w:rPr>
                <w:t xml:space="preserve">H02</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2.1_integracion_homogenizacion/scripts/05_homogenizar.py</w:t>
            </w:r>
            <w:r>
              <w:rPr>
                <w:sz w:val="20"/>
                <w:szCs w:val="20"/>
              </w:rPr>
              <w:t xml:space="preserve"> → </w:t>
            </w:r>
            <w:r>
              <w:rPr>
                <w:rFonts w:ascii="Consolas" w:cs="Consolas" w:eastAsia="Consolas" w:hAnsi="Consolas"/>
                <w:sz w:val="18"/>
                <w:szCs w:val="18"/>
                <w:shd w:fill="F2F2F2" w:color="auto" w:val="clear"/>
              </w:rPr>
              <w:t xml:space="preserve">2.1_integracion_homogenizacion/reportes/05_homogenizacion.md</w:t>
            </w:r>
            <w:r>
              <w:rPr>
                <w:sz w:val="20"/>
                <w:szCs w:val="20"/>
              </w:rPr>
              <w:t xml:space="preserve">. Salida en </w:t>
            </w:r>
            <w:r>
              <w:rPr>
                <w:rFonts w:ascii="Consolas" w:cs="Consolas" w:eastAsia="Consolas" w:hAnsi="Consolas"/>
                <w:sz w:val="18"/>
                <w:szCs w:val="18"/>
                <w:shd w:fill="F2F2F2" w:color="auto" w:val="clear"/>
              </w:rPr>
              <w:t xml:space="preserve">data/interim/homog_&lt;año&gt;.parquet</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D12" w:id="24"/>
      <w:r>
        <w:rPr>
          <w:color w:val="548235"/>
        </w:rPr>
        <w:t xml:space="preserve">D12</w:t>
      </w:r>
      <w:bookmarkEnd w:id="24"/>
      <w:r>
        <w:t xml:space="preserve"> · Equivalencias de categorías entre años</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Los cambios de nombre entre años se resuelven con la tabla </w:t>
            </w:r>
            <w:r>
              <w:rPr>
                <w:rFonts w:ascii="Consolas" w:cs="Consolas" w:eastAsia="Consolas" w:hAnsi="Consolas"/>
                <w:sz w:val="18"/>
                <w:szCs w:val="18"/>
                <w:shd w:fill="F2F2F2" w:color="auto" w:val="clear"/>
              </w:rPr>
              <w:t xml:space="preserve">2.1_integracion_homogenizacion/reglas/equivalencias_categorias.csv</w:t>
            </w:r>
            <w:r>
              <w:rPr>
                <w:sz w:val="20"/>
                <w:szCs w:val="20"/>
              </w:rPr>
              <w:t xml:space="preserve"> (46 reglas): 19 especialidades con nombre propio de 2019, en </w:t>
            </w:r>
            <w:r>
              <w:rPr>
                <w:rFonts w:ascii="Consolas" w:cs="Consolas" w:eastAsia="Consolas" w:hAnsi="Consolas"/>
                <w:sz w:val="18"/>
                <w:szCs w:val="18"/>
                <w:shd w:fill="F2F2F2" w:color="auto" w:val="clear"/>
              </w:rPr>
              <w:t xml:space="preserve">ESPECIALIDAD_MEDICA</w:t>
            </w:r>
            <w:r>
              <w:rPr>
                <w:sz w:val="20"/>
                <w:szCs w:val="20"/>
              </w:rPr>
              <w:t xml:space="preserve"> y </w:t>
            </w:r>
            <w:r>
              <w:rPr>
                <w:rFonts w:ascii="Consolas" w:cs="Consolas" w:eastAsia="Consolas" w:hAnsi="Consolas"/>
                <w:sz w:val="18"/>
                <w:szCs w:val="18"/>
                <w:shd w:fill="F2F2F2" w:color="auto" w:val="clear"/>
              </w:rPr>
              <w:t xml:space="preserve">ESPECIALIDADINTERVENCION</w:t>
            </w:r>
            <w:r>
              <w:rPr>
                <w:sz w:val="20"/>
                <w:szCs w:val="20"/>
              </w:rPr>
              <w:t xml:space="preserve">; variantes de tilde en </w:t>
            </w:r>
            <w:r>
              <w:rPr>
                <w:rFonts w:ascii="Consolas" w:cs="Consolas" w:eastAsia="Consolas" w:hAnsi="Consolas"/>
                <w:sz w:val="18"/>
                <w:szCs w:val="18"/>
                <w:shd w:fill="F2F2F2" w:color="auto" w:val="clear"/>
              </w:rPr>
              <w:t xml:space="preserve">NACIONALIDAD</w:t>
            </w:r>
            <w:r>
              <w:rPr>
                <w:sz w:val="20"/>
                <w:szCs w:val="20"/>
              </w:rPr>
              <w:t xml:space="preserve"> y </w:t>
            </w:r>
            <w:r>
              <w:rPr>
                <w:rFonts w:ascii="Consolas" w:cs="Consolas" w:eastAsia="Consolas" w:hAnsi="Consolas"/>
                <w:sz w:val="18"/>
                <w:szCs w:val="18"/>
                <w:shd w:fill="F2F2F2" w:color="auto" w:val="clear"/>
              </w:rPr>
              <w:t xml:space="preserve">HOSPPROCEDENCIA</w:t>
            </w:r>
            <w:r>
              <w:rPr>
                <w:sz w:val="20"/>
                <w:szCs w:val="20"/>
              </w:rPr>
              <w:t xml:space="preserve">; </w:t>
            </w:r>
            <w:r>
              <w:rPr>
                <w:rFonts w:ascii="Consolas" w:cs="Consolas" w:eastAsia="Consolas" w:hAnsi="Consolas"/>
                <w:sz w:val="18"/>
                <w:szCs w:val="18"/>
                <w:shd w:fill="F2F2F2" w:color="auto" w:val="clear"/>
              </w:rPr>
              <w:t xml:space="preserve">NINGUNA</w:t>
            </w:r>
            <w:r>
              <w:rPr>
                <w:sz w:val="20"/>
                <w:szCs w:val="20"/>
              </w:rPr>
              <w:t xml:space="preserve"> → </w:t>
            </w:r>
            <w:r>
              <w:rPr>
                <w:rFonts w:ascii="Consolas" w:cs="Consolas" w:eastAsia="Consolas" w:hAnsi="Consolas"/>
                <w:sz w:val="18"/>
                <w:szCs w:val="18"/>
                <w:shd w:fill="F2F2F2" w:color="auto" w:val="clear"/>
              </w:rPr>
              <w:t xml:space="preserve">NINGUNO</w:t>
            </w:r>
            <w:r>
              <w:rPr>
                <w:sz w:val="20"/>
                <w:szCs w:val="20"/>
              </w:rPr>
              <w:t xml:space="preserve"> en </w:t>
            </w:r>
            <w:r>
              <w:rPr>
                <w:rFonts w:ascii="Consolas" w:cs="Consolas" w:eastAsia="Consolas" w:hAnsi="Consolas"/>
                <w:sz w:val="18"/>
                <w:szCs w:val="18"/>
                <w:shd w:fill="F2F2F2" w:color="auto" w:val="clear"/>
              </w:rPr>
              <w:t xml:space="preserve">ETNIA</w:t>
            </w:r>
            <w:r>
              <w:rPr>
                <w:sz w:val="20"/>
                <w:szCs w:val="20"/>
              </w:rPr>
              <w:t xml:space="preserve">; </w:t>
            </w:r>
            <w:r>
              <w:rPr>
                <w:rFonts w:ascii="Consolas" w:cs="Consolas" w:eastAsia="Consolas" w:hAnsi="Consolas"/>
                <w:sz w:val="18"/>
                <w:szCs w:val="18"/>
                <w:shd w:fill="F2F2F2" w:color="auto" w:val="clear"/>
              </w:rPr>
              <w:t xml:space="preserve">NO PROGRAMADA</w:t>
            </w:r>
            <w:r>
              <w:rPr>
                <w:sz w:val="20"/>
                <w:szCs w:val="20"/>
              </w:rPr>
              <w:t xml:space="preserve"> → </w:t>
            </w:r>
            <w:r>
              <w:rPr>
                <w:rFonts w:ascii="Consolas" w:cs="Consolas" w:eastAsia="Consolas" w:hAnsi="Consolas"/>
                <w:sz w:val="18"/>
                <w:szCs w:val="18"/>
                <w:shd w:fill="F2F2F2" w:color="auto" w:val="clear"/>
              </w:rPr>
              <w:t xml:space="preserve">URGENCIA</w:t>
            </w:r>
            <w:r>
              <w:rPr>
                <w:sz w:val="20"/>
                <w:szCs w:val="20"/>
              </w:rPr>
              <w:t xml:space="preserve"> en </w:t>
            </w:r>
            <w:r>
              <w:rPr>
                <w:rFonts w:ascii="Consolas" w:cs="Consolas" w:eastAsia="Consolas" w:hAnsi="Consolas"/>
                <w:sz w:val="18"/>
                <w:szCs w:val="18"/>
                <w:shd w:fill="F2F2F2" w:color="auto" w:val="clear"/>
              </w:rPr>
              <w:t xml:space="preserve">TIPO_INGRESO</w:t>
            </w:r>
            <w:r>
              <w:rPr>
                <w:sz w:val="20"/>
                <w:szCs w:val="20"/>
              </w:rPr>
              <w:t xml:space="preserve">; y el código </w:t>
            </w:r>
            <w:r>
              <w:rPr>
                <w:rFonts w:ascii="Consolas" w:cs="Consolas" w:eastAsia="Consolas" w:hAnsi="Consolas"/>
                <w:sz w:val="18"/>
                <w:szCs w:val="18"/>
                <w:shd w:fill="F2F2F2" w:color="auto" w:val="clear"/>
              </w:rPr>
              <w:t xml:space="preserve">|114101</w:t>
            </w:r>
            <w:r>
              <w:rPr>
                <w:sz w:val="20"/>
                <w:szCs w:val="20"/>
              </w:rPr>
              <w:t xml:space="preserve"> → Complejo Hospitalario Dr. Sótero del Río.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Criterio</w:t>
            </w:r>
          </w:p>
        </w:tc>
        <w:tc>
          <w:tcPr>
            <w:tcW w:type="dxa" w:w="7226"/>
            <w:tcMar>
              <w:top w:type="dxa" w:w="70"/>
              <w:left w:type="dxa" w:w="100"/>
              <w:bottom w:type="dxa" w:w="70"/>
              <w:right w:type="dxa" w:w="100"/>
            </w:tcMar>
          </w:tcPr>
          <w:p>
            <w:pPr>
              <w:keepNext/>
              <w:spacing w:after="0" w:before="0"/>
            </w:pPr>
            <w:r>
              <w:rPr>
                <w:sz w:val="20"/>
                <w:szCs w:val="20"/>
              </w:rPr>
              <w:t xml:space="preserve">Solo se incluyen cambios 1 a 1. Cada equivalencia de especialidad se verificó comparando volúmenes: al considerar solo hospitalizaciones y cirugía mayor ambulatoria, el volumen de 2019 es similar al de 2020 (por ejemplo, </w:t>
            </w:r>
            <w:r>
              <w:rPr>
                <w:rFonts w:ascii="Consolas" w:cs="Consolas" w:eastAsia="Consolas" w:hAnsi="Consolas"/>
                <w:sz w:val="18"/>
                <w:szCs w:val="18"/>
                <w:shd w:fill="F2F2F2" w:color="auto" w:val="clear"/>
              </w:rPr>
              <w:t xml:space="preserve">NEFROLOGÍA</w:t>
            </w:r>
            <w:r>
              <w:rPr>
                <w:sz w:val="20"/>
                <w:szCs w:val="20"/>
              </w:rPr>
              <w:t xml:space="preserve"> tiene 1.131 egresos en 2019 y </w:t>
            </w:r>
            <w:r>
              <w:rPr>
                <w:rFonts w:ascii="Consolas" w:cs="Consolas" w:eastAsia="Consolas" w:hAnsi="Consolas"/>
                <w:sz w:val="18"/>
                <w:szCs w:val="18"/>
                <w:shd w:fill="F2F2F2" w:color="auto" w:val="clear"/>
              </w:rPr>
              <w:t xml:space="preserve">NEFROLOGÍA ADULTO</w:t>
            </w:r>
            <w:r>
              <w:rPr>
                <w:sz w:val="20"/>
                <w:szCs w:val="20"/>
              </w:rPr>
              <w:t xml:space="preserve"> tiene 1.096 en 2020).</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Sin equivalente</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ODONTOLOGÍA</w:t>
            </w:r>
            <w:r>
              <w:rPr>
                <w:sz w:val="20"/>
                <w:szCs w:val="20"/>
              </w:rPr>
              <w:t xml:space="preserve">, </w:t>
            </w:r>
            <w:r>
              <w:rPr>
                <w:rFonts w:ascii="Consolas" w:cs="Consolas" w:eastAsia="Consolas" w:hAnsi="Consolas"/>
                <w:sz w:val="18"/>
                <w:szCs w:val="18"/>
                <w:shd w:fill="F2F2F2" w:color="auto" w:val="clear"/>
              </w:rPr>
              <w:t xml:space="preserve">NEUROCIRUGÍA PEDIÁTRICA</w:t>
            </w:r>
            <w:r>
              <w:rPr>
                <w:sz w:val="20"/>
                <w:szCs w:val="20"/>
              </w:rPr>
              <w:t xml:space="preserve">, </w:t>
            </w:r>
            <w:r>
              <w:rPr>
                <w:rFonts w:ascii="Consolas" w:cs="Consolas" w:eastAsia="Consolas" w:hAnsi="Consolas"/>
                <w:sz w:val="18"/>
                <w:szCs w:val="18"/>
                <w:shd w:fill="F2F2F2" w:color="auto" w:val="clear"/>
              </w:rPr>
              <w:t xml:space="preserve">NUTRICIÓN Y DIABETES</w:t>
            </w:r>
            <w:r>
              <w:rPr>
                <w:sz w:val="20"/>
                <w:szCs w:val="20"/>
              </w:rPr>
              <w:t xml:space="preserve"> y </w:t>
            </w:r>
            <w:r>
              <w:rPr>
                <w:rFonts w:ascii="Consolas" w:cs="Consolas" w:eastAsia="Consolas" w:hAnsi="Consolas"/>
                <w:sz w:val="18"/>
                <w:szCs w:val="18"/>
                <w:shd w:fill="F2F2F2" w:color="auto" w:val="clear"/>
              </w:rPr>
              <w:t xml:space="preserve">MEDICINA TRANSFUSIONAL</w:t>
            </w:r>
            <w:r>
              <w:rPr>
                <w:sz w:val="20"/>
                <w:szCs w:val="20"/>
              </w:rPr>
              <w:t xml:space="preserve"> existen solo en 2019 y no se modificaron.</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2.1_integracion_homogenizacion/reportes/05_homogenizacion.md</w:t>
            </w:r>
            <w:r>
              <w:rPr>
                <w:sz w:val="20"/>
                <w:szCs w:val="20"/>
              </w:rPr>
              <w:t xml:space="preserve">, sección 4.</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La tabla queda pendiente de revisión.</w:t>
            </w:r>
          </w:p>
        </w:tc>
      </w:tr>
    </w:tbl>
    <w:p>
      <w:pPr>
        <w:pStyle w:val="Heading2"/>
      </w:pPr>
      <w:bookmarkStart w:name="E_D13" w:id="25"/>
      <w:r>
        <w:rPr>
          <w:color w:val="548235"/>
        </w:rPr>
        <w:t xml:space="preserve">D13</w:t>
      </w:r>
      <w:bookmarkEnd w:id="25"/>
      <w:r>
        <w:t xml:space="preserve"> · Casos que requerían decisión en la homogenización</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(1) Los tipos de actividad que solo existen en 2019 no se renombran (</w:t>
            </w:r>
            <w:hyperlink w:history="1" w:anchor="E_H09">
              <w:r>
                <w:rPr>
                  <w:color w:val="0563C1"/>
                  <w:sz w:val="20"/>
                  <w:szCs w:val="20"/>
                  <w:u w:val="single"/>
                </w:rPr>
                <w:t xml:space="preserve">H09</w:t>
              </w:r>
            </w:hyperlink>
            <w:r>
              <w:rPr>
                <w:sz w:val="20"/>
                <w:szCs w:val="20"/>
              </w:rPr>
              <w:t xml:space="preserve">); su exclusión se define en la actividad 2.2. (2) </w:t>
            </w:r>
            <w:r>
              <w:rPr>
                <w:rFonts w:ascii="Consolas" w:cs="Consolas" w:eastAsia="Consolas" w:hAnsi="Consolas"/>
                <w:sz w:val="18"/>
                <w:szCs w:val="18"/>
                <w:shd w:fill="F2F2F2" w:color="auto" w:val="clear"/>
              </w:rPr>
              <w:t xml:space="preserve">ETNIA</w:t>
            </w:r>
            <w:r>
              <w:rPr>
                <w:sz w:val="20"/>
                <w:szCs w:val="20"/>
              </w:rPr>
              <w:t xml:space="preserve"> solo se limpia; para el modelado se usará "pertenece a un pueblo originario: sí/no". (3) </w:t>
            </w:r>
            <w:r>
              <w:rPr>
                <w:rFonts w:ascii="Consolas" w:cs="Consolas" w:eastAsia="Consolas" w:hAnsi="Consolas"/>
                <w:sz w:val="18"/>
                <w:szCs w:val="18"/>
                <w:shd w:fill="F2F2F2" w:color="auto" w:val="clear"/>
              </w:rPr>
              <w:t xml:space="preserve">NO PROGRAMADA</w:t>
            </w:r>
            <w:r>
              <w:rPr>
                <w:sz w:val="20"/>
                <w:szCs w:val="20"/>
              </w:rPr>
              <w:t xml:space="preserve"> pasa a </w:t>
            </w:r>
            <w:r>
              <w:rPr>
                <w:rFonts w:ascii="Consolas" w:cs="Consolas" w:eastAsia="Consolas" w:hAnsi="Consolas"/>
                <w:sz w:val="18"/>
                <w:szCs w:val="18"/>
                <w:shd w:fill="F2F2F2" w:color="auto" w:val="clear"/>
              </w:rPr>
              <w:t xml:space="preserve">URGENCIA</w:t>
            </w:r>
            <w:r>
              <w:rPr>
                <w:sz w:val="20"/>
                <w:szCs w:val="20"/>
              </w:rPr>
              <w:t xml:space="preserve">. (4) En </w:t>
            </w:r>
            <w:r>
              <w:rPr>
                <w:rFonts w:ascii="Consolas" w:cs="Consolas" w:eastAsia="Consolas" w:hAnsi="Consolas"/>
                <w:sz w:val="18"/>
                <w:szCs w:val="18"/>
                <w:shd w:fill="F2F2F2" w:color="auto" w:val="clear"/>
              </w:rPr>
              <w:t xml:space="preserve">HOSPPROCEDENCIA</w:t>
            </w:r>
            <w:r>
              <w:rPr>
                <w:sz w:val="20"/>
                <w:szCs w:val="20"/>
              </w:rPr>
              <w:t xml:space="preserve"> no se unifican los nombres de los hospitales; para el modelado se usará "viene de otro establecimiento: sí/no". (5) Los campos de recién nacido, </w:t>
            </w:r>
            <w:r>
              <w:rPr>
                <w:rFonts w:ascii="Consolas" w:cs="Consolas" w:eastAsia="Consolas" w:hAnsi="Consolas"/>
                <w:sz w:val="18"/>
                <w:szCs w:val="18"/>
                <w:shd w:fill="F2F2F2" w:color="auto" w:val="clear"/>
              </w:rPr>
              <w:t xml:space="preserve">USOSPABELLON</w:t>
            </w:r>
            <w:r>
              <w:rPr>
                <w:sz w:val="20"/>
                <w:szCs w:val="20"/>
              </w:rPr>
              <w:t xml:space="preserve"> y </w:t>
            </w:r>
            <w:r>
              <w:rPr>
                <w:rFonts w:ascii="Consolas" w:cs="Consolas" w:eastAsia="Consolas" w:hAnsi="Consolas"/>
                <w:sz w:val="18"/>
                <w:szCs w:val="18"/>
                <w:shd w:fill="F2F2F2" w:color="auto" w:val="clear"/>
              </w:rPr>
              <w:t xml:space="preserve">SERVICIOTRASLADO</w:t>
            </w:r>
            <w:r>
              <w:rPr>
                <w:sz w:val="20"/>
                <w:szCs w:val="20"/>
              </w:rPr>
              <w:t xml:space="preserve"> reciben solo limpieza básica y se consideran no comparables entre años.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Los puntos 1 y 2 quedan por validar con profesor guía.</w:t>
            </w:r>
          </w:p>
        </w:tc>
      </w:tr>
    </w:tbl>
    <w:p>
      <w:pPr>
        <w:pStyle w:val="Heading2"/>
      </w:pPr>
      <w:bookmarkStart w:name="E_H10" w:id="26"/>
      <w:r>
        <w:rPr>
          <w:color w:val="2E75B6"/>
        </w:rPr>
        <w:t xml:space="preserve">H10</w:t>
      </w:r>
      <w:bookmarkEnd w:id="26"/>
      <w:r>
        <w:t xml:space="preserve"> · Coherencia de fechas tras homogenizar</w:t>
      </w:r>
    </w:p>
    <w:p>
      <w:pPr>
        <w:keepNext/>
        <w:spacing w:after="100"/>
      </w:pPr>
      <w:r>
        <w:rPr>
          <w:b/>
          <w:bCs/>
          <w:color w:val="2E75B6"/>
          <w:sz w:val="18"/>
          <w:szCs w:val="18"/>
        </w:rPr>
        <w:t xml:space="preserve">Hallazgo</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 y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sz w:val="20"/>
                <w:szCs w:val="20"/>
              </w:rPr>
              <w:t xml:space="preserve">Con las fechas ya convertidas se observan 71 egresos sin fecha de ingreso (19 en 2019 y 52 en 2024), 18 sin fecha de alta (2019), 37 sin fecha de nacimiento, 12 con alta anterior al ingreso y 26 con una edad al ingreso mayor de 110 años. Ningún egreso tiene la fecha de alta fuera del año de su archivo: los archivos están organizados por año de alta. Cada año tiene egresos en sus 12 meses. En 2019, </w:t>
            </w:r>
            <w:r>
              <w:rPr>
                <w:rFonts w:ascii="Consolas" w:cs="Consolas" w:eastAsia="Consolas" w:hAnsi="Consolas"/>
                <w:sz w:val="18"/>
                <w:szCs w:val="18"/>
                <w:shd w:fill="F2F2F2" w:color="auto" w:val="clear"/>
              </w:rPr>
              <w:t xml:space="preserve">USOSPABELLON</w:t>
            </w:r>
            <w:r>
              <w:rPr>
                <w:sz w:val="20"/>
                <w:szCs w:val="20"/>
              </w:rPr>
              <w:t xml:space="preserve"> tiene 141 valores entre 10 y 999, cuando el máximo de 2021 a 2024 es 8.</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2.1_integracion_homogenizacion/reportes/05_homogenizacion.md</w:t>
            </w:r>
            <w:r>
              <w:rPr>
                <w:sz w:val="20"/>
                <w:szCs w:val="20"/>
              </w:rPr>
              <w:t xml:space="preserve">, secciones 7 y 9.</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val="false"/>
              <w:spacing w:after="0" w:before="0"/>
            </w:pPr>
            <w:r>
              <w:rPr>
                <w:sz w:val="20"/>
                <w:szCs w:val="20"/>
              </w:rPr>
              <w:t xml:space="preserve">Estos registros no se corrigen ni se excluyen en la homogenización; se tratan en la actividad 2.2.</w:t>
            </w:r>
          </w:p>
        </w:tc>
      </w:tr>
    </w:tbl>
    <w:p>
      <w:pPr>
        <w:pStyle w:val="Heading2"/>
      </w:pPr>
      <w:bookmarkStart w:name="E_D14" w:id="27"/>
      <w:r>
        <w:rPr>
          <w:color w:val="548235"/>
        </w:rPr>
        <w:t xml:space="preserve">D14</w:t>
      </w:r>
      <w:bookmarkEnd w:id="27"/>
      <w:r>
        <w:t xml:space="preserve"> · Integración en una tabla única</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Los seis años homogenizados se apilan en </w:t>
            </w:r>
            <w:r>
              <w:rPr>
                <w:rFonts w:ascii="Consolas" w:cs="Consolas" w:eastAsia="Consolas" w:hAnsi="Consolas"/>
                <w:sz w:val="18"/>
                <w:szCs w:val="18"/>
                <w:shd w:fill="F2F2F2" w:color="auto" w:val="clear"/>
              </w:rPr>
              <w:t xml:space="preserve">data/processed/grd_2019_2024.parquet</w:t>
            </w:r>
            <w:r>
              <w:rPr>
                <w:sz w:val="20"/>
                <w:szCs w:val="20"/>
              </w:rPr>
              <w:t xml:space="preserve"> (5.808.536 registros, 136 columnas, 295 MB). Se agrega </w:t>
            </w:r>
            <w:r>
              <w:rPr>
                <w:rFonts w:ascii="Consolas" w:cs="Consolas" w:eastAsia="Consolas" w:hAnsi="Consolas"/>
                <w:sz w:val="18"/>
                <w:szCs w:val="18"/>
                <w:shd w:fill="F2F2F2" w:color="auto" w:val="clear"/>
              </w:rPr>
              <w:t xml:space="preserve">ID_EGRESO</w:t>
            </w:r>
            <w:r>
              <w:rPr>
                <w:sz w:val="20"/>
                <w:szCs w:val="20"/>
              </w:rPr>
              <w:t xml:space="preserve">, un identificador único por egreso formado por el año del archivo y el número de línea del txt original (año × 10.000.000 + línea); por ejemplo, </w:t>
            </w:r>
            <w:r>
              <w:rPr>
                <w:rFonts w:ascii="Consolas" w:cs="Consolas" w:eastAsia="Consolas" w:hAnsi="Consolas"/>
                <w:sz w:val="18"/>
                <w:szCs w:val="18"/>
                <w:shd w:fill="F2F2F2" w:color="auto" w:val="clear"/>
              </w:rPr>
              <w:t xml:space="preserve">20230000002</w:t>
            </w:r>
            <w:r>
              <w:rPr>
                <w:sz w:val="20"/>
                <w:szCs w:val="20"/>
              </w:rPr>
              <w:t xml:space="preserve">. No se elimina ningún registro.</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Verificación</w:t>
            </w:r>
          </w:p>
        </w:tc>
        <w:tc>
          <w:tcPr>
            <w:tcW w:type="dxa" w:w="7226"/>
            <w:tcMar>
              <w:top w:type="dxa" w:w="70"/>
              <w:left w:type="dxa" w:w="100"/>
              <w:bottom w:type="dxa" w:w="70"/>
              <w:right w:type="dxa" w:w="100"/>
            </w:tcMar>
          </w:tcPr>
          <w:p>
            <w:pPr>
              <w:keepNext/>
              <w:spacing w:after="0" w:before="0"/>
            </w:pPr>
            <w:r>
              <w:rPr>
                <w:sz w:val="20"/>
                <w:szCs w:val="20"/>
              </w:rPr>
              <w:t xml:space="preserve">El total y los registros por año coinciden con los archivos homogenizados; </w:t>
            </w:r>
            <w:r>
              <w:rPr>
                <w:rFonts w:ascii="Consolas" w:cs="Consolas" w:eastAsia="Consolas" w:hAnsi="Consolas"/>
                <w:sz w:val="18"/>
                <w:szCs w:val="18"/>
                <w:shd w:fill="F2F2F2" w:color="auto" w:val="clear"/>
              </w:rPr>
              <w:t xml:space="preserve">ID_EGRESO</w:t>
            </w:r>
            <w:r>
              <w:rPr>
                <w:sz w:val="20"/>
                <w:szCs w:val="20"/>
              </w:rPr>
              <w:t xml:space="preserve"> es único; los tipos de dato se conservan al leer el archivo; cada año tiene egresos en sus 12 meses; los pacientes que reaparecen al año siguiente coinciden con </w:t>
            </w:r>
            <w:hyperlink w:history="1" w:anchor="E_H02">
              <w:r>
                <w:rPr>
                  <w:color w:val="0563C1"/>
                  <w:sz w:val="20"/>
                  <w:szCs w:val="20"/>
                  <w:u w:val="single"/>
                </w:rPr>
                <w:t xml:space="preserve">H02</w:t>
              </w:r>
            </w:hyperlink>
            <w:r>
              <w:rPr>
                <w:sz w:val="20"/>
                <w:szCs w:val="20"/>
              </w:rPr>
              <w:t xml:space="preserve"> (8,9 % de 2019 a 2020, 0 % de 2020 a 2021 y entre 13,9 % y 15,5 % desde 2021).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2.1_integracion_homogenizacion/scripts/06_integrar.py</w:t>
            </w:r>
            <w:r>
              <w:rPr>
                <w:sz w:val="20"/>
                <w:szCs w:val="20"/>
              </w:rPr>
              <w:t xml:space="preserve"> → </w:t>
            </w:r>
            <w:r>
              <w:rPr>
                <w:rFonts w:ascii="Consolas" w:cs="Consolas" w:eastAsia="Consolas" w:hAnsi="Consolas"/>
                <w:sz w:val="18"/>
                <w:szCs w:val="18"/>
                <w:shd w:fill="F2F2F2" w:color="auto" w:val="clear"/>
              </w:rPr>
              <w:t xml:space="preserve">2.1_integracion_homogenizacion/reportes/06_integracion.md</w:t>
            </w:r>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2"/>
      </w:pPr>
      <w:bookmarkStart w:name="E_D15" w:id="28"/>
      <w:r>
        <w:rPr>
          <w:color w:val="548235"/>
        </w:rPr>
        <w:t xml:space="preserve">D15</w:t>
      </w:r>
      <w:bookmarkEnd w:id="28"/>
      <w:r>
        <w:t xml:space="preserve"> · Definición y marcado de duplicados</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 y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Dos registros se consideran el mismo episodio cuando coinciden paciente, hospital, fecha de ingreso y fecha de alta. En la integración los duplicados solo se marcan, con dos columnas: </w:t>
            </w:r>
            <w:r>
              <w:rPr>
                <w:rFonts w:ascii="Consolas" w:cs="Consolas" w:eastAsia="Consolas" w:hAnsi="Consolas"/>
                <w:sz w:val="18"/>
                <w:szCs w:val="18"/>
                <w:shd w:fill="F2F2F2" w:color="auto" w:val="clear"/>
              </w:rPr>
              <w:t xml:space="preserve">DUP_EXACTO</w:t>
            </w:r>
            <w:r>
              <w:rPr>
                <w:sz w:val="20"/>
                <w:szCs w:val="20"/>
              </w:rPr>
              <w:t xml:space="preserve"> (copia idéntica de un registro anterior, en todas las columnas de datos) y </w:t>
            </w:r>
            <w:r>
              <w:rPr>
                <w:rFonts w:ascii="Consolas" w:cs="Consolas" w:eastAsia="Consolas" w:hAnsi="Consolas"/>
                <w:sz w:val="18"/>
                <w:szCs w:val="18"/>
                <w:shd w:fill="F2F2F2" w:color="auto" w:val="clear"/>
              </w:rPr>
              <w:t xml:space="preserve">DUP_CLAVE</w:t>
            </w:r>
            <w:r>
              <w:rPr>
                <w:sz w:val="20"/>
                <w:szCs w:val="20"/>
              </w:rPr>
              <w:t xml:space="preserve"> (comparte los cuatro datos de la clave con otro registro). La eliminación se hará en la actividad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Resultado</w:t>
            </w:r>
          </w:p>
        </w:tc>
        <w:tc>
          <w:tcPr>
            <w:tcW w:type="dxa" w:w="7226"/>
            <w:tcMar>
              <w:top w:type="dxa" w:w="70"/>
              <w:left w:type="dxa" w:w="100"/>
              <w:bottom w:type="dxa" w:w="70"/>
              <w:right w:type="dxa" w:w="100"/>
            </w:tcMar>
          </w:tcPr>
          <w:p>
            <w:pPr>
              <w:keepNext/>
              <w:spacing w:after="0" w:before="0"/>
            </w:pPr>
            <w:r>
              <w:rPr>
                <w:sz w:val="20"/>
                <w:szCs w:val="20"/>
              </w:rPr>
              <w:t xml:space="preserve">3.818 copias exactas (2.818 de ellas en 2020) y 15.734 registros con clave repetida, en 7.850 grupos de 2 a 4 registros. Los 17.934 registros sin clave completa (sin identificador de paciente o sin fechas) no se pueden evaluar por clave.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Regla de eliminación</w:t>
            </w:r>
          </w:p>
        </w:tc>
        <w:tc>
          <w:tcPr>
            <w:tcW w:type="dxa" w:w="7226"/>
            <w:tcMar>
              <w:top w:type="dxa" w:w="70"/>
              <w:left w:type="dxa" w:w="100"/>
              <w:bottom w:type="dxa" w:w="70"/>
              <w:right w:type="dxa" w:w="100"/>
            </w:tcMar>
          </w:tcPr>
          <w:p>
            <w:pPr>
              <w:keepNext/>
              <w:spacing w:after="0" w:before="0"/>
            </w:pPr>
            <w:r>
              <w:rPr>
                <w:sz w:val="20"/>
                <w:szCs w:val="20"/>
              </w:rPr>
              <w:t xml:space="preserve">Definida el 5 de octubre de 2026. Las copias exactas se eliminan. Al quitarlas quedan 4.041 episodios con dos o más registros distintos (el 86 % con estadía de 0 días y el 78 % de cirugía mayor ambulatoria); en el 39 % de los pares lo único distinto es el médico registrado. En esos episodios se conserva el registro más completo: el que tiene más diagnósticos; si empatan, el que tiene más procedimientos; si empatan, el de mayor peso GRD; y si siguen empatados, el primero del archivo. Sobran 4.067 registros. El reingreso no depende de cuál se conserve, porque el paciente y las fechas son los mismos.</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Caso especial</w:t>
            </w:r>
          </w:p>
        </w:tc>
        <w:tc>
          <w:tcPr>
            <w:tcW w:type="dxa" w:w="7226"/>
            <w:tcMar>
              <w:top w:type="dxa" w:w="70"/>
              <w:left w:type="dxa" w:w="100"/>
              <w:bottom w:type="dxa" w:w="70"/>
              <w:right w:type="dxa" w:w="100"/>
            </w:tcMar>
          </w:tcPr>
          <w:p>
            <w:pPr>
              <w:keepNext/>
              <w:spacing w:after="0" w:before="0"/>
            </w:pPr>
            <w:r>
              <w:rPr>
                <w:sz w:val="20"/>
                <w:szCs w:val="20"/>
              </w:rPr>
              <w:t xml:space="preserve">En 296 pares los dos registros tienen distinto sexo o distinta fecha de nacimiento, es decir, son personas distintas que comparten identificador. En 124 de ellos uno es menor de un año y el otro tiene más de 12, probablemente un recién nacido registrado con el identificador de su madre. Estos pares no se fusionan; su tratamiento se define en la actividad 2.2, junto con el criterio de «mismo paciente».</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Pendiente de validar con profesor guía.</w:t>
            </w:r>
          </w:p>
        </w:tc>
      </w:tr>
    </w:tbl>
    <w:p>
      <w:pPr>
        <w:pStyle w:val="Heading2"/>
      </w:pPr>
      <w:bookmarkStart w:name="E_H11" w:id="29"/>
      <w:r>
        <w:rPr>
          <w:color w:val="2E75B6"/>
        </w:rPr>
        <w:t xml:space="preserve">H11</w:t>
      </w:r>
      <w:bookmarkEnd w:id="29"/>
      <w:r>
        <w:t xml:space="preserve"> · Hallazgos de la tabla integrada</w:t>
      </w:r>
    </w:p>
    <w:p>
      <w:pPr>
        <w:keepNext/>
        <w:spacing w:after="100"/>
      </w:pPr>
      <w:r>
        <w:rPr>
          <w:b/>
          <w:bCs/>
          <w:color w:val="2E75B6"/>
          <w:sz w:val="18"/>
          <w:szCs w:val="18"/>
        </w:rPr>
        <w:t xml:space="preserve">Hallazgo</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 y 2.2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Duplicados</w:t>
            </w:r>
          </w:p>
        </w:tc>
        <w:tc>
          <w:tcPr>
            <w:tcW w:type="dxa" w:w="7226"/>
            <w:tcMar>
              <w:top w:type="dxa" w:w="70"/>
              <w:left w:type="dxa" w:w="100"/>
              <w:bottom w:type="dxa" w:w="70"/>
              <w:right w:type="dxa" w:w="100"/>
            </w:tcMar>
          </w:tcPr>
          <w:p>
            <w:pPr>
              <w:keepNext/>
              <w:spacing w:after="0" w:before="0"/>
            </w:pPr>
            <w:r>
              <w:rPr>
                <w:sz w:val="20"/>
                <w:szCs w:val="20"/>
              </w:rPr>
              <w:t xml:space="preserve">En los cerca de 4.000 pares con la misma clave que no son copias exactas, lo que más difiere es el médico de alta (74 % de los pares) y el médico de la intervención (64 %); los diagnósticos, los procedimientos y el GRD difieren en alrededor del 25 %.</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Comparabilidad entre años</w:t>
            </w:r>
          </w:p>
        </w:tc>
        <w:tc>
          <w:tcPr>
            <w:tcW w:type="dxa" w:w="7226"/>
            <w:tcMar>
              <w:top w:type="dxa" w:w="70"/>
              <w:left w:type="dxa" w:w="100"/>
              <w:bottom w:type="dxa" w:w="70"/>
              <w:right w:type="dxa" w:w="100"/>
            </w:tcMar>
          </w:tcPr>
          <w:p>
            <w:pPr>
              <w:keepNext/>
              <w:spacing w:after="0" w:before="0"/>
            </w:pPr>
            <w:r>
              <w:rPr>
                <w:sz w:val="20"/>
                <w:szCs w:val="20"/>
              </w:rPr>
              <w:t xml:space="preserve">El peso GRD medio es menor en 2019 (0,84) que en el resto (0,96 a 1,11), en línea con </w:t>
            </w:r>
            <w:hyperlink w:history="1" w:anchor="E_H09">
              <w:r>
                <w:rPr>
                  <w:color w:val="0563C1"/>
                  <w:sz w:val="20"/>
                  <w:szCs w:val="20"/>
                  <w:u w:val="single"/>
                </w:rPr>
                <w:t xml:space="preserve">H09</w:t>
              </w:r>
            </w:hyperlink>
            <w:r>
              <w:rPr>
                <w:sz w:val="20"/>
                <w:szCs w:val="20"/>
              </w:rPr>
              <w:t xml:space="preserve">. El número de diagnósticos registrados por egreso aumenta de 4,37 en 2019 a 5,77 en 2024, lo que puede afectar a los índices de comorbilidad. En 2020 y 2021 aumentan los ingresos por urgencia (55 % a 56 %, frente a cerca del 50 %) y las altas por fallecimiento (3,8 % a 3,9 %, frente a 2,4 % a 2,9 %).</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Evidencia</w:t>
            </w:r>
          </w:p>
        </w:tc>
        <w:tc>
          <w:tcPr>
            <w:tcW w:type="dxa" w:w="7226"/>
            <w:tcMar>
              <w:top w:type="dxa" w:w="70"/>
              <w:left w:type="dxa" w:w="100"/>
              <w:bottom w:type="dxa" w:w="70"/>
              <w:right w:type="dxa" w:w="100"/>
            </w:tcMar>
          </w:tcPr>
          <w:p>
            <w:pPr>
              <w:keepNext w:val="false"/>
              <w:spacing w:after="0" w:before="0"/>
            </w:pPr>
            <w:r>
              <w:rPr>
                <w:rFonts w:ascii="Consolas" w:cs="Consolas" w:eastAsia="Consolas" w:hAnsi="Consolas"/>
                <w:sz w:val="18"/>
                <w:szCs w:val="18"/>
                <w:shd w:fill="F2F2F2" w:color="auto" w:val="clear"/>
              </w:rPr>
              <w:t xml:space="preserve">2.1_integracion_homogenizacion/reportes/06_integracion.md</w:t>
            </w:r>
            <w:r>
              <w:rPr>
                <w:sz w:val="20"/>
                <w:szCs w:val="20"/>
              </w:rPr>
              <w:t xml:space="preserve">, secciones 3 y 4.</w:t>
            </w:r>
          </w:p>
        </w:tc>
      </w:tr>
    </w:tbl>
    <w:p>
      <w:pPr>
        <w:pStyle w:val="Heading2"/>
      </w:pPr>
      <w:bookmarkStart w:name="E_H12" w:id="30"/>
      <w:r>
        <w:rPr>
          <w:color w:val="2E75B6"/>
        </w:rPr>
        <w:t xml:space="preserve">H12</w:t>
      </w:r>
      <w:bookmarkEnd w:id="30"/>
      <w:r>
        <w:t xml:space="preserve"> · Significado de USOSPABELLON y valores poco plausibles</w:t>
      </w:r>
    </w:p>
    <w:p>
      <w:pPr>
        <w:keepNext/>
        <w:spacing w:after="100"/>
      </w:pPr>
      <w:r>
        <w:rPr>
          <w:b/>
          <w:bCs/>
          <w:color w:val="2E75B6"/>
          <w:sz w:val="18"/>
          <w:szCs w:val="18"/>
        </w:rPr>
        <w:t xml:space="preserve">Hallazgo</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1.2</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Hallazgo</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USOSPABELLON</w:t>
            </w:r>
            <w:r>
              <w:rPr>
                <w:sz w:val="20"/>
                <w:szCs w:val="20"/>
              </w:rPr>
              <w:t xml:space="preserve"> no es una cantidad de usos de pabellón sino el tipo de pabellón utilizado: sus valores van de 1 a 8 y corresponden a la hoja Tipo de Pabellón de la tabla maestra (1 central u obstétrico, 2 ambulatorio, 3 sala de procedimiento, etc.). En la cirugía mayor ambulatoria el 40 % de los egresos usa el código 2, frente al 1 % en la hospitalización. Hay 327 valores fuera del rango 1 a 8 (233 en 2019).</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Otros valores poco plausibles</w:t>
            </w:r>
          </w:p>
        </w:tc>
        <w:tc>
          <w:tcPr>
            <w:tcW w:type="dxa" w:w="7226"/>
            <w:tcMar>
              <w:top w:type="dxa" w:w="70"/>
              <w:left w:type="dxa" w:w="100"/>
              <w:bottom w:type="dxa" w:w="70"/>
              <w:right w:type="dxa" w:w="100"/>
            </w:tcMar>
          </w:tcPr>
          <w:p>
            <w:pPr>
              <w:keepNext/>
              <w:spacing w:after="0" w:before="0"/>
            </w:pPr>
            <w:r>
              <w:rPr>
                <w:rFonts w:ascii="Consolas" w:cs="Consolas" w:eastAsia="Consolas" w:hAnsi="Consolas"/>
                <w:sz w:val="18"/>
                <w:szCs w:val="18"/>
                <w:shd w:fill="F2F2F2" w:color="auto" w:val="clear"/>
              </w:rPr>
              <w:t xml:space="preserve">FECHAINTERV1</w:t>
            </w:r>
            <w:r>
              <w:rPr>
                <w:sz w:val="20"/>
                <w:szCs w:val="20"/>
              </w:rPr>
              <w:t xml:space="preserve"> cae fuera del episodio en el 2,2 % de los casos de 2019 a 2023 (la mayoría, un día antes del ingreso) y 73 tienen años imposibles; en 2024 no hay ninguno, y ese año aparecen 19.669 valores </w:t>
            </w:r>
            <w:r>
              <w:rPr>
                <w:rFonts w:ascii="Consolas" w:cs="Consolas" w:eastAsia="Consolas" w:hAnsi="Consolas"/>
                <w:sz w:val="18"/>
                <w:szCs w:val="18"/>
                <w:shd w:fill="F2F2F2" w:color="auto" w:val="clear"/>
              </w:rPr>
              <w:t xml:space="preserve">DESCONOCIDA</w:t>
            </w:r>
            <w:r>
              <w:rPr>
                <w:sz w:val="20"/>
                <w:szCs w:val="20"/>
              </w:rPr>
              <w:t xml:space="preserve">. En el peso de los recién nacidos hay 414 valores menores de 300 g y 33 mayores de 6.500 g.</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Consecuencia</w:t>
            </w:r>
          </w:p>
        </w:tc>
        <w:tc>
          <w:tcPr>
            <w:tcW w:type="dxa" w:w="7226"/>
            <w:tcMar>
              <w:top w:type="dxa" w:w="70"/>
              <w:left w:type="dxa" w:w="100"/>
              <w:bottom w:type="dxa" w:w="70"/>
              <w:right w:type="dxa" w:w="100"/>
            </w:tcMar>
          </w:tcPr>
          <w:p>
            <w:pPr>
              <w:keepNext w:val="false"/>
              <w:spacing w:after="0" w:before="0"/>
            </w:pPr>
            <w:r>
              <w:rPr>
                <w:sz w:val="20"/>
                <w:szCs w:val="20"/>
              </w:rPr>
              <w:t xml:space="preserve">Son variables secundarias; no se corrigen. </w:t>
            </w:r>
            <w:r>
              <w:rPr>
                <w:rFonts w:ascii="Consolas" w:cs="Consolas" w:eastAsia="Consolas" w:hAnsi="Consolas"/>
                <w:sz w:val="18"/>
                <w:szCs w:val="18"/>
                <w:shd w:fill="F2F2F2" w:color="auto" w:val="clear"/>
              </w:rPr>
              <w:t xml:space="preserve">USOSPABELLON</w:t>
            </w:r>
            <w:r>
              <w:rPr>
                <w:sz w:val="20"/>
                <w:szCs w:val="20"/>
              </w:rPr>
              <w:t xml:space="preserve"> debe tratarse como categoría, no como número.</w:t>
            </w:r>
          </w:p>
        </w:tc>
      </w:tr>
    </w:tbl>
    <w:p>
      <w:pPr>
        <w:pStyle w:val="Heading2"/>
      </w:pPr>
      <w:bookmarkStart w:name="E_D16" w:id="31"/>
      <w:r>
        <w:rPr>
          <w:color w:val="548235"/>
        </w:rPr>
        <w:t xml:space="preserve">D16</w:t>
      </w:r>
      <w:bookmarkEnd w:id="31"/>
      <w:r>
        <w:t xml:space="preserve"> · Diccionario de datos</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El diccionario </w:t>
            </w:r>
            <w:r>
              <w:rPr>
                <w:rFonts w:ascii="Consolas" w:cs="Consolas" w:eastAsia="Consolas" w:hAnsi="Consolas"/>
                <w:sz w:val="18"/>
                <w:szCs w:val="18"/>
                <w:shd w:fill="F2F2F2" w:color="auto" w:val="clear"/>
              </w:rPr>
              <w:t xml:space="preserve">docs/diccionario_datos.md</w:t>
            </w:r>
            <w:r>
              <w:rPr>
                <w:sz w:val="20"/>
                <w:szCs w:val="20"/>
              </w:rPr>
              <w:t xml:space="preserve"> se genera con </w:t>
            </w:r>
            <w:r>
              <w:rPr>
                <w:rFonts w:ascii="Consolas" w:cs="Consolas" w:eastAsia="Consolas" w:hAnsi="Consolas"/>
                <w:sz w:val="18"/>
                <w:szCs w:val="18"/>
                <w:shd w:fill="F2F2F2" w:color="auto" w:val="clear"/>
              </w:rPr>
              <w:t xml:space="preserve">2.1_integracion_homogenizacion/scripts/07_diccionario_datos.py</w:t>
            </w:r>
            <w:r>
              <w:rPr>
                <w:sz w:val="20"/>
                <w:szCs w:val="20"/>
              </w:rPr>
              <w:t xml:space="preserve"> a partir de las descripciones de </w:t>
            </w:r>
            <w:r>
              <w:rPr>
                <w:rFonts w:ascii="Consolas" w:cs="Consolas" w:eastAsia="Consolas" w:hAnsi="Consolas"/>
                <w:sz w:val="18"/>
                <w:szCs w:val="18"/>
                <w:shd w:fill="F2F2F2" w:color="auto" w:val="clear"/>
              </w:rPr>
              <w:t xml:space="preserve">2.1_integracion_homogenizacion/reglas/descripciones_columnas.csv</w:t>
            </w:r>
            <w:r>
              <w:rPr>
                <w:sz w:val="20"/>
                <w:szCs w:val="20"/>
              </w:rPr>
              <w:t xml:space="preserve"> y de estadísticas calculadas sobre la tabla integrada (tipo, valores y porcentaje con dato). Cubre las 136 columnas en 46 entradas.</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 Las descripciones deben contrastarse con la documentación oficial de la base GRD.</w:t>
            </w:r>
          </w:p>
        </w:tc>
      </w:tr>
    </w:tbl>
    <w:p>
      <w:pPr>
        <w:pStyle w:val="Heading2"/>
      </w:pPr>
      <w:bookmarkStart w:name="E_D17" w:id="32"/>
      <w:r>
        <w:rPr>
          <w:color w:val="548235"/>
        </w:rPr>
        <w:t xml:space="preserve">D17</w:t>
      </w:r>
      <w:bookmarkEnd w:id="32"/>
      <w:r>
        <w:t xml:space="preserve"> · Carpetas por actividad de la Carta Gantt</w:t>
      </w:r>
    </w:p>
    <w:p>
      <w:pPr>
        <w:keepNext/>
        <w:spacing w:after="100"/>
      </w:pPr>
      <w:r>
        <w:rPr>
          <w:b/>
          <w:bCs/>
          <w:color w:val="548235"/>
          <w:sz w:val="18"/>
          <w:szCs w:val="18"/>
        </w:rPr>
        <w:t xml:space="preserve">Decisión</w:t>
      </w:r>
      <w:r>
        <w:rPr>
          <w:color w:val="808080"/>
          <w:sz w:val="18"/>
          <w:szCs w:val="18"/>
        </w:rPr>
        <w:t xml:space="preserve">  ·  3 de octubre de 2026</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Layout w:type="fixed"/>
      </w:tblPr>
      <w:tblGrid>
        <w:gridCol w:w="1800"/>
        <w:gridCol w:w="7226"/>
      </w:tblGrid>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Actividad</w:t>
            </w:r>
          </w:p>
        </w:tc>
        <w:tc>
          <w:tcPr>
            <w:tcW w:type="dxa" w:w="7226"/>
            <w:tcMar>
              <w:top w:type="dxa" w:w="70"/>
              <w:left w:type="dxa" w:w="100"/>
              <w:bottom w:type="dxa" w:w="70"/>
              <w:right w:type="dxa" w:w="100"/>
            </w:tcMar>
          </w:tcPr>
          <w:p>
            <w:pPr>
              <w:keepNext/>
              <w:spacing w:after="0" w:before="0"/>
            </w:pPr>
            <w:r>
              <w:rPr>
                <w:sz w:val="20"/>
                <w:szCs w:val="20"/>
              </w:rPr>
              <w:t xml:space="preserve">2.1</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Decisión</w:t>
            </w:r>
          </w:p>
        </w:tc>
        <w:tc>
          <w:tcPr>
            <w:tcW w:type="dxa" w:w="7226"/>
            <w:tcMar>
              <w:top w:type="dxa" w:w="70"/>
              <w:left w:type="dxa" w:w="100"/>
              <w:bottom w:type="dxa" w:w="70"/>
              <w:right w:type="dxa" w:w="100"/>
            </w:tcMar>
          </w:tcPr>
          <w:p>
            <w:pPr>
              <w:keepNext/>
              <w:spacing w:after="0" w:before="0"/>
            </w:pPr>
            <w:r>
              <w:rPr>
                <w:sz w:val="20"/>
                <w:szCs w:val="20"/>
              </w:rPr>
              <w:t xml:space="preserve">El contenido de </w:t>
            </w:r>
            <w:r>
              <w:rPr>
                <w:rFonts w:ascii="Consolas" w:cs="Consolas" w:eastAsia="Consolas" w:hAnsi="Consolas"/>
                <w:sz w:val="18"/>
                <w:szCs w:val="18"/>
                <w:shd w:fill="F2F2F2" w:color="auto" w:val="clear"/>
              </w:rPr>
              <w:t xml:space="preserve">Codigo</w:t>
            </w:r>
            <w:r>
              <w:rPr>
                <w:sz w:val="20"/>
                <w:szCs w:val="20"/>
              </w:rPr>
              <w:t xml:space="preserve"> se organiza en una carpeta por actividad, cada una con sus </w:t>
            </w:r>
            <w:r>
              <w:rPr>
                <w:rFonts w:ascii="Consolas" w:cs="Consolas" w:eastAsia="Consolas" w:hAnsi="Consolas"/>
                <w:sz w:val="18"/>
                <w:szCs w:val="18"/>
                <w:shd w:fill="F2F2F2" w:color="auto" w:val="clear"/>
              </w:rPr>
              <w:t xml:space="preserve">scripts/</w:t>
            </w:r>
            <w:r>
              <w:rPr>
                <w:sz w:val="20"/>
                <w:szCs w:val="20"/>
              </w:rPr>
              <w:t xml:space="preserve">, </w:t>
            </w:r>
            <w:r>
              <w:rPr>
                <w:rFonts w:ascii="Consolas" w:cs="Consolas" w:eastAsia="Consolas" w:hAnsi="Consolas"/>
                <w:sz w:val="18"/>
                <w:szCs w:val="18"/>
                <w:shd w:fill="F2F2F2" w:color="auto" w:val="clear"/>
              </w:rPr>
              <w:t xml:space="preserve">reportes/</w:t>
            </w:r>
            <w:r>
              <w:rPr>
                <w:sz w:val="20"/>
                <w:szCs w:val="20"/>
              </w:rPr>
              <w:t xml:space="preserve"> y </w:t>
            </w:r>
            <w:r>
              <w:rPr>
                <w:rFonts w:ascii="Consolas" w:cs="Consolas" w:eastAsia="Consolas" w:hAnsi="Consolas"/>
                <w:sz w:val="18"/>
                <w:szCs w:val="18"/>
                <w:shd w:fill="F2F2F2" w:color="auto" w:val="clear"/>
              </w:rPr>
              <w:t xml:space="preserve">reglas/</w:t>
            </w:r>
            <w:r>
              <w:rPr>
                <w:sz w:val="20"/>
                <w:szCs w:val="20"/>
              </w:rPr>
              <w:t xml:space="preserve">: </w:t>
            </w:r>
            <w:r>
              <w:rPr>
                <w:rFonts w:ascii="Consolas" w:cs="Consolas" w:eastAsia="Consolas" w:hAnsi="Consolas"/>
                <w:sz w:val="18"/>
                <w:szCs w:val="18"/>
                <w:shd w:fill="F2F2F2" w:color="auto" w:val="clear"/>
              </w:rPr>
              <w:t xml:space="preserve">1.2_exploracion_calidad</w:t>
            </w:r>
            <w:r>
              <w:rPr>
                <w:sz w:val="20"/>
                <w:szCs w:val="20"/>
              </w:rPr>
              <w:t xml:space="preserve"> (scripts 01, 02 y 04, que examinan los datos sin modificarlos) y </w:t>
            </w:r>
            <w:r>
              <w:rPr>
                <w:rFonts w:ascii="Consolas" w:cs="Consolas" w:eastAsia="Consolas" w:hAnsi="Consolas"/>
                <w:sz w:val="18"/>
                <w:szCs w:val="18"/>
                <w:shd w:fill="F2F2F2" w:color="auto" w:val="clear"/>
              </w:rPr>
              <w:t xml:space="preserve">2.1_integracion_homogenizacion</w:t>
            </w:r>
            <w:r>
              <w:rPr>
                <w:sz w:val="20"/>
                <w:szCs w:val="20"/>
              </w:rPr>
              <w:t xml:space="preserve"> (scripts 03, 05, 06 y 07, que los transforman). Las carpetas </w:t>
            </w:r>
            <w:r>
              <w:rPr>
                <w:rFonts w:ascii="Consolas" w:cs="Consolas" w:eastAsia="Consolas" w:hAnsi="Consolas"/>
                <w:sz w:val="18"/>
                <w:szCs w:val="18"/>
                <w:shd w:fill="F2F2F2" w:color="auto" w:val="clear"/>
              </w:rPr>
              <w:t xml:space="preserve">data/</w:t>
            </w:r>
            <w:r>
              <w:rPr>
                <w:sz w:val="20"/>
                <w:szCs w:val="20"/>
              </w:rPr>
              <w:t xml:space="preserve">, </w:t>
            </w:r>
            <w:r>
              <w:rPr>
                <w:rFonts w:ascii="Consolas" w:cs="Consolas" w:eastAsia="Consolas" w:hAnsi="Consolas"/>
                <w:sz w:val="18"/>
                <w:szCs w:val="18"/>
                <w:shd w:fill="F2F2F2" w:color="auto" w:val="clear"/>
              </w:rPr>
              <w:t xml:space="preserve">docs/</w:t>
            </w:r>
            <w:r>
              <w:rPr>
                <w:sz w:val="20"/>
                <w:szCs w:val="20"/>
              </w:rPr>
              <w:t xml:space="preserve"> y </w:t>
            </w:r>
            <w:r>
              <w:rPr>
                <w:rFonts w:ascii="Consolas" w:cs="Consolas" w:eastAsia="Consolas" w:hAnsi="Consolas"/>
                <w:sz w:val="18"/>
                <w:szCs w:val="18"/>
                <w:shd w:fill="F2F2F2" w:color="auto" w:val="clear"/>
              </w:rPr>
              <w:t xml:space="preserve">herramientas/</w:t>
            </w:r>
            <w:r>
              <w:rPr>
                <w:sz w:val="20"/>
                <w:szCs w:val="20"/>
              </w:rPr>
              <w:t xml:space="preserve"> siguen siendo comunes. Reemplaza la organización por tipo de archivo (</w:t>
            </w:r>
            <w:r>
              <w:rPr>
                <w:rFonts w:ascii="Consolas" w:cs="Consolas" w:eastAsia="Consolas" w:hAnsi="Consolas"/>
                <w:sz w:val="18"/>
                <w:szCs w:val="18"/>
                <w:shd w:fill="F2F2F2" w:color="auto" w:val="clear"/>
              </w:rPr>
              <w:t xml:space="preserve">src/</w:t>
            </w:r>
            <w:r>
              <w:rPr>
                <w:sz w:val="20"/>
                <w:szCs w:val="20"/>
              </w:rPr>
              <w:t xml:space="preserve">, </w:t>
            </w:r>
            <w:r>
              <w:rPr>
                <w:rFonts w:ascii="Consolas" w:cs="Consolas" w:eastAsia="Consolas" w:hAnsi="Consolas"/>
                <w:sz w:val="18"/>
                <w:szCs w:val="18"/>
                <w:shd w:fill="F2F2F2" w:color="auto" w:val="clear"/>
              </w:rPr>
              <w:t xml:space="preserve">reports/</w:t>
            </w:r>
            <w:r>
              <w:rPr>
                <w:sz w:val="20"/>
                <w:szCs w:val="20"/>
              </w:rPr>
              <w:t xml:space="preserve">, </w:t>
            </w:r>
            <w:r>
              <w:rPr>
                <w:rFonts w:ascii="Consolas" w:cs="Consolas" w:eastAsia="Consolas" w:hAnsi="Consolas"/>
                <w:sz w:val="18"/>
                <w:szCs w:val="18"/>
                <w:shd w:fill="F2F2F2" w:color="auto" w:val="clear"/>
              </w:rPr>
              <w:t xml:space="preserve">reglas/</w:t>
            </w:r>
            <w:r>
              <w:rPr>
                <w:sz w:val="20"/>
                <w:szCs w:val="20"/>
              </w:rPr>
              <w:t xml:space="preserve">) descrita en </w:t>
            </w:r>
            <w:hyperlink w:history="1" w:anchor="E_D01">
              <w:r>
                <w:rPr>
                  <w:color w:val="0563C1"/>
                  <w:sz w:val="20"/>
                  <w:szCs w:val="20"/>
                  <w:u w:val="single"/>
                </w:rPr>
                <w:t xml:space="preserve">D01</w:t>
              </w:r>
            </w:hyperlink>
            <w:r>
              <w:rPr>
                <w:sz w:val="20"/>
                <w:szCs w:val="20"/>
              </w:rPr>
              <w:t xml:space="preserve">.</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Bitácoras</w:t>
            </w:r>
          </w:p>
        </w:tc>
        <w:tc>
          <w:tcPr>
            <w:tcW w:type="dxa" w:w="7226"/>
            <w:tcMar>
              <w:top w:type="dxa" w:w="70"/>
              <w:left w:type="dxa" w:w="100"/>
              <w:bottom w:type="dxa" w:w="70"/>
              <w:right w:type="dxa" w:w="100"/>
            </w:tcMar>
          </w:tcPr>
          <w:p>
            <w:pPr>
              <w:keepNext/>
              <w:spacing w:after="0" w:before="0"/>
            </w:pPr>
            <w:r>
              <w:rPr>
                <w:sz w:val="20"/>
                <w:szCs w:val="20"/>
              </w:rPr>
              <w:t xml:space="preserve">Esta bitácora se mantiene como un solo documento para las actividades 1.2 y 2.1. Las rutas citadas en sus entradas se actualizaron a la nueva ubicación, sin cambiar el contenido. Desde la actividad 2.2, cada actividad lleva su propia bitácora dentro de su carpeta.</w:t>
            </w:r>
          </w:p>
        </w:tc>
      </w:tr>
      <w:tr>
        <w:trPr>
          <w:cantSplit/>
        </w:trPr>
        <w:tc>
          <w:tcPr>
            <w:tcW w:type="dxa" w:w="1800"/>
            <w:shd w:fill="F2F2F2" w:color="auto" w:val="clear"/>
            <w:tcMar>
              <w:top w:type="dxa" w:w="70"/>
              <w:left w:type="dxa" w:w="100"/>
              <w:bottom w:type="dxa" w:w="70"/>
              <w:right w:type="dxa" w:w="100"/>
            </w:tcMar>
          </w:tcPr>
          <w:p>
            <w:pPr>
              <w:keepNext/>
              <w:spacing w:after="0"/>
            </w:pPr>
            <w:r>
              <w:rPr>
                <w:b/>
                <w:bCs/>
                <w:color w:val="404040"/>
                <w:sz w:val="20"/>
                <w:szCs w:val="20"/>
              </w:rPr>
              <w:t xml:space="preserve">Verificación</w:t>
            </w:r>
          </w:p>
        </w:tc>
        <w:tc>
          <w:tcPr>
            <w:tcW w:type="dxa" w:w="7226"/>
            <w:tcMar>
              <w:top w:type="dxa" w:w="70"/>
              <w:left w:type="dxa" w:w="100"/>
              <w:bottom w:type="dxa" w:w="70"/>
              <w:right w:type="dxa" w:w="100"/>
            </w:tcMar>
          </w:tcPr>
          <w:p>
            <w:pPr>
              <w:keepNext/>
              <w:spacing w:after="0" w:before="0"/>
            </w:pPr>
            <w:r>
              <w:rPr>
                <w:sz w:val="20"/>
                <w:szCs w:val="20"/>
              </w:rPr>
              <w:t xml:space="preserve">Tras mover los archivos se volvieron a ejecutar los siete scripts desde su nueva ubicación: los 19 archivos de datos resultaron idénticos byte a byte a los anteriores, y los reportes solo cambiaron en la ruta del script que los genera.</w:t>
            </w:r>
          </w:p>
        </w:tc>
      </w:tr>
      <w:tr>
        <w:trPr>
          <w:cantSplit/>
        </w:trPr>
        <w:tc>
          <w:tcPr>
            <w:tcW w:type="dxa" w:w="1800"/>
            <w:shd w:fill="F2F2F2" w:color="auto" w:val="clear"/>
            <w:tcMar>
              <w:top w:type="dxa" w:w="70"/>
              <w:left w:type="dxa" w:w="100"/>
              <w:bottom w:type="dxa" w:w="70"/>
              <w:right w:type="dxa" w:w="100"/>
            </w:tcMar>
          </w:tcPr>
          <w:p>
            <w:pPr>
              <w:keepNext w:val="false"/>
              <w:spacing w:after="0"/>
            </w:pPr>
            <w:r>
              <w:rPr>
                <w:b/>
                <w:bCs/>
                <w:color w:val="404040"/>
                <w:sz w:val="20"/>
                <w:szCs w:val="20"/>
              </w:rPr>
              <w:t xml:space="preserve">Estado</w:t>
            </w:r>
          </w:p>
        </w:tc>
        <w:tc>
          <w:tcPr>
            <w:tcW w:type="dxa" w:w="7226"/>
            <w:tcMar>
              <w:top w:type="dxa" w:w="70"/>
              <w:left w:type="dxa" w:w="100"/>
              <w:bottom w:type="dxa" w:w="70"/>
              <w:right w:type="dxa" w:w="100"/>
            </w:tcMar>
          </w:tcPr>
          <w:p>
            <w:pPr>
              <w:keepNext w:val="false"/>
              <w:spacing w:after="0" w:before="0"/>
            </w:pPr>
            <w:r>
              <w:rPr>
                <w:sz w:val="20"/>
                <w:szCs w:val="20"/>
              </w:rPr>
              <w:t xml:space="preserve">Adoptada.</w:t>
            </w:r>
          </w:p>
        </w:tc>
      </w:tr>
    </w:tbl>
    <w:p>
      <w:pPr>
        <w:pStyle w:val="Heading1"/>
      </w:pPr>
      <w:r>
        <w:t xml:space="preserve">Pendientes</w:t>
      </w:r>
    </w:p>
    <w:p>
      <w:pPr>
        <w:pStyle w:val="ListParagraph"/>
        <w:numPr>
          <w:ilvl w:val="0"/>
          <w:numId w:val="2"/>
        </w:numPr>
        <w:spacing w:after="80"/>
      </w:pPr>
      <w:r>
        <w:t xml:space="preserve">Validar </w:t>
      </w:r>
      <w:hyperlink w:history="1" w:anchor="E_D03">
        <w:r>
          <w:rPr>
            <w:color w:val="0563C1"/>
            <w:u w:val="single"/>
          </w:rPr>
          <w:t xml:space="preserve">D03</w:t>
        </w:r>
      </w:hyperlink>
      <w:r>
        <w:t xml:space="preserve">, </w:t>
      </w:r>
      <w:hyperlink w:history="1" w:anchor="E_D07">
        <w:r>
          <w:rPr>
            <w:color w:val="0563C1"/>
            <w:u w:val="single"/>
          </w:rPr>
          <w:t xml:space="preserve">D07</w:t>
        </w:r>
      </w:hyperlink>
      <w:r>
        <w:t xml:space="preserve"> y </w:t>
      </w:r>
      <w:hyperlink w:history="1" w:anchor="E_D08">
        <w:r>
          <w:rPr>
            <w:color w:val="0563C1"/>
            <w:u w:val="single"/>
          </w:rPr>
          <w:t xml:space="preserve">D08</w:t>
        </w:r>
      </w:hyperlink>
      <w:r>
        <w:t xml:space="preserve"> con profesor guía.</w:t>
      </w:r>
    </w:p>
    <w:p>
      <w:pPr>
        <w:pStyle w:val="ListParagraph"/>
        <w:numPr>
          <w:ilvl w:val="0"/>
          <w:numId w:val="2"/>
        </w:numPr>
        <w:spacing w:after="80"/>
      </w:pPr>
      <w:r>
        <w:t xml:space="preserve">Consultar al DEIS si existe una tabla de correspondencia de ID entre 2020 y 2021 (si existe, </w:t>
      </w:r>
      <w:hyperlink w:history="1" w:anchor="E_D03">
        <w:r>
          <w:rPr>
            <w:color w:val="0563C1"/>
            <w:u w:val="single"/>
          </w:rPr>
          <w:t xml:space="preserve">D03</w:t>
        </w:r>
      </w:hyperlink>
      <w:r>
        <w:t xml:space="preserve"> se reemplaza).</w:t>
      </w:r>
    </w:p>
    <w:p>
      <w:pPr>
        <w:pStyle w:val="ListParagraph"/>
        <w:numPr>
          <w:ilvl w:val="0"/>
          <w:numId w:val="2"/>
        </w:numPr>
        <w:spacing w:after="80"/>
      </w:pPr>
      <w:r>
        <w:t xml:space="preserve">Identificar el hospital </w:t>
      </w:r>
      <w:r>
        <w:rPr>
          <w:rFonts w:ascii="Consolas" w:cs="Consolas" w:eastAsia="Consolas" w:hAnsi="Consolas"/>
          <w:sz w:val="20"/>
          <w:szCs w:val="20"/>
          <w:shd w:fill="F2F2F2" w:color="auto" w:val="clear"/>
        </w:rPr>
        <w:t xml:space="preserve">200717</w:t>
      </w:r>
      <w:r>
        <w:t xml:space="preserve"> en el registro de establecimientos del DEIS.</w:t>
      </w:r>
    </w:p>
    <w:p>
      <w:pPr>
        <w:pStyle w:val="ListParagraph"/>
        <w:numPr>
          <w:ilvl w:val="0"/>
          <w:numId w:val="2"/>
        </w:numPr>
        <w:spacing w:after="80"/>
      </w:pPr>
      <w:r>
        <w:t xml:space="preserve">Confirmar el alcance del archivo "EXTERNO" 2022.</w:t>
      </w:r>
    </w:p>
    <w:p>
      <w:pPr>
        <w:pStyle w:val="ListParagraph"/>
        <w:numPr>
          <w:ilvl w:val="0"/>
          <w:numId w:val="2"/>
        </w:numPr>
        <w:spacing w:after="80"/>
      </w:pPr>
      <w:r>
        <w:t xml:space="preserve">Construir la tabla de nombres de las 23 CDM y confirmar el significado de PH/PA/MH/MA.</w:t>
      </w:r>
    </w:p>
    <w:p>
      <w:pPr>
        <w:pStyle w:val="ListParagraph"/>
        <w:numPr>
          <w:ilvl w:val="0"/>
          <w:numId w:val="2"/>
        </w:numPr>
        <w:spacing w:after="80"/>
      </w:pPr>
      <w:r>
        <w:t xml:space="preserve">Informar al profesor guía sobre los valores con forma de RUT (</w:t>
      </w:r>
      <w:hyperlink w:history="1" w:anchor="E_H07">
        <w:r>
          <w:rPr>
            <w:color w:val="0563C1"/>
            <w:u w:val="single"/>
          </w:rPr>
          <w:t xml:space="preserve">H07</w:t>
        </w:r>
      </w:hyperlink>
      <w:r>
        <w:t xml:space="preserve">) y evaluar si avisar al DEIS.</w:t>
      </w:r>
    </w:p>
    <w:p>
      <w:pPr>
        <w:pStyle w:val="ListParagraph"/>
        <w:numPr>
          <w:ilvl w:val="0"/>
          <w:numId w:val="2"/>
        </w:numPr>
        <w:spacing w:after="80"/>
      </w:pPr>
      <w:r>
        <w:t xml:space="preserve">Validar con profesor guía la exclusión en 2.2 de los 90 egresos con GRD </w:t>
      </w:r>
      <w:r>
        <w:rPr>
          <w:rFonts w:ascii="Consolas" w:cs="Consolas" w:eastAsia="Consolas" w:hAnsi="Consolas"/>
          <w:sz w:val="20"/>
          <w:szCs w:val="20"/>
          <w:shd w:fill="F2F2F2" w:color="auto" w:val="clear"/>
        </w:rPr>
        <w:t xml:space="preserve">DESCONOCIDO</w:t>
      </w:r>
      <w:r>
        <w:t xml:space="preserve"> (</w:t>
      </w:r>
      <w:hyperlink w:history="1" w:anchor="E_H07">
        <w:r>
          <w:rPr>
            <w:color w:val="0563C1"/>
            <w:u w:val="single"/>
          </w:rPr>
          <w:t xml:space="preserve">H07</w:t>
        </w:r>
      </w:hyperlink>
      <w:r>
        <w:t xml:space="preserve">).</w:t>
      </w:r>
    </w:p>
    <w:p>
      <w:pPr>
        <w:pStyle w:val="ListParagraph"/>
        <w:numPr>
          <w:ilvl w:val="0"/>
          <w:numId w:val="2"/>
        </w:numPr>
        <w:spacing w:after="80"/>
      </w:pPr>
      <w:r>
        <w:t xml:space="preserve">Revisar la tabla de equivalencias y decidir qué hacer con los 4 nombres de especialidad sin equivalente (</w:t>
      </w:r>
      <w:hyperlink w:history="1" w:anchor="E_D12">
        <w:r>
          <w:rPr>
            <w:color w:val="0563C1"/>
            <w:u w:val="single"/>
          </w:rPr>
          <w:t xml:space="preserve">D12</w:t>
        </w:r>
      </w:hyperlink>
      <w:r>
        <w:t xml:space="preserve">).</w:t>
      </w:r>
    </w:p>
    <w:p>
      <w:pPr>
        <w:pStyle w:val="ListParagraph"/>
        <w:numPr>
          <w:ilvl w:val="0"/>
          <w:numId w:val="2"/>
        </w:numPr>
        <w:spacing w:after="80"/>
      </w:pPr>
      <w:r>
        <w:t xml:space="preserve">En la actividad 2.2, definir el tratamiento de los egresos con fechas faltantes o incoherentes (</w:t>
      </w:r>
      <w:hyperlink w:history="1" w:anchor="E_H10">
        <w:r>
          <w:rPr>
            <w:color w:val="0563C1"/>
            <w:u w:val="single"/>
          </w:rPr>
          <w:t xml:space="preserve">H10</w:t>
        </w:r>
      </w:hyperlink>
      <w:r>
        <w:t xml:space="preserve">).</w:t>
      </w:r>
    </w:p>
    <w:p>
      <w:pPr>
        <w:pStyle w:val="ListParagraph"/>
        <w:numPr>
          <w:ilvl w:val="0"/>
          <w:numId w:val="3"/>
        </w:numPr>
        <w:spacing w:after="80"/>
      </w:pPr>
      <w:r>
        <w:t xml:space="preserve">En la actividad 2.2, definir qué registro se conserva en los grupos con clave repetida (</w:t>
      </w:r>
      <w:hyperlink w:history="1" w:anchor="E_D15">
        <w:r>
          <w:rPr>
            <w:color w:val="0563C1"/>
            <w:u w:val="single"/>
          </w:rPr>
          <w:t xml:space="preserve">D15</w:t>
        </w:r>
      </w:hyperlink>
      <w:r>
        <w:t xml:space="preserve">). Definido el 5 de octubre de 2026: el más completo.</w:t>
      </w:r>
    </w:p>
    <w:p>
      <w:pPr>
        <w:pStyle w:val="ListParagraph"/>
        <w:numPr>
          <w:ilvl w:val="0"/>
          <w:numId w:val="2"/>
        </w:numPr>
        <w:spacing w:after="80"/>
      </w:pPr>
      <w:r>
        <w:t xml:space="preserve">En la actividad 2.2, definir cómo se tratan los identificadores compartidos por dos personas, por ejemplo madre y recién nacido (</w:t>
      </w:r>
      <w:hyperlink w:history="1" w:anchor="E_D15">
        <w:r>
          <w:rPr>
            <w:color w:val="0563C1"/>
            <w:u w:val="single"/>
          </w:rPr>
          <w:t xml:space="preserve">D15</w:t>
        </w:r>
      </w:hyperlink>
      <w:r>
        <w:t xml:space="preserve">).</w:t>
      </w:r>
    </w:p>
    <w:p>
      <w:pPr>
        <w:pStyle w:val="ListParagraph"/>
        <w:numPr>
          <w:ilvl w:val="0"/>
          <w:numId w:val="2"/>
        </w:numPr>
        <w:spacing w:after="80"/>
      </w:pPr>
      <w:r>
        <w:t xml:space="preserve">Contrastar el diccionario de datos con la documentación oficial de la base GRD (</w:t>
      </w:r>
      <w:hyperlink w:history="1" w:anchor="E_D16">
        <w:r>
          <w:rPr>
            <w:color w:val="0563C1"/>
            <w:u w:val="single"/>
          </w:rPr>
          <w:t xml:space="preserve">D16</w:t>
        </w:r>
      </w:hyperlink>
      <w:r>
        <w:t xml:space="preserve">).</w:t>
      </w:r>
    </w:p>
    <w:p>
      <w:pPr>
        <w:pStyle w:val="ListParagraph"/>
        <w:numPr>
          <w:ilvl w:val="0"/>
          <w:numId w:val="2"/>
        </w:numPr>
        <w:spacing w:after="80"/>
      </w:pPr>
      <w:r>
        <w:t xml:space="preserve">Validar con profesor guía la propuesta de </w:t>
      </w:r>
      <w:hyperlink w:history="1" w:anchor="E_H09">
        <w:r>
          <w:rPr>
            <w:color w:val="0563C1"/>
            <w:u w:val="single"/>
          </w:rPr>
          <w:t xml:space="preserve">H09</w:t>
        </w:r>
      </w:hyperlink>
      <w:r>
        <w:t xml:space="preserve"> (excluir en 2.2 los tipos de actividad que solo existen en 2019).</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Bitácora de decisiones · Reingresos hospitalarios GRD 2019–2024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3" w15:restartNumberingAfterBreak="0">
    <w:multiLevelType w:val="hybridMultilevel"/>
    <w:lvl w:ilvl="0" w:tentative="1">
      <w:start w:val="1"/>
      <w:numFmt w:val="bullet"/>
      <w:lvlText w:val="☑"/>
      <w:lvlJc w:val="left"/>
      <w:pPr>
        <w:ind w:left="500" w:hanging="360"/>
      </w:pPr>
      <w:rPr>
        <w:rFonts w:ascii="Segoe UI Symbol" w:cs="Segoe UI Symbol" w:eastAsia="Segoe UI Symbol" w:hAnsi="Segoe UI Symbol"/>
      </w:rPr>
    </w:lvl>
  </w:abstractNum>
  <w:abstractNum w:abstractNumId="4" w15:restartNumberingAfterBreak="0">
    <w:multiLevelType w:val="hybridMultilevel"/>
    <w:lvl w:ilvl="0" w:tentative="1">
      <w:start w:val="1"/>
      <w:numFmt w:val="bullet"/>
      <w:lvlText w:val="•"/>
      <w:lvlJc w:val="lef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lang w:val="es-CL"/>
      </w:rPr>
    </w:rPrDefault>
    <w:pPrDefault>
      <w:pPr>
        <w:spacing w:after="120" w:line="276"/>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keepNext/>
      <w:keepLines/>
      <w:spacing w:after="60" w:before="0"/>
    </w:pPr>
    <w:rPr>
      <w:rFonts w:ascii="Calibri" w:cs="Calibri" w:eastAsia="Calibri" w:hAnsi="Calibri"/>
      <w:b/>
      <w:bCs/>
      <w:color w:val="1F3864"/>
      <w:sz w:val="40"/>
      <w:szCs w:val="40"/>
    </w:rPr>
  </w:style>
  <w:style w:type="paragraph" w:styleId="Heading1">
    <w:name w:val="Heading 1"/>
    <w:basedOn w:val="Normal"/>
    <w:next w:val="Normal"/>
    <w:qFormat/>
    <w:pPr>
      <w:keepNext/>
      <w:keepLines/>
      <w:spacing w:after="160" w:before="400"/>
      <w:outlineLvl w:val="0"/>
    </w:pPr>
    <w:rPr>
      <w:rFonts w:ascii="Calibri" w:cs="Calibri" w:eastAsia="Calibri" w:hAnsi="Calibri"/>
      <w:b/>
      <w:bCs/>
      <w:color w:val="1F3864"/>
      <w:sz w:val="30"/>
      <w:szCs w:val="30"/>
    </w:rPr>
  </w:style>
  <w:style w:type="paragraph" w:styleId="Heading2">
    <w:name w:val="Heading 2"/>
    <w:basedOn w:val="Normal"/>
    <w:next w:val="Normal"/>
    <w:qFormat/>
    <w:pPr>
      <w:keepNext/>
      <w:keepLines/>
      <w:spacing w:after="40" w:before="320"/>
      <w:outlineLvl w:val="1"/>
    </w:pPr>
    <w:rPr>
      <w:rFonts w:ascii="Calibri" w:cs="Calibri" w:eastAsia="Calibri" w:hAnsi="Calibri"/>
      <w:b/>
      <w:bCs/>
      <w:color w:val="1F386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Bitácora de decisiones sobre los datos</dc:title>
  <dc:creator>Tesis GRD</dc:creator>
  <dc:description>Hallazgos y decisiones del procesamiento de la base GRD 2019–2024</dc:description>
  <cp:lastModifiedBy>Un-named</cp:lastModifiedBy>
  <cp:revision>1</cp:revision>
  <dcterms:created xsi:type="dcterms:W3CDTF">2026-10-05T21:38:21.416Z</dcterms:created>
  <dcterms:modified xsi:type="dcterms:W3CDTF">2026-10-05T21:38:21.417Z</dcterms:modified>
</cp:coreProperties>
</file>

<file path=docProps/custom.xml><?xml version="1.0" encoding="utf-8"?>
<Properties xmlns="http://schemas.openxmlformats.org/officeDocument/2006/custom-properties" xmlns:vt="http://schemas.openxmlformats.org/officeDocument/2006/docPropsVTypes"/>
</file>