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Bitácora de la actividad 2.2: depuración y etiquetado del reingreso</w:t>
      </w:r>
    </w:p>
    <w:p>
      <w:pPr>
        <w:spacing w:after="60"/>
      </w:pPr>
      <w:r>
        <w:rPr>
          <w:i/>
          <w:iCs/>
          <w:color w:val="595959"/>
          <w:sz w:val="24"/>
          <w:szCs w:val="24"/>
        </w:rPr>
        <w:t xml:space="preserve">Análisis de reingresos hospitalarios mediante selección de variables sobre datos GRD</w:t>
      </w:r>
    </w:p>
    <w:p>
      <w:pPr>
        <w:pBdr>
          <w:bottom w:val="single" w:color="1F3864" w:sz="6" w:space="6"/>
        </w:pBdr>
        <w:spacing w:after="280"/>
      </w:pPr>
      <w:r>
        <w:rPr>
          <w:color w:val="808080"/>
          <w:sz w:val="18"/>
          <w:szCs w:val="18"/>
        </w:rPr>
        <w:t xml:space="preserve">Actualizada al 20 de octubre de 2026 · Versión Word generada a partir de Codigo/2.2_depuracion_etiquetado/bitacora.md</w:t>
      </w:r>
    </w:p>
    <w:p>
      <w:r>
        <w:t xml:space="preserve">Registro de los hallazgos y decisiones de la actividad 2.2 de la Carta Gantt. Continúa la numeración de </w:t>
      </w:r>
      <w:r>
        <w:rPr>
          <w:rFonts w:ascii="Consolas" w:cs="Consolas" w:eastAsia="Consolas" w:hAnsi="Consolas"/>
          <w:sz w:val="20"/>
          <w:szCs w:val="20"/>
          <w:shd w:fill="F2F2F2" w:color="auto" w:val="clear"/>
        </w:rPr>
        <w:t xml:space="preserve">docs/bitacora.md</w:t>
      </w:r>
      <w:r>
        <w:t xml:space="preserve">, que cubre las actividades 1.2 y 2.1: aquí el primer hallazgo es </w:t>
      </w:r>
      <w:hyperlink w:history="1" w:anchor="E_H13">
        <w:r>
          <w:rPr>
            <w:color w:val="0563C1"/>
            <w:u w:val="single"/>
          </w:rPr>
          <w:t xml:space="preserve">H13</w:t>
        </w:r>
      </w:hyperlink>
      <w:r>
        <w:t xml:space="preserve"> y la primera decisión, </w:t>
      </w:r>
      <w:hyperlink w:history="1" w:anchor="E_D18">
        <w:r>
          <w:rPr>
            <w:color w:val="0563C1"/>
            <w:u w:val="single"/>
          </w:rPr>
          <w:t xml:space="preserve">D18</w:t>
        </w:r>
      </w:hyperlink>
      <w:r>
        <w:t xml:space="preserve">. Las entradas anteriores que se aplican en esta actividad (D03, D07, D08, D15, H09 y H10) están en esa bitácora. Una entrada no se borra: si una decisión cambia, se agrega una nueva entrada que la reemplaza y se indica en el campo </w:t>
      </w:r>
      <w:r>
        <w:rPr>
          <w:b/>
          <w:bCs/>
        </w:rPr>
        <w:t xml:space="preserve">Estado</w:t>
      </w:r>
      <w:r>
        <w:t xml:space="preserve">.</w:t>
      </w:r>
    </w:p>
    <w:p>
      <w:r>
        <w:t xml:space="preserve">Las decisiones del 6 de octubre de 2026 (</w:t>
      </w:r>
      <w:hyperlink w:history="1" w:anchor="E_D18">
        <w:r>
          <w:rPr>
            <w:color w:val="0563C1"/>
            <w:u w:val="single"/>
          </w:rPr>
          <w:t xml:space="preserve">D18</w:t>
        </w:r>
      </w:hyperlink>
      <w:r>
        <w:t xml:space="preserve"> a </w:t>
      </w:r>
      <w:hyperlink w:history="1" w:anchor="E_D26">
        <w:r>
          <w:rPr>
            <w:color w:val="0563C1"/>
            <w:u w:val="single"/>
          </w:rPr>
          <w:t xml:space="preserve">D26</w:t>
        </w:r>
      </w:hyperlink>
      <w:r>
        <w:t xml:space="preserve">) se aplicaron como provisionales. El profesor guía las revisó el 7 de octubre («satisfactorio, con correcciones metodológicas antes de congelar el conjunto de prueba») y las entradas del 8 de octubre (</w:t>
      </w:r>
      <w:hyperlink w:history="1" w:anchor="E_H20">
        <w:r>
          <w:rPr>
            <w:color w:val="0563C1"/>
            <w:u w:val="single"/>
          </w:rPr>
          <w:t xml:space="preserve">H20</w:t>
        </w:r>
      </w:hyperlink>
      <w:r>
        <w:t xml:space="preserve"> a </w:t>
      </w:r>
      <w:hyperlink w:history="1" w:anchor="E_H25">
        <w:r>
          <w:rPr>
            <w:color w:val="0563C1"/>
            <w:u w:val="single"/>
          </w:rPr>
          <w:t xml:space="preserve">H25</w:t>
        </w:r>
      </w:hyperlink>
      <w:r>
        <w:t xml:space="preserve"> y </w:t>
      </w:r>
      <w:hyperlink w:history="1" w:anchor="E_D30">
        <w:r>
          <w:rPr>
            <w:color w:val="0563C1"/>
            <w:u w:val="single"/>
          </w:rPr>
          <w:t xml:space="preserve">D30</w:t>
        </w:r>
      </w:hyperlink>
      <w:r>
        <w:t xml:space="preserve"> a </w:t>
      </w:r>
      <w:hyperlink w:history="1" w:anchor="E_D36">
        <w:r>
          <w:rPr>
            <w:color w:val="0563C1"/>
            <w:u w:val="single"/>
          </w:rPr>
          <w:t xml:space="preserve">D36</w:t>
        </w:r>
      </w:hyperlink>
      <w:r>
        <w:t xml:space="preserve">) recogen sus correcciones. En su revisión del 13 de octubre aprobó </w:t>
      </w:r>
      <w:hyperlink w:history="1" w:anchor="E_D30">
        <w:r>
          <w:rPr>
            <w:color w:val="0563C1"/>
            <w:u w:val="single"/>
          </w:rPr>
          <w:t xml:space="preserve">D30</w:t>
        </w:r>
      </w:hyperlink>
      <w:r>
        <w:t xml:space="preserve"> y </w:t>
      </w:r>
      <w:hyperlink w:history="1" w:anchor="E_D34">
        <w:r>
          <w:rPr>
            <w:color w:val="0563C1"/>
            <w:u w:val="single"/>
          </w:rPr>
          <w:t xml:space="preserve">D34</w:t>
        </w:r>
      </w:hyperlink>
      <w:r>
        <w:t xml:space="preserve">, y aprobó la tabla de criterios (</w:t>
      </w:r>
      <w:hyperlink w:history="1" w:anchor="E_D35">
        <w:r>
          <w:rPr>
            <w:color w:val="0563C1"/>
            <w:u w:val="single"/>
          </w:rPr>
          <w:t xml:space="preserve">D35</w:t>
        </w:r>
      </w:hyperlink>
      <w:r>
        <w:t xml:space="preserve">) a condición de incorporar dos puntos: los partos en las variables relacionadas (punto 2.1 de esa revisión) y la sensibilidad de las reglas de traslado y de derivación (punto 2.4). Las entradas del 20 de octubre (</w:t>
      </w:r>
      <w:hyperlink w:history="1" w:anchor="E_H26">
        <w:r>
          <w:rPr>
            <w:color w:val="0563C1"/>
            <w:u w:val="single"/>
          </w:rPr>
          <w:t xml:space="preserve">H26</w:t>
        </w:r>
      </w:hyperlink>
      <w:r>
        <w:t xml:space="preserve">, </w:t>
      </w:r>
      <w:hyperlink w:history="1" w:anchor="E_H27">
        <w:r>
          <w:rPr>
            <w:color w:val="0563C1"/>
            <w:u w:val="single"/>
          </w:rPr>
          <w:t xml:space="preserve">H27</w:t>
        </w:r>
      </w:hyperlink>
      <w:r>
        <w:t xml:space="preserve">, </w:t>
      </w:r>
      <w:hyperlink w:history="1" w:anchor="E_D38">
        <w:r>
          <w:rPr>
            <w:color w:val="0563C1"/>
            <w:u w:val="single"/>
          </w:rPr>
          <w:t xml:space="preserve">D38</w:t>
        </w:r>
      </w:hyperlink>
      <w:r>
        <w:t xml:space="preserve"> y </w:t>
      </w:r>
      <w:hyperlink w:history="1" w:anchor="E_D39">
        <w:r>
          <w:rPr>
            <w:color w:val="0563C1"/>
            <w:u w:val="single"/>
          </w:rPr>
          <w:t xml:space="preserve">D39</w:t>
        </w:r>
      </w:hyperlink>
      <w:r>
        <w:t xml:space="preserve">) los incorporan; </w:t>
      </w:r>
      <w:hyperlink w:history="1" w:anchor="E_H28">
        <w:r>
          <w:rPr>
            <w:color w:val="0563C1"/>
            <w:u w:val="single"/>
          </w:rPr>
          <w:t xml:space="preserve">H28</w:t>
        </w:r>
      </w:hyperlink>
      <w:r>
        <w:t xml:space="preserve"> responde a otro punto de la misma revisión (2.3), sobre la calidad del identificador por año. Cada exclusión se puede activar o desactivar en </w:t>
      </w:r>
      <w:r>
        <w:rPr>
          <w:rFonts w:ascii="Consolas" w:cs="Consolas" w:eastAsia="Consolas" w:hAnsi="Consolas"/>
          <w:sz w:val="20"/>
          <w:szCs w:val="20"/>
          <w:shd w:fill="F2F2F2" w:color="auto" w:val="clear"/>
        </w:rPr>
        <w:t xml:space="preserve">reglas/criterios_exclusion.csv</w:t>
      </w:r>
      <w:r>
        <w:t xml:space="preserve"> y cada umbral se puede cambiar en </w:t>
      </w:r>
      <w:r>
        <w:rPr>
          <w:rFonts w:ascii="Consolas" w:cs="Consolas" w:eastAsia="Consolas" w:hAnsi="Consolas"/>
          <w:sz w:val="20"/>
          <w:szCs w:val="20"/>
          <w:shd w:fill="F2F2F2" w:color="auto" w:val="clear"/>
        </w:rPr>
        <w:t xml:space="preserve">reglas/parametros.csv</w:t>
      </w:r>
      <w:r>
        <w:t xml:space="preserve">, sin modificar el código.</w:t>
      </w:r>
    </w:p>
    <w:p>
      <w:r>
        <w:rPr>
          <w:b/>
          <w:bCs/>
        </w:rPr>
        <w:t xml:space="preserve">Tipos de entrada:</w:t>
      </w:r>
      <w:r>
        <w:t xml:space="preserve"> </w:t>
      </w:r>
      <w:r>
        <w:rPr>
          <w:rFonts w:ascii="Consolas" w:cs="Consolas" w:eastAsia="Consolas" w:hAnsi="Consolas"/>
          <w:sz w:val="20"/>
          <w:szCs w:val="20"/>
          <w:shd w:fill="F2F2F2" w:color="auto" w:val="clear"/>
        </w:rPr>
        <w:t xml:space="preserve">H</w:t>
      </w:r>
      <w:r>
        <w:t xml:space="preserve"> = hallazgo (algo que se observó en los datos), </w:t>
      </w:r>
      <w:r>
        <w:rPr>
          <w:rFonts w:ascii="Consolas" w:cs="Consolas" w:eastAsia="Consolas" w:hAnsi="Consolas"/>
          <w:sz w:val="20"/>
          <w:szCs w:val="20"/>
          <w:shd w:fill="F2F2F2" w:color="auto" w:val="clear"/>
        </w:rPr>
        <w:t xml:space="preserve">D</w:t>
      </w:r>
      <w:r>
        <w:t xml:space="preserve"> = decisión (algo que se resolvió hacer).</w:t>
      </w:r>
    </w:p>
    <w:p>
      <w:r>
        <w:rPr>
          <w:b/>
          <w:bCs/>
        </w:rPr>
        <w:t xml:space="preserve">Estados:</w:t>
      </w:r>
      <w:r>
        <w:t xml:space="preserve"> </w:t>
      </w:r>
      <w:r>
        <w:rPr>
          <w:i/>
          <w:iCs/>
        </w:rPr>
        <w:t xml:space="preserve">Adoptada</w:t>
      </w:r>
      <w:r>
        <w:t xml:space="preserve"> · </w:t>
      </w:r>
      <w:r>
        <w:rPr>
          <w:i/>
          <w:iCs/>
        </w:rPr>
        <w:t xml:space="preserve">Pendiente de validar con profesor guía</w:t>
      </w:r>
      <w:r>
        <w:t xml:space="preserve"> · </w:t>
      </w:r>
      <w:r>
        <w:rPr>
          <w:i/>
          <w:iCs/>
        </w:rPr>
        <w:t xml:space="preserve">Reemplazada por …</w:t>
      </w:r>
    </w:p>
    <w:p>
      <w:pPr>
        <w:pStyle w:val="Heading1"/>
      </w:pPr>
      <w:r>
        <w:t xml:space="preserve">Resumen de las definiciones</w:t>
      </w:r>
    </w:p>
    <w:p>
      <w:r>
        <w:t xml:space="preserve">Definiciones vigentes desde el 20 de octubre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531"/>
        <w:gridCol w:w="1577"/>
        <w:gridCol w:w="4918"/>
      </w:tblGrid>
      <w:tr>
        <w:trPr>
          <w:cantSplit/>
          <w:tblHeader/>
        </w:trPr>
        <w:tc>
          <w:tcPr>
            <w:tcW w:type="dxa" w:w="2531"/>
            <w:shd w:fill="D9E2F3" w:color="auto" w:val="clear"/>
            <w:tcMar>
              <w:top w:type="dxa" w:w="70"/>
              <w:left w:type="dxa" w:w="100"/>
              <w:bottom w:type="dxa" w:w="70"/>
              <w:right w:type="dxa" w:w="100"/>
            </w:tcMar>
            <w:vAlign w:val="center"/>
          </w:tcPr>
          <w:p>
            <w:pPr>
              <w:spacing w:after="0"/>
            </w:pPr>
            <w:r>
              <w:rPr>
                <w:b/>
                <w:bCs/>
                <w:sz w:val="20"/>
                <w:szCs w:val="20"/>
              </w:rPr>
              <w:t xml:space="preserve">Tema</w:t>
            </w:r>
          </w:p>
        </w:tc>
        <w:tc>
          <w:tcPr>
            <w:tcW w:type="dxa" w:w="1577"/>
            <w:shd w:fill="D9E2F3" w:color="auto" w:val="clear"/>
            <w:tcMar>
              <w:top w:type="dxa" w:w="70"/>
              <w:left w:type="dxa" w:w="100"/>
              <w:bottom w:type="dxa" w:w="70"/>
              <w:right w:type="dxa" w:w="100"/>
            </w:tcMar>
            <w:vAlign w:val="center"/>
          </w:tcPr>
          <w:p>
            <w:pPr>
              <w:spacing w:after="0"/>
            </w:pPr>
            <w:r>
              <w:rPr>
                <w:b/>
                <w:bCs/>
                <w:sz w:val="20"/>
                <w:szCs w:val="20"/>
              </w:rPr>
              <w:t xml:space="preserve">Entrada</w:t>
            </w:r>
          </w:p>
        </w:tc>
        <w:tc>
          <w:tcPr>
            <w:tcW w:type="dxa" w:w="4918"/>
            <w:shd w:fill="D9E2F3" w:color="auto" w:val="clear"/>
            <w:tcMar>
              <w:top w:type="dxa" w:w="70"/>
              <w:left w:type="dxa" w:w="100"/>
              <w:bottom w:type="dxa" w:w="70"/>
              <w:right w:type="dxa" w:w="100"/>
            </w:tcMar>
            <w:vAlign w:val="center"/>
          </w:tcPr>
          <w:p>
            <w:pPr>
              <w:spacing w:after="0"/>
            </w:pPr>
            <w:r>
              <w:rPr>
                <w:b/>
                <w:bCs/>
                <w:sz w:val="20"/>
                <w:szCs w:val="20"/>
              </w:rPr>
              <w:t xml:space="preserve">Definición</w:t>
            </w:r>
          </w:p>
        </w:tc>
      </w:tr>
      <w:tr>
        <w:trPr>
          <w:cantSplit/>
          <w:tblHeader w:val="off"/>
        </w:trPr>
        <w:tc>
          <w:tcPr>
            <w:tcW w:type="dxa" w:w="2531"/>
            <w:tcMar>
              <w:top w:type="dxa" w:w="70"/>
              <w:left w:type="dxa" w:w="100"/>
              <w:bottom w:type="dxa" w:w="70"/>
              <w:right w:type="dxa" w:w="100"/>
            </w:tcMar>
            <w:vAlign w:val="center"/>
          </w:tcPr>
          <w:p>
            <w:pPr>
              <w:spacing w:after="0"/>
            </w:pPr>
            <w:r>
              <w:rPr>
                <w:sz w:val="20"/>
                <w:szCs w:val="20"/>
              </w:rPr>
              <w:t xml:space="preserve">Misma persona</w:t>
            </w:r>
          </w:p>
        </w:tc>
        <w:tc>
          <w:tcPr>
            <w:tcW w:type="dxa" w:w="1577"/>
            <w:tcMar>
              <w:top w:type="dxa" w:w="70"/>
              <w:left w:type="dxa" w:w="100"/>
              <w:bottom w:type="dxa" w:w="70"/>
              <w:right w:type="dxa" w:w="100"/>
            </w:tcMar>
            <w:vAlign w:val="center"/>
          </w:tcPr>
          <w:p>
            <w:pPr>
              <w:spacing w:after="0"/>
            </w:pPr>
            <w:hyperlink w:history="1" w:anchor="E_D18">
              <w:r>
                <w:rPr>
                  <w:color w:val="0563C1"/>
                  <w:sz w:val="20"/>
                  <w:szCs w:val="20"/>
                  <w:u w:val="single"/>
                </w:rPr>
                <w:t xml:space="preserve">D18</w:t>
              </w:r>
            </w:hyperlink>
            <w:r>
              <w:rPr>
                <w:sz w:val="20"/>
                <w:szCs w:val="20"/>
              </w:rPr>
              <w:t xml:space="preserve">, </w:t>
            </w:r>
            <w:hyperlink w:history="1" w:anchor="E_D34">
              <w:r>
                <w:rPr>
                  <w:color w:val="0563C1"/>
                  <w:sz w:val="20"/>
                  <w:szCs w:val="20"/>
                  <w:u w:val="single"/>
                </w:rPr>
                <w:t xml:space="preserve">D34</w:t>
              </w:r>
            </w:hyperlink>
          </w:p>
        </w:tc>
        <w:tc>
          <w:tcPr>
            <w:tcW w:type="dxa" w:w="4918"/>
            <w:tcMar>
              <w:top w:type="dxa" w:w="70"/>
              <w:left w:type="dxa" w:w="100"/>
              <w:bottom w:type="dxa" w:w="70"/>
              <w:right w:type="dxa" w:w="100"/>
            </w:tcMar>
            <w:vAlign w:val="center"/>
          </w:tcPr>
          <w:p>
            <w:pPr>
              <w:spacing w:after="0"/>
            </w:pPr>
            <w:r>
              <w:rPr>
                <w:sz w:val="20"/>
                <w:szCs w:val="20"/>
              </w:rPr>
              <w:t xml:space="preserve">Mismo identificador y fechas de nacimiento que no difieran en más de un año (o que coincidan en día y mes). Los identificadores con datos que no coinciden llevan la marca </w:t>
            </w:r>
            <w:r>
              <w:rPr>
                <w:rFonts w:ascii="Consolas" w:cs="Consolas" w:eastAsia="Consolas" w:hAnsi="Consolas"/>
                <w:sz w:val="18"/>
                <w:szCs w:val="18"/>
                <w:shd w:fill="F2F2F2" w:color="auto" w:val="clear"/>
              </w:rPr>
              <w:t xml:space="preserve">IDENTIDAD_AMBIGUA</w:t>
            </w:r>
            <w:r>
              <w:rPr>
                <w:sz w:val="20"/>
                <w:szCs w:val="20"/>
              </w:rPr>
              <w:t xml:space="preserve">.</w:t>
            </w:r>
          </w:p>
        </w:tc>
      </w:tr>
      <w:tr>
        <w:trPr>
          <w:cantSplit/>
          <w:tblHeader w:val="off"/>
        </w:trPr>
        <w:tc>
          <w:tcPr>
            <w:tcW w:type="dxa" w:w="2531"/>
            <w:tcMar>
              <w:top w:type="dxa" w:w="70"/>
              <w:left w:type="dxa" w:w="100"/>
              <w:bottom w:type="dxa" w:w="70"/>
              <w:right w:type="dxa" w:w="100"/>
            </w:tcMar>
            <w:vAlign w:val="center"/>
          </w:tcPr>
          <w:p>
            <w:pPr>
              <w:spacing w:after="0"/>
            </w:pPr>
            <w:r>
              <w:rPr>
                <w:sz w:val="20"/>
                <w:szCs w:val="20"/>
              </w:rPr>
              <w:t xml:space="preserve">Traslado</w:t>
            </w:r>
          </w:p>
        </w:tc>
        <w:tc>
          <w:tcPr>
            <w:tcW w:type="dxa" w:w="1577"/>
            <w:tcMar>
              <w:top w:type="dxa" w:w="70"/>
              <w:left w:type="dxa" w:w="100"/>
              <w:bottom w:type="dxa" w:w="70"/>
              <w:right w:type="dxa" w:w="100"/>
            </w:tcMar>
            <w:vAlign w:val="center"/>
          </w:tcPr>
          <w:p>
            <w:pPr>
              <w:spacing w:after="0"/>
            </w:pPr>
            <w:hyperlink w:history="1" w:anchor="E_D19">
              <w:r>
                <w:rPr>
                  <w:color w:val="0563C1"/>
                  <w:sz w:val="20"/>
                  <w:szCs w:val="20"/>
                  <w:u w:val="single"/>
                </w:rPr>
                <w:t xml:space="preserve">D19</w:t>
              </w:r>
            </w:hyperlink>
            <w:r>
              <w:rPr>
                <w:sz w:val="20"/>
                <w:szCs w:val="20"/>
              </w:rPr>
              <w:t xml:space="preserve">, </w:t>
            </w:r>
            <w:hyperlink w:history="1" w:anchor="E_H22">
              <w:r>
                <w:rPr>
                  <w:color w:val="0563C1"/>
                  <w:sz w:val="20"/>
                  <w:szCs w:val="20"/>
                  <w:u w:val="single"/>
                </w:rPr>
                <w:t xml:space="preserve">H22</w:t>
              </w:r>
            </w:hyperlink>
          </w:p>
        </w:tc>
        <w:tc>
          <w:tcPr>
            <w:tcW w:type="dxa" w:w="4918"/>
            <w:tcMar>
              <w:top w:type="dxa" w:w="70"/>
              <w:left w:type="dxa" w:w="100"/>
              <w:bottom w:type="dxa" w:w="70"/>
              <w:right w:type="dxa" w:w="100"/>
            </w:tcMar>
            <w:vAlign w:val="center"/>
          </w:tcPr>
          <w:p>
            <w:pPr>
              <w:spacing w:after="0"/>
            </w:pPr>
            <w:r>
              <w:rPr>
                <w:sz w:val="20"/>
                <w:szCs w:val="20"/>
              </w:rPr>
              <w:t xml:space="preserve">Ingreso en otro hospital el mismo día del alta o al día siguiente, o ingreso anterior al alta: continúa el mismo episodio asistencial.</w:t>
            </w:r>
          </w:p>
        </w:tc>
      </w:tr>
      <w:tr>
        <w:trPr>
          <w:cantSplit/>
          <w:tblHeader w:val="off"/>
        </w:trPr>
        <w:tc>
          <w:tcPr>
            <w:tcW w:type="dxa" w:w="2531"/>
            <w:tcMar>
              <w:top w:type="dxa" w:w="70"/>
              <w:left w:type="dxa" w:w="100"/>
              <w:bottom w:type="dxa" w:w="70"/>
              <w:right w:type="dxa" w:w="100"/>
            </w:tcMar>
            <w:vAlign w:val="center"/>
          </w:tcPr>
          <w:p>
            <w:pPr>
              <w:spacing w:after="0"/>
            </w:pPr>
            <w:r>
              <w:rPr>
                <w:sz w:val="20"/>
                <w:szCs w:val="20"/>
              </w:rPr>
              <w:t xml:space="preserve">Reingreso</w:t>
            </w:r>
          </w:p>
        </w:tc>
        <w:tc>
          <w:tcPr>
            <w:tcW w:type="dxa" w:w="1577"/>
            <w:tcMar>
              <w:top w:type="dxa" w:w="70"/>
              <w:left w:type="dxa" w:w="100"/>
              <w:bottom w:type="dxa" w:w="70"/>
              <w:right w:type="dxa" w:w="100"/>
            </w:tcMar>
            <w:vAlign w:val="center"/>
          </w:tcPr>
          <w:p>
            <w:pPr>
              <w:spacing w:after="0"/>
            </w:pPr>
            <w:hyperlink w:history="1" w:anchor="E_D20">
              <w:r>
                <w:rPr>
                  <w:color w:val="0563C1"/>
                  <w:sz w:val="20"/>
                  <w:szCs w:val="20"/>
                  <w:u w:val="single"/>
                </w:rPr>
                <w:t xml:space="preserve">D20</w:t>
              </w:r>
            </w:hyperlink>
            <w:r>
              <w:rPr>
                <w:sz w:val="20"/>
                <w:szCs w:val="20"/>
              </w:rPr>
              <w:t xml:space="preserve">, </w:t>
            </w:r>
            <w:hyperlink w:history="1" w:anchor="E_D26">
              <w:r>
                <w:rPr>
                  <w:color w:val="0563C1"/>
                  <w:sz w:val="20"/>
                  <w:szCs w:val="20"/>
                  <w:u w:val="single"/>
                </w:rPr>
                <w:t xml:space="preserve">D26</w:t>
              </w:r>
            </w:hyperlink>
            <w:r>
              <w:rPr>
                <w:sz w:val="20"/>
                <w:szCs w:val="20"/>
              </w:rPr>
              <w:t xml:space="preserve">, </w:t>
            </w:r>
            <w:hyperlink w:history="1" w:anchor="E_D33">
              <w:r>
                <w:rPr>
                  <w:color w:val="0563C1"/>
                  <w:sz w:val="20"/>
                  <w:szCs w:val="20"/>
                  <w:u w:val="single"/>
                </w:rPr>
                <w:t xml:space="preserve">D33</w:t>
              </w:r>
            </w:hyperlink>
          </w:p>
        </w:tc>
        <w:tc>
          <w:tcPr>
            <w:tcW w:type="dxa" w:w="4918"/>
            <w:tcMar>
              <w:top w:type="dxa" w:w="70"/>
              <w:left w:type="dxa" w:w="100"/>
              <w:bottom w:type="dxa" w:w="70"/>
              <w:right w:type="dxa" w:w="100"/>
            </w:tcMar>
            <w:vAlign w:val="center"/>
          </w:tcPr>
          <w:p>
            <w:pPr>
              <w:spacing w:after="0"/>
            </w:pPr>
            <w:r>
              <w:rPr>
                <w:sz w:val="20"/>
                <w:szCs w:val="20"/>
              </w:rPr>
              <w:t xml:space="preserve">Ingreso no planificado (no programado y que no sea un parto ni una sesión de tratamiento) dentro de 7 o 30 días del alta final del episodio. Son las cuatro variables de la propuesta.</w:t>
            </w:r>
          </w:p>
        </w:tc>
      </w:tr>
      <w:tr>
        <w:trPr>
          <w:cantSplit/>
          <w:tblHeader w:val="off"/>
        </w:trPr>
        <w:tc>
          <w:tcPr>
            <w:tcW w:type="dxa" w:w="2531"/>
            <w:tcMar>
              <w:top w:type="dxa" w:w="70"/>
              <w:left w:type="dxa" w:w="100"/>
              <w:bottom w:type="dxa" w:w="70"/>
              <w:right w:type="dxa" w:w="100"/>
            </w:tcMar>
            <w:vAlign w:val="center"/>
          </w:tcPr>
          <w:p>
            <w:pPr>
              <w:spacing w:after="0"/>
            </w:pPr>
            <w:r>
              <w:rPr>
                <w:sz w:val="20"/>
                <w:szCs w:val="20"/>
              </w:rPr>
              <w:t xml:space="preserve">Reingreso relacionado</w:t>
            </w:r>
          </w:p>
        </w:tc>
        <w:tc>
          <w:tcPr>
            <w:tcW w:type="dxa" w:w="1577"/>
            <w:tcMar>
              <w:top w:type="dxa" w:w="70"/>
              <w:left w:type="dxa" w:w="100"/>
              <w:bottom w:type="dxa" w:w="70"/>
              <w:right w:type="dxa" w:w="100"/>
            </w:tcMar>
            <w:vAlign w:val="center"/>
          </w:tcPr>
          <w:p>
            <w:pPr>
              <w:spacing w:after="0"/>
            </w:pPr>
            <w:hyperlink w:history="1" w:anchor="E_D31">
              <w:r>
                <w:rPr>
                  <w:color w:val="0563C1"/>
                  <w:sz w:val="20"/>
                  <w:szCs w:val="20"/>
                  <w:u w:val="single"/>
                </w:rPr>
                <w:t xml:space="preserve">D31</w:t>
              </w:r>
            </w:hyperlink>
            <w:r>
              <w:rPr>
                <w:sz w:val="20"/>
                <w:szCs w:val="20"/>
              </w:rPr>
              <w:t xml:space="preserve">, </w:t>
            </w:r>
            <w:hyperlink w:history="1" w:anchor="E_D38">
              <w:r>
                <w:rPr>
                  <w:color w:val="0563C1"/>
                  <w:sz w:val="20"/>
                  <w:szCs w:val="20"/>
                  <w:u w:val="single"/>
                </w:rPr>
                <w:t xml:space="preserve">D38</w:t>
              </w:r>
            </w:hyperlink>
          </w:p>
        </w:tc>
        <w:tc>
          <w:tcPr>
            <w:tcW w:type="dxa" w:w="4918"/>
            <w:tcMar>
              <w:top w:type="dxa" w:w="70"/>
              <w:left w:type="dxa" w:w="100"/>
              <w:bottom w:type="dxa" w:w="70"/>
              <w:right w:type="dxa" w:w="100"/>
            </w:tcMar>
            <w:vAlign w:val="center"/>
          </w:tcPr>
          <w:p>
            <w:pPr>
              <w:spacing w:after="0"/>
            </w:pPr>
            <w:r>
              <w:rPr>
                <w:sz w:val="20"/>
                <w:szCs w:val="20"/>
              </w:rPr>
              <w:t xml:space="preserve">Algún ingreso de la ventana con la misma CDM que el caso de estudio, sin agrupar CDM. Los partos (CDM 14) quedan sin dato en estas dos variables, porque no pueden tener un reingreso de su misma CDM. La unión de las CDM 13 y 14 queda como análisis de sensibilidad.</w:t>
            </w:r>
          </w:p>
        </w:tc>
      </w:tr>
      <w:tr>
        <w:trPr>
          <w:cantSplit/>
          <w:tblHeader w:val="off"/>
        </w:trPr>
        <w:tc>
          <w:tcPr>
            <w:tcW w:type="dxa" w:w="2531"/>
            <w:tcMar>
              <w:top w:type="dxa" w:w="70"/>
              <w:left w:type="dxa" w:w="100"/>
              <w:bottom w:type="dxa" w:w="70"/>
              <w:right w:type="dxa" w:w="100"/>
            </w:tcMar>
            <w:vAlign w:val="center"/>
          </w:tcPr>
          <w:p>
            <w:pPr>
              <w:spacing w:after="0"/>
            </w:pPr>
            <w:r>
              <w:rPr>
                <w:sz w:val="20"/>
                <w:szCs w:val="20"/>
              </w:rPr>
              <w:t xml:space="preserve">Sin identificador o sin fechas</w:t>
            </w:r>
          </w:p>
        </w:tc>
        <w:tc>
          <w:tcPr>
            <w:tcW w:type="dxa" w:w="1577"/>
            <w:tcMar>
              <w:top w:type="dxa" w:w="70"/>
              <w:left w:type="dxa" w:w="100"/>
              <w:bottom w:type="dxa" w:w="70"/>
              <w:right w:type="dxa" w:w="100"/>
            </w:tcMar>
            <w:vAlign w:val="center"/>
          </w:tcPr>
          <w:p>
            <w:pPr>
              <w:spacing w:after="0"/>
            </w:pPr>
            <w:hyperlink w:history="1" w:anchor="E_D21">
              <w:r>
                <w:rPr>
                  <w:color w:val="0563C1"/>
                  <w:sz w:val="20"/>
                  <w:szCs w:val="20"/>
                  <w:u w:val="single"/>
                </w:rPr>
                <w:t xml:space="preserve">D21</w:t>
              </w:r>
            </w:hyperlink>
          </w:p>
        </w:tc>
        <w:tc>
          <w:tcPr>
            <w:tcW w:type="dxa" w:w="4918"/>
            <w:tcMar>
              <w:top w:type="dxa" w:w="70"/>
              <w:left w:type="dxa" w:w="100"/>
              <w:bottom w:type="dxa" w:w="70"/>
              <w:right w:type="dxa" w:w="100"/>
            </w:tcMar>
            <w:vAlign w:val="center"/>
          </w:tcPr>
          <w:p>
            <w:pPr>
              <w:spacing w:after="0"/>
            </w:pPr>
            <w:r>
              <w:rPr>
                <w:sz w:val="20"/>
                <w:szCs w:val="20"/>
              </w:rPr>
              <w:t xml:space="preserve">Fuera como caso de estudio y como reingreso.</w:t>
            </w:r>
          </w:p>
        </w:tc>
      </w:tr>
      <w:tr>
        <w:trPr>
          <w:cantSplit/>
          <w:tblHeader w:val="off"/>
        </w:trPr>
        <w:tc>
          <w:tcPr>
            <w:tcW w:type="dxa" w:w="2531"/>
            <w:tcMar>
              <w:top w:type="dxa" w:w="70"/>
              <w:left w:type="dxa" w:w="100"/>
              <w:bottom w:type="dxa" w:w="70"/>
              <w:right w:type="dxa" w:w="100"/>
            </w:tcMar>
            <w:vAlign w:val="center"/>
          </w:tcPr>
          <w:p>
            <w:pPr>
              <w:spacing w:after="0"/>
            </w:pPr>
            <w:r>
              <w:rPr>
                <w:sz w:val="20"/>
                <w:szCs w:val="20"/>
              </w:rPr>
              <w:t xml:space="preserve">Censura</w:t>
            </w:r>
          </w:p>
        </w:tc>
        <w:tc>
          <w:tcPr>
            <w:tcW w:type="dxa" w:w="1577"/>
            <w:tcMar>
              <w:top w:type="dxa" w:w="70"/>
              <w:left w:type="dxa" w:w="100"/>
              <w:bottom w:type="dxa" w:w="70"/>
              <w:right w:type="dxa" w:w="100"/>
            </w:tcMar>
            <w:vAlign w:val="center"/>
          </w:tcPr>
          <w:p>
            <w:pPr>
              <w:spacing w:after="0"/>
            </w:pPr>
            <w:hyperlink w:history="1" w:anchor="E_D30">
              <w:r>
                <w:rPr>
                  <w:color w:val="0563C1"/>
                  <w:sz w:val="20"/>
                  <w:szCs w:val="20"/>
                  <w:u w:val="single"/>
                </w:rPr>
                <w:t xml:space="preserve">D30</w:t>
              </w:r>
            </w:hyperlink>
          </w:p>
        </w:tc>
        <w:tc>
          <w:tcPr>
            <w:tcW w:type="dxa" w:w="4918"/>
            <w:tcMar>
              <w:top w:type="dxa" w:w="70"/>
              <w:left w:type="dxa" w:w="100"/>
              <w:bottom w:type="dxa" w:w="70"/>
              <w:right w:type="dxa" w:w="100"/>
            </w:tcMar>
            <w:vAlign w:val="center"/>
          </w:tcPr>
          <w:p>
            <w:pPr>
              <w:spacing w:after="0"/>
            </w:pPr>
            <w:r>
              <w:rPr>
                <w:sz w:val="20"/>
                <w:szCs w:val="20"/>
              </w:rPr>
              <w:t xml:space="preserve">Cada ventana exige sus días más 30 de margen antes del cierre del bloque: 37 días para las variables de 7 días y 60 para las de 30 días.</w:t>
            </w:r>
          </w:p>
        </w:tc>
      </w:tr>
      <w:tr>
        <w:trPr>
          <w:cantSplit/>
          <w:tblHeader w:val="off"/>
        </w:trPr>
        <w:tc>
          <w:tcPr>
            <w:tcW w:type="dxa" w:w="2531"/>
            <w:tcMar>
              <w:top w:type="dxa" w:w="70"/>
              <w:left w:type="dxa" w:w="100"/>
              <w:bottom w:type="dxa" w:w="70"/>
              <w:right w:type="dxa" w:w="100"/>
            </w:tcMar>
            <w:vAlign w:val="center"/>
          </w:tcPr>
          <w:p>
            <w:pPr>
              <w:spacing w:after="0"/>
            </w:pPr>
            <w:r>
              <w:rPr>
                <w:sz w:val="20"/>
                <w:szCs w:val="20"/>
              </w:rPr>
              <w:t xml:space="preserve">Exclusiones</w:t>
            </w:r>
          </w:p>
        </w:tc>
        <w:tc>
          <w:tcPr>
            <w:tcW w:type="dxa" w:w="1577"/>
            <w:tcMar>
              <w:top w:type="dxa" w:w="70"/>
              <w:left w:type="dxa" w:w="100"/>
              <w:bottom w:type="dxa" w:w="70"/>
              <w:right w:type="dxa" w:w="100"/>
            </w:tcMar>
            <w:vAlign w:val="center"/>
          </w:tcPr>
          <w:p>
            <w:pPr>
              <w:spacing w:after="0"/>
            </w:pPr>
            <w:hyperlink w:history="1" w:anchor="E_D23">
              <w:r>
                <w:rPr>
                  <w:color w:val="0563C1"/>
                  <w:sz w:val="20"/>
                  <w:szCs w:val="20"/>
                  <w:u w:val="single"/>
                </w:rPr>
                <w:t xml:space="preserve">D23</w:t>
              </w:r>
            </w:hyperlink>
            <w:r>
              <w:rPr>
                <w:sz w:val="20"/>
                <w:szCs w:val="20"/>
              </w:rPr>
              <w:t xml:space="preserve">, </w:t>
            </w:r>
            <w:hyperlink w:history="1" w:anchor="E_D32">
              <w:r>
                <w:rPr>
                  <w:color w:val="0563C1"/>
                  <w:sz w:val="20"/>
                  <w:szCs w:val="20"/>
                  <w:u w:val="single"/>
                </w:rPr>
                <w:t xml:space="preserve">D32</w:t>
              </w:r>
            </w:hyperlink>
            <w:r>
              <w:rPr>
                <w:sz w:val="20"/>
                <w:szCs w:val="20"/>
              </w:rPr>
              <w:t xml:space="preserve">, </w:t>
            </w:r>
            <w:hyperlink w:history="1" w:anchor="E_D33">
              <w:r>
                <w:rPr>
                  <w:color w:val="0563C1"/>
                  <w:sz w:val="20"/>
                  <w:szCs w:val="20"/>
                  <w:u w:val="single"/>
                </w:rPr>
                <w:t xml:space="preserve">D33</w:t>
              </w:r>
            </w:hyperlink>
            <w:r>
              <w:rPr>
                <w:sz w:val="20"/>
                <w:szCs w:val="20"/>
              </w:rPr>
              <w:t xml:space="preserve">, </w:t>
            </w:r>
            <w:hyperlink w:history="1" w:anchor="E_D35">
              <w:r>
                <w:rPr>
                  <w:color w:val="0563C1"/>
                  <w:sz w:val="20"/>
                  <w:szCs w:val="20"/>
                  <w:u w:val="single"/>
                </w:rPr>
                <w:t xml:space="preserve">D35</w:t>
              </w:r>
            </w:hyperlink>
          </w:p>
        </w:tc>
        <w:tc>
          <w:tcPr>
            <w:tcW w:type="dxa" w:w="4918"/>
            <w:tcMar>
              <w:top w:type="dxa" w:w="70"/>
              <w:left w:type="dxa" w:w="100"/>
              <w:bottom w:type="dxa" w:w="70"/>
              <w:right w:type="dxa" w:w="100"/>
            </w:tcMar>
            <w:vAlign w:val="center"/>
          </w:tcPr>
          <w:p>
            <w:pPr>
              <w:spacing w:after="0"/>
            </w:pPr>
            <w:r>
              <w:rPr>
                <w:sz w:val="20"/>
                <w:szCs w:val="20"/>
              </w:rPr>
              <w:t xml:space="preserve">Catorce criterios en una tabla, con su justificación; trece activos y uno desactivado. La cirugía mayor ambulatoria y las sesiones de tratamiento no son caso de estudio.</w:t>
            </w:r>
          </w:p>
        </w:tc>
      </w:tr>
      <w:tr>
        <w:trPr>
          <w:cantSplit/>
          <w:tblHeader w:val="off"/>
        </w:trPr>
        <w:tc>
          <w:tcPr>
            <w:tcW w:type="dxa" w:w="2531"/>
            <w:tcMar>
              <w:top w:type="dxa" w:w="70"/>
              <w:left w:type="dxa" w:w="100"/>
              <w:bottom w:type="dxa" w:w="70"/>
              <w:right w:type="dxa" w:w="100"/>
            </w:tcMar>
            <w:vAlign w:val="center"/>
          </w:tcPr>
          <w:p>
            <w:pPr>
              <w:spacing w:after="0"/>
            </w:pPr>
            <w:r>
              <w:rPr>
                <w:sz w:val="20"/>
                <w:szCs w:val="20"/>
              </w:rPr>
              <w:t xml:space="preserve">Duplicados</w:t>
            </w:r>
          </w:p>
        </w:tc>
        <w:tc>
          <w:tcPr>
            <w:tcW w:type="dxa" w:w="1577"/>
            <w:tcMar>
              <w:top w:type="dxa" w:w="70"/>
              <w:left w:type="dxa" w:w="100"/>
              <w:bottom w:type="dxa" w:w="70"/>
              <w:right w:type="dxa" w:w="100"/>
            </w:tcMar>
            <w:vAlign w:val="center"/>
          </w:tcPr>
          <w:p>
            <w:pPr>
              <w:spacing w:after="0"/>
            </w:pPr>
            <w:hyperlink w:history="1" w:anchor="E_D24">
              <w:r>
                <w:rPr>
                  <w:color w:val="0563C1"/>
                  <w:sz w:val="20"/>
                  <w:szCs w:val="20"/>
                  <w:u w:val="single"/>
                </w:rPr>
                <w:t xml:space="preserve">D24</w:t>
              </w:r>
            </w:hyperlink>
          </w:p>
        </w:tc>
        <w:tc>
          <w:tcPr>
            <w:tcW w:type="dxa" w:w="4918"/>
            <w:tcMar>
              <w:top w:type="dxa" w:w="70"/>
              <w:left w:type="dxa" w:w="100"/>
              <w:bottom w:type="dxa" w:w="70"/>
              <w:right w:type="dxa" w:w="100"/>
            </w:tcMar>
            <w:vAlign w:val="center"/>
          </w:tcPr>
          <w:p>
            <w:pPr>
              <w:spacing w:after="0"/>
            </w:pPr>
            <w:r>
              <w:rPr>
                <w:sz w:val="20"/>
                <w:szCs w:val="20"/>
              </w:rPr>
              <w:t xml:space="preserve">Aplicación de D15: se conserva el registro más completo.</w:t>
            </w:r>
          </w:p>
        </w:tc>
      </w:tr>
      <w:tr>
        <w:trPr>
          <w:cantSplit/>
          <w:tblHeader w:val="off"/>
        </w:trPr>
        <w:tc>
          <w:tcPr>
            <w:tcW w:type="dxa" w:w="2531"/>
            <w:tcMar>
              <w:top w:type="dxa" w:w="70"/>
              <w:left w:type="dxa" w:w="100"/>
              <w:bottom w:type="dxa" w:w="70"/>
              <w:right w:type="dxa" w:w="100"/>
            </w:tcMar>
            <w:vAlign w:val="center"/>
          </w:tcPr>
          <w:p>
            <w:pPr>
              <w:spacing w:after="0"/>
            </w:pPr>
            <w:r>
              <w:rPr>
                <w:sz w:val="20"/>
                <w:szCs w:val="20"/>
              </w:rPr>
              <w:t xml:space="preserve">Versión de los datos</w:t>
            </w:r>
          </w:p>
        </w:tc>
        <w:tc>
          <w:tcPr>
            <w:tcW w:type="dxa" w:w="1577"/>
            <w:tcMar>
              <w:top w:type="dxa" w:w="70"/>
              <w:left w:type="dxa" w:w="100"/>
              <w:bottom w:type="dxa" w:w="70"/>
              <w:right w:type="dxa" w:w="100"/>
            </w:tcMar>
            <w:vAlign w:val="center"/>
          </w:tcPr>
          <w:p>
            <w:pPr>
              <w:spacing w:after="0"/>
            </w:pPr>
            <w:hyperlink w:history="1" w:anchor="E_D36">
              <w:r>
                <w:rPr>
                  <w:color w:val="0563C1"/>
                  <w:sz w:val="20"/>
                  <w:szCs w:val="20"/>
                  <w:u w:val="single"/>
                </w:rPr>
                <w:t xml:space="preserve">D36</w:t>
              </w:r>
            </w:hyperlink>
          </w:p>
        </w:tc>
        <w:tc>
          <w:tcPr>
            <w:tcW w:type="dxa" w:w="4918"/>
            <w:tcMar>
              <w:top w:type="dxa" w:w="70"/>
              <w:left w:type="dxa" w:w="100"/>
              <w:bottom w:type="dxa" w:w="70"/>
              <w:right w:type="dxa" w:w="100"/>
            </w:tcMar>
            <w:vAlign w:val="center"/>
          </w:tcPr>
          <w:p>
            <w:pPr>
              <w:spacing w:after="0"/>
            </w:pPr>
            <w:r>
              <w:rPr>
                <w:sz w:val="20"/>
                <w:szCs w:val="20"/>
              </w:rPr>
              <w:t xml:space="preserve">El conjunto analítico es </w:t>
            </w:r>
            <w:r>
              <w:rPr>
                <w:rFonts w:ascii="Consolas" w:cs="Consolas" w:eastAsia="Consolas" w:hAnsi="Consolas"/>
                <w:sz w:val="18"/>
                <w:szCs w:val="18"/>
                <w:shd w:fill="F2F2F2" w:color="auto" w:val="clear"/>
              </w:rPr>
              <w:t xml:space="preserve">grd_etiquetado.parquet</w:t>
            </w:r>
            <w:r>
              <w:rPr>
                <w:sz w:val="20"/>
                <w:szCs w:val="20"/>
              </w:rPr>
              <w:t xml:space="preserve">; su versión y su hash están registrados.</w:t>
            </w:r>
          </w:p>
        </w:tc>
      </w:tr>
    </w:tbl>
    <w:p>
      <w:pPr>
        <w:spacing w:after="0"/>
      </w:pPr>
    </w:p>
    <w:p>
      <w:r>
        <w:t xml:space="preserve">Resultado vigente: 4.192.410 casos de estudio. Las variables de 30 días se calculan sobre los 4.101.883 que tienen 60 días de seguimiento, y las dos relacionadas no incluyen los partos (</w:t>
      </w:r>
      <w:hyperlink w:history="1" w:anchor="E_D38">
        <w:r>
          <w:rPr>
            <w:color w:val="0563C1"/>
            <w:u w:val="single"/>
          </w:rPr>
          <w:t xml:space="preserve">D38</w:t>
        </w:r>
      </w:hyperlink>
      <w:r>
        <w:t xml:space="preserv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84"/>
        <w:gridCol w:w="2982"/>
        <w:gridCol w:w="1504"/>
        <w:gridCol w:w="1902"/>
        <w:gridCol w:w="754"/>
      </w:tblGrid>
      <w:tr>
        <w:trPr>
          <w:cantSplit/>
          <w:tblHeader/>
        </w:trPr>
        <w:tc>
          <w:tcPr>
            <w:tcW w:type="dxa" w:w="1884"/>
            <w:shd w:fill="D9E2F3" w:color="auto" w:val="clear"/>
            <w:tcMar>
              <w:top w:type="dxa" w:w="70"/>
              <w:left w:type="dxa" w:w="100"/>
              <w:bottom w:type="dxa" w:w="70"/>
              <w:right w:type="dxa" w:w="100"/>
            </w:tcMar>
            <w:vAlign w:val="center"/>
          </w:tcPr>
          <w:p>
            <w:pPr>
              <w:spacing w:after="0"/>
            </w:pPr>
            <w:r>
              <w:rPr>
                <w:b/>
                <w:bCs/>
                <w:sz w:val="20"/>
                <w:szCs w:val="20"/>
              </w:rPr>
              <w:t xml:space="preserve">Variable</w:t>
            </w:r>
          </w:p>
        </w:tc>
        <w:tc>
          <w:tcPr>
            <w:tcW w:type="dxa" w:w="2982"/>
            <w:shd w:fill="D9E2F3" w:color="auto" w:val="clear"/>
            <w:tcMar>
              <w:top w:type="dxa" w:w="70"/>
              <w:left w:type="dxa" w:w="100"/>
              <w:bottom w:type="dxa" w:w="70"/>
              <w:right w:type="dxa" w:w="100"/>
            </w:tcMar>
            <w:vAlign w:val="center"/>
          </w:tcPr>
          <w:p>
            <w:pPr>
              <w:spacing w:after="0"/>
            </w:pPr>
            <w:r>
              <w:rPr>
                <w:b/>
                <w:bCs/>
                <w:sz w:val="20"/>
                <w:szCs w:val="20"/>
              </w:rPr>
              <w:t xml:space="preserve">Definición</w:t>
            </w:r>
          </w:p>
        </w:tc>
        <w:tc>
          <w:tcPr>
            <w:tcW w:type="dxa" w:w="1504"/>
            <w:shd w:fill="D9E2F3" w:color="auto" w:val="clear"/>
            <w:tcMar>
              <w:top w:type="dxa" w:w="70"/>
              <w:left w:type="dxa" w:w="100"/>
              <w:bottom w:type="dxa" w:w="70"/>
              <w:right w:type="dxa" w:w="100"/>
            </w:tcMar>
            <w:vAlign w:val="center"/>
          </w:tcPr>
          <w:p>
            <w:pPr>
              <w:spacing w:after="0"/>
            </w:pPr>
            <w:r>
              <w:rPr>
                <w:b/>
                <w:bCs/>
                <w:sz w:val="20"/>
                <w:szCs w:val="20"/>
              </w:rPr>
              <w:t xml:space="preserve">Casos con dato</w:t>
            </w:r>
          </w:p>
        </w:tc>
        <w:tc>
          <w:tcPr>
            <w:tcW w:type="dxa" w:w="1902"/>
            <w:shd w:fill="D9E2F3" w:color="auto" w:val="clear"/>
            <w:tcMar>
              <w:top w:type="dxa" w:w="70"/>
              <w:left w:type="dxa" w:w="100"/>
              <w:bottom w:type="dxa" w:w="70"/>
              <w:right w:type="dxa" w:w="100"/>
            </w:tcMar>
            <w:vAlign w:val="center"/>
          </w:tcPr>
          <w:p>
            <w:pPr>
              <w:spacing w:after="0"/>
            </w:pPr>
            <w:r>
              <w:rPr>
                <w:b/>
                <w:bCs/>
                <w:sz w:val="20"/>
                <w:szCs w:val="20"/>
              </w:rPr>
              <w:t xml:space="preserve">Casos con reingreso</w:t>
            </w:r>
          </w:p>
        </w:tc>
        <w:tc>
          <w:tcPr>
            <w:tcW w:type="dxa" w:w="754"/>
            <w:shd w:fill="D9E2F3" w:color="auto" w:val="clear"/>
            <w:tcMar>
              <w:top w:type="dxa" w:w="70"/>
              <w:left w:type="dxa" w:w="100"/>
              <w:bottom w:type="dxa" w:w="70"/>
              <w:right w:type="dxa" w:w="100"/>
            </w:tcMar>
            <w:vAlign w:val="center"/>
          </w:tcPr>
          <w:p>
            <w:pPr>
              <w:spacing w:after="0"/>
            </w:pPr>
            <w:r>
              <w:rPr>
                <w:b/>
                <w:bCs/>
                <w:sz w:val="20"/>
                <w:szCs w:val="20"/>
              </w:rPr>
              <w:t xml:space="preserve">%</w:t>
            </w:r>
          </w:p>
        </w:tc>
      </w:tr>
      <w:tr>
        <w:trPr>
          <w:cantSplit/>
          <w:tblHeader w:val="off"/>
        </w:trPr>
        <w:tc>
          <w:tcPr>
            <w:tcW w:type="dxa" w:w="1884"/>
            <w:tcMar>
              <w:top w:type="dxa" w:w="70"/>
              <w:left w:type="dxa" w:w="100"/>
              <w:bottom w:type="dxa" w:w="70"/>
              <w:right w:type="dxa" w:w="100"/>
            </w:tcMar>
            <w:vAlign w:val="center"/>
          </w:tcPr>
          <w:p>
            <w:pPr>
              <w:spacing w:after="0"/>
            </w:pPr>
            <w:r>
              <w:rPr>
                <w:rFonts w:ascii="Consolas" w:cs="Consolas" w:eastAsia="Consolas" w:hAnsi="Consolas"/>
                <w:sz w:val="18"/>
                <w:szCs w:val="18"/>
                <w:shd w:fill="F2F2F2" w:color="auto" w:val="clear"/>
              </w:rPr>
              <w:t xml:space="preserve">REING_7D</w:t>
            </w:r>
          </w:p>
        </w:tc>
        <w:tc>
          <w:tcPr>
            <w:tcW w:type="dxa" w:w="2982"/>
            <w:tcMar>
              <w:top w:type="dxa" w:w="70"/>
              <w:left w:type="dxa" w:w="100"/>
              <w:bottom w:type="dxa" w:w="70"/>
              <w:right w:type="dxa" w:w="100"/>
            </w:tcMar>
            <w:vAlign w:val="center"/>
          </w:tcPr>
          <w:p>
            <w:pPr>
              <w:spacing w:after="0"/>
            </w:pPr>
            <w:r>
              <w:rPr>
                <w:sz w:val="20"/>
                <w:szCs w:val="20"/>
              </w:rPr>
              <w:t xml:space="preserve">7 días, por cualquier causa</w:t>
            </w:r>
          </w:p>
        </w:tc>
        <w:tc>
          <w:tcPr>
            <w:tcW w:type="dxa" w:w="1504"/>
            <w:tcMar>
              <w:top w:type="dxa" w:w="70"/>
              <w:left w:type="dxa" w:w="100"/>
              <w:bottom w:type="dxa" w:w="70"/>
              <w:right w:type="dxa" w:w="100"/>
            </w:tcMar>
            <w:vAlign w:val="center"/>
          </w:tcPr>
          <w:p>
            <w:pPr>
              <w:spacing w:after="0"/>
            </w:pPr>
            <w:r>
              <w:rPr>
                <w:sz w:val="20"/>
                <w:szCs w:val="20"/>
              </w:rPr>
              <w:t xml:space="preserve">4.192.410</w:t>
            </w:r>
          </w:p>
        </w:tc>
        <w:tc>
          <w:tcPr>
            <w:tcW w:type="dxa" w:w="1902"/>
            <w:tcMar>
              <w:top w:type="dxa" w:w="70"/>
              <w:left w:type="dxa" w:w="100"/>
              <w:bottom w:type="dxa" w:w="70"/>
              <w:right w:type="dxa" w:w="100"/>
            </w:tcMar>
            <w:vAlign w:val="center"/>
          </w:tcPr>
          <w:p>
            <w:pPr>
              <w:spacing w:after="0"/>
            </w:pPr>
            <w:r>
              <w:rPr>
                <w:sz w:val="20"/>
                <w:szCs w:val="20"/>
              </w:rPr>
              <w:t xml:space="preserve">86.609</w:t>
            </w:r>
          </w:p>
        </w:tc>
        <w:tc>
          <w:tcPr>
            <w:tcW w:type="dxa" w:w="754"/>
            <w:tcMar>
              <w:top w:type="dxa" w:w="70"/>
              <w:left w:type="dxa" w:w="100"/>
              <w:bottom w:type="dxa" w:w="70"/>
              <w:right w:type="dxa" w:w="100"/>
            </w:tcMar>
            <w:vAlign w:val="center"/>
          </w:tcPr>
          <w:p>
            <w:pPr>
              <w:spacing w:after="0"/>
            </w:pPr>
            <w:r>
              <w:rPr>
                <w:sz w:val="20"/>
                <w:szCs w:val="20"/>
              </w:rPr>
              <w:t xml:space="preserve">2,07 %</w:t>
            </w:r>
          </w:p>
        </w:tc>
      </w:tr>
      <w:tr>
        <w:trPr>
          <w:cantSplit/>
          <w:tblHeader w:val="off"/>
        </w:trPr>
        <w:tc>
          <w:tcPr>
            <w:tcW w:type="dxa" w:w="1884"/>
            <w:tcMar>
              <w:top w:type="dxa" w:w="70"/>
              <w:left w:type="dxa" w:w="100"/>
              <w:bottom w:type="dxa" w:w="70"/>
              <w:right w:type="dxa" w:w="100"/>
            </w:tcMar>
            <w:vAlign w:val="center"/>
          </w:tcPr>
          <w:p>
            <w:pPr>
              <w:spacing w:after="0"/>
            </w:pPr>
            <w:r>
              <w:rPr>
                <w:rFonts w:ascii="Consolas" w:cs="Consolas" w:eastAsia="Consolas" w:hAnsi="Consolas"/>
                <w:sz w:val="18"/>
                <w:szCs w:val="18"/>
                <w:shd w:fill="F2F2F2" w:color="auto" w:val="clear"/>
              </w:rPr>
              <w:t xml:space="preserve">REING_7D_CDM</w:t>
            </w:r>
          </w:p>
        </w:tc>
        <w:tc>
          <w:tcPr>
            <w:tcW w:type="dxa" w:w="2982"/>
            <w:tcMar>
              <w:top w:type="dxa" w:w="70"/>
              <w:left w:type="dxa" w:w="100"/>
              <w:bottom w:type="dxa" w:w="70"/>
              <w:right w:type="dxa" w:w="100"/>
            </w:tcMar>
            <w:vAlign w:val="center"/>
          </w:tcPr>
          <w:p>
            <w:pPr>
              <w:spacing w:after="0"/>
            </w:pPr>
            <w:r>
              <w:rPr>
                <w:sz w:val="20"/>
                <w:szCs w:val="20"/>
              </w:rPr>
              <w:t xml:space="preserve">7 días, relacionado (misma CDM)</w:t>
            </w:r>
          </w:p>
        </w:tc>
        <w:tc>
          <w:tcPr>
            <w:tcW w:type="dxa" w:w="1504"/>
            <w:tcMar>
              <w:top w:type="dxa" w:w="70"/>
              <w:left w:type="dxa" w:w="100"/>
              <w:bottom w:type="dxa" w:w="70"/>
              <w:right w:type="dxa" w:w="100"/>
            </w:tcMar>
            <w:vAlign w:val="center"/>
          </w:tcPr>
          <w:p>
            <w:pPr>
              <w:spacing w:after="0"/>
            </w:pPr>
            <w:r>
              <w:rPr>
                <w:sz w:val="20"/>
                <w:szCs w:val="20"/>
              </w:rPr>
              <w:t xml:space="preserve">3.577.243</w:t>
            </w:r>
          </w:p>
        </w:tc>
        <w:tc>
          <w:tcPr>
            <w:tcW w:type="dxa" w:w="1902"/>
            <w:tcMar>
              <w:top w:type="dxa" w:w="70"/>
              <w:left w:type="dxa" w:w="100"/>
              <w:bottom w:type="dxa" w:w="70"/>
              <w:right w:type="dxa" w:w="100"/>
            </w:tcMar>
            <w:vAlign w:val="center"/>
          </w:tcPr>
          <w:p>
            <w:pPr>
              <w:spacing w:after="0"/>
            </w:pPr>
            <w:r>
              <w:rPr>
                <w:sz w:val="20"/>
                <w:szCs w:val="20"/>
              </w:rPr>
              <w:t xml:space="preserve">45.195</w:t>
            </w:r>
          </w:p>
        </w:tc>
        <w:tc>
          <w:tcPr>
            <w:tcW w:type="dxa" w:w="754"/>
            <w:tcMar>
              <w:top w:type="dxa" w:w="70"/>
              <w:left w:type="dxa" w:w="100"/>
              <w:bottom w:type="dxa" w:w="70"/>
              <w:right w:type="dxa" w:w="100"/>
            </w:tcMar>
            <w:vAlign w:val="center"/>
          </w:tcPr>
          <w:p>
            <w:pPr>
              <w:spacing w:after="0"/>
            </w:pPr>
            <w:r>
              <w:rPr>
                <w:sz w:val="20"/>
                <w:szCs w:val="20"/>
              </w:rPr>
              <w:t xml:space="preserve">1,26 %</w:t>
            </w:r>
          </w:p>
        </w:tc>
      </w:tr>
      <w:tr>
        <w:trPr>
          <w:cantSplit/>
          <w:tblHeader w:val="off"/>
        </w:trPr>
        <w:tc>
          <w:tcPr>
            <w:tcW w:type="dxa" w:w="1884"/>
            <w:tcMar>
              <w:top w:type="dxa" w:w="70"/>
              <w:left w:type="dxa" w:w="100"/>
              <w:bottom w:type="dxa" w:w="70"/>
              <w:right w:type="dxa" w:w="100"/>
            </w:tcMar>
            <w:vAlign w:val="center"/>
          </w:tcPr>
          <w:p>
            <w:pPr>
              <w:spacing w:after="0"/>
            </w:pPr>
            <w:r>
              <w:rPr>
                <w:rFonts w:ascii="Consolas" w:cs="Consolas" w:eastAsia="Consolas" w:hAnsi="Consolas"/>
                <w:sz w:val="18"/>
                <w:szCs w:val="18"/>
                <w:shd w:fill="F2F2F2" w:color="auto" w:val="clear"/>
              </w:rPr>
              <w:t xml:space="preserve">REING_30D</w:t>
            </w:r>
          </w:p>
        </w:tc>
        <w:tc>
          <w:tcPr>
            <w:tcW w:type="dxa" w:w="2982"/>
            <w:tcMar>
              <w:top w:type="dxa" w:w="70"/>
              <w:left w:type="dxa" w:w="100"/>
              <w:bottom w:type="dxa" w:w="70"/>
              <w:right w:type="dxa" w:w="100"/>
            </w:tcMar>
            <w:vAlign w:val="center"/>
          </w:tcPr>
          <w:p>
            <w:pPr>
              <w:spacing w:after="0"/>
            </w:pPr>
            <w:r>
              <w:rPr>
                <w:sz w:val="20"/>
                <w:szCs w:val="20"/>
              </w:rPr>
              <w:t xml:space="preserve">30 días, por cualquier causa</w:t>
            </w:r>
          </w:p>
        </w:tc>
        <w:tc>
          <w:tcPr>
            <w:tcW w:type="dxa" w:w="1504"/>
            <w:tcMar>
              <w:top w:type="dxa" w:w="70"/>
              <w:left w:type="dxa" w:w="100"/>
              <w:bottom w:type="dxa" w:w="70"/>
              <w:right w:type="dxa" w:w="100"/>
            </w:tcMar>
            <w:vAlign w:val="center"/>
          </w:tcPr>
          <w:p>
            <w:pPr>
              <w:spacing w:after="0"/>
            </w:pPr>
            <w:r>
              <w:rPr>
                <w:sz w:val="20"/>
                <w:szCs w:val="20"/>
              </w:rPr>
              <w:t xml:space="preserve">4.101.883</w:t>
            </w:r>
          </w:p>
        </w:tc>
        <w:tc>
          <w:tcPr>
            <w:tcW w:type="dxa" w:w="1902"/>
            <w:tcMar>
              <w:top w:type="dxa" w:w="70"/>
              <w:left w:type="dxa" w:w="100"/>
              <w:bottom w:type="dxa" w:w="70"/>
              <w:right w:type="dxa" w:w="100"/>
            </w:tcMar>
            <w:vAlign w:val="center"/>
          </w:tcPr>
          <w:p>
            <w:pPr>
              <w:spacing w:after="0"/>
            </w:pPr>
            <w:r>
              <w:rPr>
                <w:sz w:val="20"/>
                <w:szCs w:val="20"/>
              </w:rPr>
              <w:t xml:space="preserve">241.953</w:t>
            </w:r>
          </w:p>
        </w:tc>
        <w:tc>
          <w:tcPr>
            <w:tcW w:type="dxa" w:w="754"/>
            <w:tcMar>
              <w:top w:type="dxa" w:w="70"/>
              <w:left w:type="dxa" w:w="100"/>
              <w:bottom w:type="dxa" w:w="70"/>
              <w:right w:type="dxa" w:w="100"/>
            </w:tcMar>
            <w:vAlign w:val="center"/>
          </w:tcPr>
          <w:p>
            <w:pPr>
              <w:spacing w:after="0"/>
            </w:pPr>
            <w:r>
              <w:rPr>
                <w:sz w:val="20"/>
                <w:szCs w:val="20"/>
              </w:rPr>
              <w:t xml:space="preserve">5,90 %</w:t>
            </w:r>
          </w:p>
        </w:tc>
      </w:tr>
      <w:tr>
        <w:trPr>
          <w:cantSplit/>
          <w:tblHeader w:val="off"/>
        </w:trPr>
        <w:tc>
          <w:tcPr>
            <w:tcW w:type="dxa" w:w="1884"/>
            <w:tcMar>
              <w:top w:type="dxa" w:w="70"/>
              <w:left w:type="dxa" w:w="100"/>
              <w:bottom w:type="dxa" w:w="70"/>
              <w:right w:type="dxa" w:w="100"/>
            </w:tcMar>
            <w:vAlign w:val="center"/>
          </w:tcPr>
          <w:p>
            <w:pPr>
              <w:spacing w:after="0"/>
            </w:pPr>
            <w:r>
              <w:rPr>
                <w:rFonts w:ascii="Consolas" w:cs="Consolas" w:eastAsia="Consolas" w:hAnsi="Consolas"/>
                <w:sz w:val="18"/>
                <w:szCs w:val="18"/>
                <w:shd w:fill="F2F2F2" w:color="auto" w:val="clear"/>
              </w:rPr>
              <w:t xml:space="preserve">REING_30D_CDM</w:t>
            </w:r>
          </w:p>
        </w:tc>
        <w:tc>
          <w:tcPr>
            <w:tcW w:type="dxa" w:w="2982"/>
            <w:tcMar>
              <w:top w:type="dxa" w:w="70"/>
              <w:left w:type="dxa" w:w="100"/>
              <w:bottom w:type="dxa" w:w="70"/>
              <w:right w:type="dxa" w:w="100"/>
            </w:tcMar>
            <w:vAlign w:val="center"/>
          </w:tcPr>
          <w:p>
            <w:pPr>
              <w:spacing w:after="0"/>
            </w:pPr>
            <w:r>
              <w:rPr>
                <w:sz w:val="20"/>
                <w:szCs w:val="20"/>
              </w:rPr>
              <w:t xml:space="preserve">30 días, relacionado (misma CDM)</w:t>
            </w:r>
          </w:p>
        </w:tc>
        <w:tc>
          <w:tcPr>
            <w:tcW w:type="dxa" w:w="1504"/>
            <w:tcMar>
              <w:top w:type="dxa" w:w="70"/>
              <w:left w:type="dxa" w:w="100"/>
              <w:bottom w:type="dxa" w:w="70"/>
              <w:right w:type="dxa" w:w="100"/>
            </w:tcMar>
            <w:vAlign w:val="center"/>
          </w:tcPr>
          <w:p>
            <w:pPr>
              <w:spacing w:after="0"/>
            </w:pPr>
            <w:r>
              <w:rPr>
                <w:sz w:val="20"/>
                <w:szCs w:val="20"/>
              </w:rPr>
              <w:t xml:space="preserve">3.498.460</w:t>
            </w:r>
          </w:p>
        </w:tc>
        <w:tc>
          <w:tcPr>
            <w:tcW w:type="dxa" w:w="1902"/>
            <w:tcMar>
              <w:top w:type="dxa" w:w="70"/>
              <w:left w:type="dxa" w:w="100"/>
              <w:bottom w:type="dxa" w:w="70"/>
              <w:right w:type="dxa" w:w="100"/>
            </w:tcMar>
            <w:vAlign w:val="center"/>
          </w:tcPr>
          <w:p>
            <w:pPr>
              <w:spacing w:after="0"/>
            </w:pPr>
            <w:r>
              <w:rPr>
                <w:sz w:val="20"/>
                <w:szCs w:val="20"/>
              </w:rPr>
              <w:t xml:space="preserve">124.256</w:t>
            </w:r>
          </w:p>
        </w:tc>
        <w:tc>
          <w:tcPr>
            <w:tcW w:type="dxa" w:w="754"/>
            <w:tcMar>
              <w:top w:type="dxa" w:w="70"/>
              <w:left w:type="dxa" w:w="100"/>
              <w:bottom w:type="dxa" w:w="70"/>
              <w:right w:type="dxa" w:w="100"/>
            </w:tcMar>
            <w:vAlign w:val="center"/>
          </w:tcPr>
          <w:p>
            <w:pPr>
              <w:spacing w:after="0"/>
            </w:pPr>
            <w:r>
              <w:rPr>
                <w:sz w:val="20"/>
                <w:szCs w:val="20"/>
              </w:rPr>
              <w:t xml:space="preserve">3,55 %</w:t>
            </w:r>
          </w:p>
        </w:tc>
      </w:tr>
    </w:tbl>
    <w:p>
      <w:pPr>
        <w:spacing w:after="0"/>
      </w:pPr>
    </w:p>
    <w:p>
      <w:pPr>
        <w:pStyle w:val="Heading1"/>
      </w:pPr>
      <w:r>
        <w:t xml:space="preserve">Entradas</w:t>
      </w:r>
    </w:p>
    <w:p>
      <w:pPr>
        <w:pStyle w:val="Heading2"/>
      </w:pPr>
      <w:bookmarkStart w:name="E_H13" w:id="1"/>
      <w:r>
        <w:rPr>
          <w:color w:val="2E75B6"/>
        </w:rPr>
        <w:t xml:space="preserve">H13</w:t>
      </w:r>
      <w:bookmarkEnd w:id="1"/>
      <w:r>
        <w:t xml:space="preserve"> · Identificadores compartidos por más de una persona</w:t>
      </w:r>
    </w:p>
    <w:p>
      <w:pPr>
        <w:keepNext/>
        <w:spacing w:after="100"/>
      </w:pPr>
      <w:r>
        <w:rPr>
          <w:b/>
          <w:bCs/>
          <w:color w:val="2E75B6"/>
          <w:sz w:val="18"/>
          <w:szCs w:val="18"/>
        </w:rPr>
        <w:t xml:space="preserve">Hallazgo</w:t>
      </w:r>
      <w:r>
        <w:rPr>
          <w:color w:val="808080"/>
          <w:sz w:val="18"/>
          <w:szCs w:val="18"/>
        </w:rPr>
        <w:t xml:space="preserve">  ·  6 de octubre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2.2</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Hallazgo</w:t>
            </w:r>
          </w:p>
        </w:tc>
        <w:tc>
          <w:tcPr>
            <w:tcW w:type="dxa" w:w="7226"/>
            <w:tcMar>
              <w:top w:type="dxa" w:w="70"/>
              <w:left w:type="dxa" w:w="100"/>
              <w:bottom w:type="dxa" w:w="70"/>
              <w:right w:type="dxa" w:w="100"/>
            </w:tcMar>
          </w:tcPr>
          <w:p>
            <w:pPr>
              <w:keepNext/>
              <w:spacing w:after="0" w:before="0"/>
            </w:pPr>
            <w:r>
              <w:rPr>
                <w:sz w:val="20"/>
                <w:szCs w:val="20"/>
              </w:rPr>
              <w:t xml:space="preserve">De 4.035.780 identificadores de paciente, 30.778 (0,76 %) tienen más de una combinación de sexo y fecha de nacimiento; reúnen 97.378 egresos. Corresponden a tres situaciones distintas.</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Madre y recién nacido</w:t>
            </w:r>
          </w:p>
        </w:tc>
        <w:tc>
          <w:tcPr>
            <w:tcW w:type="dxa" w:w="7226"/>
            <w:tcMar>
              <w:top w:type="dxa" w:w="70"/>
              <w:left w:type="dxa" w:w="100"/>
              <w:bottom w:type="dxa" w:w="70"/>
              <w:right w:type="dxa" w:w="100"/>
            </w:tcMar>
          </w:tcPr>
          <w:p>
            <w:pPr>
              <w:keepNext/>
              <w:spacing w:after="0" w:before="0"/>
            </w:pPr>
            <w:r>
              <w:rPr>
                <w:sz w:val="20"/>
                <w:szCs w:val="20"/>
              </w:rPr>
              <w:t xml:space="preserve">En 1.827 identificadores hay dos personas, de las cuales la menor tiene menos de un año en su primer ingreso y la otra le lleva más de 12 años. Ejemplo: los egresos </w:t>
            </w:r>
            <w:r>
              <w:rPr>
                <w:rFonts w:ascii="Consolas" w:cs="Consolas" w:eastAsia="Consolas" w:hAnsi="Consolas"/>
                <w:sz w:val="18"/>
                <w:szCs w:val="18"/>
                <w:shd w:fill="F2F2F2" w:color="auto" w:val="clear"/>
              </w:rPr>
              <w:t xml:space="preserve">20230204284</w:t>
            </w:r>
            <w:r>
              <w:rPr>
                <w:sz w:val="20"/>
                <w:szCs w:val="20"/>
              </w:rPr>
              <w:t xml:space="preserve"> (un parto) y </w:t>
            </w:r>
            <w:r>
              <w:rPr>
                <w:rFonts w:ascii="Consolas" w:cs="Consolas" w:eastAsia="Consolas" w:hAnsi="Consolas"/>
                <w:sz w:val="18"/>
                <w:szCs w:val="18"/>
                <w:shd w:fill="F2F2F2" w:color="auto" w:val="clear"/>
              </w:rPr>
              <w:t xml:space="preserve">20230646756</w:t>
            </w:r>
            <w:r>
              <w:rPr>
                <w:sz w:val="20"/>
                <w:szCs w:val="20"/>
              </w:rPr>
              <w:t xml:space="preserve"> (una recién nacida en neonatología) tienen el mismo identificador, el mismo hospital y las mismas fechas de ingreso y de alta.</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Errores de digitación</w:t>
            </w:r>
          </w:p>
        </w:tc>
        <w:tc>
          <w:tcPr>
            <w:tcW w:type="dxa" w:w="7226"/>
            <w:tcMar>
              <w:top w:type="dxa" w:w="70"/>
              <w:left w:type="dxa" w:w="100"/>
              <w:bottom w:type="dxa" w:w="70"/>
              <w:right w:type="dxa" w:w="100"/>
            </w:tcMar>
          </w:tcPr>
          <w:p>
            <w:pPr>
              <w:keepNext/>
              <w:spacing w:after="0" w:before="0"/>
            </w:pPr>
            <w:r>
              <w:rPr>
                <w:sz w:val="20"/>
                <w:szCs w:val="20"/>
              </w:rPr>
              <w:t xml:space="preserve">De los 23.609 identificadores con exactamente dos fechas de nacimiento, en 17.795 las fechas difieren en hasta 366 días (cambia el día o el mes) y en 1.953 difieren en más, pero coinciden en el día y el mes (cambia el año). Además, 7.124 identificadores tienen una misma fecha de nacimiento registrada con los dos sexos.</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Identificadores genéricos</w:t>
            </w:r>
          </w:p>
        </w:tc>
        <w:tc>
          <w:tcPr>
            <w:tcW w:type="dxa" w:w="7226"/>
            <w:tcMar>
              <w:top w:type="dxa" w:w="70"/>
              <w:left w:type="dxa" w:w="100"/>
              <w:bottom w:type="dxa" w:w="70"/>
              <w:right w:type="dxa" w:w="100"/>
            </w:tcMar>
          </w:tcPr>
          <w:p>
            <w:pPr>
              <w:keepNext/>
              <w:spacing w:after="0" w:before="0"/>
            </w:pPr>
            <w:r>
              <w:rPr>
                <w:sz w:val="20"/>
                <w:szCs w:val="20"/>
              </w:rPr>
              <w:t xml:space="preserve">12 identificadores se usan para muchas personas (5 o más combinaciones de sexo y fecha de nacimiento; el más usado tiene 1.101). Suman 2.481 egresos.</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Consecuencia</w:t>
            </w:r>
          </w:p>
        </w:tc>
        <w:tc>
          <w:tcPr>
            <w:tcW w:type="dxa" w:w="7226"/>
            <w:tcMar>
              <w:top w:type="dxa" w:w="70"/>
              <w:left w:type="dxa" w:w="100"/>
              <w:bottom w:type="dxa" w:w="70"/>
              <w:right w:type="dxa" w:w="100"/>
            </w:tcMar>
          </w:tcPr>
          <w:p>
            <w:pPr>
              <w:keepNext/>
              <w:spacing w:after="0" w:before="0"/>
            </w:pPr>
            <w:r>
              <w:rPr>
                <w:sz w:val="20"/>
                <w:szCs w:val="20"/>
              </w:rPr>
              <w:t xml:space="preserve">Si el reingreso se calcula solo con el identificador, la hospitalización de un recién nacido cuenta como reingreso de su madre. Si se exige que el sexo y la fecha de nacimiento sean idénticos, se pierden los reingresos reales de las personas con un error de digitación.</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Evidencia</w:t>
            </w:r>
          </w:p>
        </w:tc>
        <w:tc>
          <w:tcPr>
            <w:tcW w:type="dxa" w:w="7226"/>
            <w:tcMar>
              <w:top w:type="dxa" w:w="70"/>
              <w:left w:type="dxa" w:w="100"/>
              <w:bottom w:type="dxa" w:w="70"/>
              <w:right w:type="dxa" w:w="100"/>
            </w:tcMar>
          </w:tcPr>
          <w:p>
            <w:pPr>
              <w:keepNext/>
              <w:spacing w:after="0" w:before="0"/>
            </w:pPr>
            <w:r>
              <w:rPr>
                <w:rFonts w:ascii="Consolas" w:cs="Consolas" w:eastAsia="Consolas" w:hAnsi="Consolas"/>
                <w:sz w:val="18"/>
                <w:szCs w:val="18"/>
                <w:shd w:fill="F2F2F2" w:color="auto" w:val="clear"/>
              </w:rPr>
              <w:t xml:space="preserve">2.2_depuracion_etiquetado/scripts/08_depurar.py</w:t>
            </w:r>
            <w:r>
              <w:rPr>
                <w:sz w:val="20"/>
                <w:szCs w:val="20"/>
              </w:rPr>
              <w:t xml:space="preserve"> → </w:t>
            </w:r>
            <w:r>
              <w:rPr>
                <w:rFonts w:ascii="Consolas" w:cs="Consolas" w:eastAsia="Consolas" w:hAnsi="Consolas"/>
                <w:sz w:val="18"/>
                <w:szCs w:val="18"/>
                <w:shd w:fill="F2F2F2" w:color="auto" w:val="clear"/>
              </w:rPr>
              <w:t xml:space="preserve">2.2_depuracion_etiquetado/reportes/08_depuracion.md</w:t>
            </w:r>
            <w:r>
              <w:rPr>
                <w:sz w:val="20"/>
                <w:szCs w:val="20"/>
              </w:rPr>
              <w:t xml:space="preserve">, sección 3.</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Precisado por</w:t>
            </w:r>
          </w:p>
        </w:tc>
        <w:tc>
          <w:tcPr>
            <w:tcW w:type="dxa" w:w="7226"/>
            <w:tcMar>
              <w:top w:type="dxa" w:w="70"/>
              <w:left w:type="dxa" w:w="100"/>
              <w:bottom w:type="dxa" w:w="70"/>
              <w:right w:type="dxa" w:w="100"/>
            </w:tcMar>
          </w:tcPr>
          <w:p>
            <w:pPr>
              <w:keepNext w:val="false"/>
              <w:spacing w:after="0" w:before="0"/>
            </w:pPr>
            <w:hyperlink w:history="1" w:anchor="E_H21">
              <w:r>
                <w:rPr>
                  <w:color w:val="0563C1"/>
                  <w:sz w:val="20"/>
                  <w:szCs w:val="20"/>
                  <w:u w:val="single"/>
                </w:rPr>
                <w:t xml:space="preserve">H21</w:t>
              </w:r>
            </w:hyperlink>
            <w:r>
              <w:rPr>
                <w:sz w:val="20"/>
                <w:szCs w:val="20"/>
              </w:rPr>
              <w:t xml:space="preserve">, que no cuenta un dato faltante como una combinación distinta (30.616 identificadores en vez de 30.778).</w:t>
            </w:r>
          </w:p>
        </w:tc>
      </w:tr>
    </w:tbl>
    <w:p>
      <w:pPr>
        <w:pStyle w:val="Heading2"/>
      </w:pPr>
      <w:bookmarkStart w:name="E_D18" w:id="2"/>
      <w:r>
        <w:rPr>
          <w:color w:val="548235"/>
        </w:rPr>
        <w:t xml:space="preserve">D18</w:t>
      </w:r>
      <w:bookmarkEnd w:id="2"/>
      <w:r>
        <w:t xml:space="preserve"> · Criterio de «misma persona»</w:t>
      </w:r>
    </w:p>
    <w:p>
      <w:pPr>
        <w:keepNext/>
        <w:spacing w:after="100"/>
      </w:pPr>
      <w:r>
        <w:rPr>
          <w:b/>
          <w:bCs/>
          <w:color w:val="548235"/>
          <w:sz w:val="18"/>
          <w:szCs w:val="18"/>
        </w:rPr>
        <w:t xml:space="preserve">Decisión</w:t>
      </w:r>
      <w:r>
        <w:rPr>
          <w:color w:val="808080"/>
          <w:sz w:val="18"/>
          <w:szCs w:val="18"/>
        </w:rPr>
        <w:t xml:space="preserve">  ·  6 de octubre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2.2</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Decisión</w:t>
            </w:r>
          </w:p>
        </w:tc>
        <w:tc>
          <w:tcPr>
            <w:tcW w:type="dxa" w:w="7226"/>
            <w:tcMar>
              <w:top w:type="dxa" w:w="70"/>
              <w:left w:type="dxa" w:w="100"/>
              <w:bottom w:type="dxa" w:w="70"/>
              <w:right w:type="dxa" w:w="100"/>
            </w:tcMar>
          </w:tcPr>
          <w:p>
            <w:pPr>
              <w:keepNext/>
              <w:spacing w:after="0" w:before="0"/>
            </w:pPr>
            <w:r>
              <w:rPr>
                <w:sz w:val="20"/>
                <w:szCs w:val="20"/>
              </w:rPr>
              <w:t xml:space="preserve">Dos egresos con el mismo identificador son de personas distintas cuando sus fechas de nacimiento difieren en más de 366 días, salvo que coincidan en el día y el mes, caso que se interpreta como un error de digitación en el año. El sexo no se usa. Cada egreso recibe un </w:t>
            </w:r>
            <w:r>
              <w:rPr>
                <w:rFonts w:ascii="Consolas" w:cs="Consolas" w:eastAsia="Consolas" w:hAnsi="Consolas"/>
                <w:sz w:val="18"/>
                <w:szCs w:val="18"/>
                <w:shd w:fill="F2F2F2" w:color="auto" w:val="clear"/>
              </w:rPr>
              <w:t xml:space="preserve">ID_PERSONA</w:t>
            </w:r>
            <w:r>
              <w:rPr>
                <w:sz w:val="20"/>
                <w:szCs w:val="20"/>
              </w:rPr>
              <w:t xml:space="preserve">, formado por el identificador seguido de dos dígitos con el número de persona (01 la de más edad). Los 12 identificadores genéricos quedan sin persona asignada y se tratan igual que los egresos sin identificador (criterio E02).</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Fundamento</w:t>
            </w:r>
          </w:p>
        </w:tc>
        <w:tc>
          <w:tcPr>
            <w:tcW w:type="dxa" w:w="7226"/>
            <w:tcMar>
              <w:top w:type="dxa" w:w="70"/>
              <w:left w:type="dxa" w:w="100"/>
              <w:bottom w:type="dxa" w:w="70"/>
              <w:right w:type="dxa" w:w="100"/>
            </w:tcMar>
          </w:tcPr>
          <w:p>
            <w:pPr>
              <w:keepNext/>
              <w:spacing w:after="0" w:before="0"/>
            </w:pPr>
            <w:r>
              <w:rPr>
                <w:sz w:val="20"/>
                <w:szCs w:val="20"/>
              </w:rPr>
              <w:t xml:space="preserve">De unos 626.000 pares de alta seguida de un nuevo ingreso del mismo identificador dentro de 30 días, en 2.089 las fechas de nacimiento difieren en más de un año (755 de ellos coinciden en día y mes), en 6.684 difieren entre 1 y 366 días y en 2.860 solo cambia el sexo. La regla adoptada deja de contar unos 1.300 pares, que son personas distintas.</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Alternativas descartadas</w:t>
            </w:r>
          </w:p>
        </w:tc>
        <w:tc>
          <w:tcPr>
            <w:tcW w:type="dxa" w:w="7226"/>
            <w:tcMar>
              <w:top w:type="dxa" w:w="70"/>
              <w:left w:type="dxa" w:w="100"/>
              <w:bottom w:type="dxa" w:w="70"/>
              <w:right w:type="dxa" w:w="100"/>
            </w:tcMar>
          </w:tcPr>
          <w:p>
            <w:pPr>
              <w:keepNext/>
              <w:spacing w:after="0" w:before="0"/>
            </w:pPr>
            <w:r>
              <w:rPr>
                <w:sz w:val="20"/>
                <w:szCs w:val="20"/>
              </w:rPr>
              <w:t xml:space="preserve">(1) Usar solo el identificador: cuenta al recién nacido como reingreso de su madre. (2) Exigir identificador, sexo y fecha de nacimiento idénticos: deja de contar 11.633 pares, de los que unos 10.000 son la misma persona con un error de digitación.</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Limitación</w:t>
            </w:r>
          </w:p>
        </w:tc>
        <w:tc>
          <w:tcPr>
            <w:tcW w:type="dxa" w:w="7226"/>
            <w:tcMar>
              <w:top w:type="dxa" w:w="70"/>
              <w:left w:type="dxa" w:w="100"/>
              <w:bottom w:type="dxa" w:w="70"/>
              <w:right w:type="dxa" w:w="100"/>
            </w:tcMar>
          </w:tcPr>
          <w:p>
            <w:pPr>
              <w:keepNext/>
              <w:spacing w:after="0" w:before="0"/>
            </w:pPr>
            <w:r>
              <w:rPr>
                <w:sz w:val="20"/>
                <w:szCs w:val="20"/>
              </w:rPr>
              <w:t xml:space="preserve">Dos gemelos registrados con el identificador de su madre tienen la misma fecha de nacimiento y no se pueden distinguir: quedan como una sola persona. En la exploración hay 397 pares de menores de un año con igual fecha de nacimiento y distinto sexo. Tampoco se separan una madre y su hijo que hayan nacido el mismo día y mes (uno de cada 365 casos).</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Resultado</w:t>
            </w:r>
          </w:p>
        </w:tc>
        <w:tc>
          <w:tcPr>
            <w:tcW w:type="dxa" w:w="7226"/>
            <w:tcMar>
              <w:top w:type="dxa" w:w="70"/>
              <w:left w:type="dxa" w:w="100"/>
              <w:bottom w:type="dxa" w:w="70"/>
              <w:right w:type="dxa" w:w="100"/>
            </w:tcMar>
          </w:tcPr>
          <w:p>
            <w:pPr>
              <w:keepNext/>
              <w:spacing w:after="0" w:before="0"/>
            </w:pPr>
            <w:r>
              <w:rPr>
                <w:sz w:val="20"/>
                <w:szCs w:val="20"/>
              </w:rPr>
              <w:t xml:space="preserve">4.039.699 personas. De los identificadores no genéricos, 3.901 corresponden a dos personas, 12 a tres y 2 a cuatro.</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Parámetros</w:t>
            </w:r>
          </w:p>
        </w:tc>
        <w:tc>
          <w:tcPr>
            <w:tcW w:type="dxa" w:w="7226"/>
            <w:tcMar>
              <w:top w:type="dxa" w:w="70"/>
              <w:left w:type="dxa" w:w="100"/>
              <w:bottom w:type="dxa" w:w="70"/>
              <w:right w:type="dxa" w:w="100"/>
            </w:tcMar>
          </w:tcPr>
          <w:p>
            <w:pPr>
              <w:keepNext/>
              <w:spacing w:after="0" w:before="0"/>
            </w:pPr>
            <w:r>
              <w:rPr>
                <w:rFonts w:ascii="Consolas" w:cs="Consolas" w:eastAsia="Consolas" w:hAnsi="Consolas"/>
                <w:sz w:val="18"/>
                <w:szCs w:val="18"/>
                <w:shd w:fill="F2F2F2" w:color="auto" w:val="clear"/>
              </w:rPr>
              <w:t xml:space="preserve">persona_dias_fnac</w:t>
            </w:r>
            <w:r>
              <w:rPr>
                <w:sz w:val="20"/>
                <w:szCs w:val="20"/>
              </w:rPr>
              <w:t xml:space="preserve"> (366), </w:t>
            </w:r>
            <w:r>
              <w:rPr>
                <w:rFonts w:ascii="Consolas" w:cs="Consolas" w:eastAsia="Consolas" w:hAnsi="Consolas"/>
                <w:sz w:val="18"/>
                <w:szCs w:val="18"/>
                <w:shd w:fill="F2F2F2" w:color="auto" w:val="clear"/>
              </w:rPr>
              <w:t xml:space="preserve">persona_mismo_dia_mes</w:t>
            </w:r>
            <w:r>
              <w:rPr>
                <w:sz w:val="20"/>
                <w:szCs w:val="20"/>
              </w:rPr>
              <w:t xml:space="preserve"> (SI) e </w:t>
            </w:r>
            <w:r>
              <w:rPr>
                <w:rFonts w:ascii="Consolas" w:cs="Consolas" w:eastAsia="Consolas" w:hAnsi="Consolas"/>
                <w:sz w:val="18"/>
                <w:szCs w:val="18"/>
                <w:shd w:fill="F2F2F2" w:color="auto" w:val="clear"/>
              </w:rPr>
              <w:t xml:space="preserve">id_generico_min_personas</w:t>
            </w:r>
            <w:r>
              <w:rPr>
                <w:sz w:val="20"/>
                <w:szCs w:val="20"/>
              </w:rPr>
              <w:t xml:space="preserve"> (5).</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Estado</w:t>
            </w:r>
          </w:p>
        </w:tc>
        <w:tc>
          <w:tcPr>
            <w:tcW w:type="dxa" w:w="7226"/>
            <w:tcMar>
              <w:top w:type="dxa" w:w="70"/>
              <w:left w:type="dxa" w:w="100"/>
              <w:bottom w:type="dxa" w:w="70"/>
              <w:right w:type="dxa" w:w="100"/>
            </w:tcMar>
          </w:tcPr>
          <w:p>
            <w:pPr>
              <w:keepNext w:val="false"/>
              <w:spacing w:after="0" w:before="0"/>
            </w:pPr>
            <w:r>
              <w:rPr>
                <w:sz w:val="20"/>
                <w:szCs w:val="20"/>
              </w:rPr>
              <w:t xml:space="preserve">Adoptada. Pendiente de validar con profesor guía.</w:t>
            </w:r>
          </w:p>
        </w:tc>
      </w:tr>
    </w:tbl>
    <w:p>
      <w:pPr>
        <w:pStyle w:val="Heading2"/>
      </w:pPr>
      <w:bookmarkStart w:name="E_H14" w:id="3"/>
      <w:r>
        <w:rPr>
          <w:color w:val="2E75B6"/>
        </w:rPr>
        <w:t xml:space="preserve">H14</w:t>
      </w:r>
      <w:bookmarkEnd w:id="3"/>
      <w:r>
        <w:t xml:space="preserve"> · El tipo de alta no basta para reconocer un traslado</w:t>
      </w:r>
    </w:p>
    <w:p>
      <w:pPr>
        <w:keepNext/>
        <w:spacing w:after="100"/>
      </w:pPr>
      <w:r>
        <w:rPr>
          <w:b/>
          <w:bCs/>
          <w:color w:val="2E75B6"/>
          <w:sz w:val="18"/>
          <w:szCs w:val="18"/>
        </w:rPr>
        <w:t xml:space="preserve">Hallazgo</w:t>
      </w:r>
      <w:r>
        <w:rPr>
          <w:color w:val="808080"/>
          <w:sz w:val="18"/>
          <w:szCs w:val="18"/>
        </w:rPr>
        <w:t xml:space="preserve">  ·  6 de octubre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2.2</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Hallazgo</w:t>
            </w:r>
          </w:p>
        </w:tc>
        <w:tc>
          <w:tcPr>
            <w:tcW w:type="dxa" w:w="7226"/>
            <w:tcMar>
              <w:top w:type="dxa" w:w="70"/>
              <w:left w:type="dxa" w:w="100"/>
              <w:bottom w:type="dxa" w:w="70"/>
              <w:right w:type="dxa" w:w="100"/>
            </w:tcMar>
          </w:tcPr>
          <w:p>
            <w:pPr>
              <w:keepNext/>
              <w:spacing w:after="0" w:before="0"/>
            </w:pPr>
            <w:r>
              <w:rPr>
                <w:sz w:val="20"/>
                <w:szCs w:val="20"/>
              </w:rPr>
              <w:t xml:space="preserve">Entre los egresos que se pueden seguir, 154.437 tienen alta por derivación a otro hospital, pero solo en 77.832 (50,4 %; entre 44 % y 55 % según el año) la continuación está en la base. El resto fue a establecimientos que no reportan GRD. En sentido inverso, 87.059 egresos ingresan en otro hospital el mismo día del alta anterior de la misma persona (70.933) o al día siguiente (16.126), y unos 13.800 de esas altas anteriores figuran como alta a domicilio.</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Respaldo de la regla por fechas</w:t>
            </w:r>
          </w:p>
        </w:tc>
        <w:tc>
          <w:tcPr>
            <w:tcW w:type="dxa" w:w="7226"/>
            <w:tcMar>
              <w:top w:type="dxa" w:w="70"/>
              <w:left w:type="dxa" w:w="100"/>
              <w:bottom w:type="dxa" w:w="70"/>
              <w:right w:type="dxa" w:w="100"/>
            </w:tcMar>
          </w:tcPr>
          <w:p>
            <w:pPr>
              <w:keepNext/>
              <w:spacing w:after="0" w:before="0"/>
            </w:pPr>
            <w:r>
              <w:rPr>
                <w:sz w:val="20"/>
                <w:szCs w:val="20"/>
              </w:rPr>
              <w:t xml:space="preserve">El 96,8 % de los ingresos del mismo día y el 90,6 % de los del día siguiente tienen además una marca explícita de traslado: el alta anterior es una derivación o el ingreso declara que procede de otro hospital.</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Episodios dentro de otro</w:t>
            </w:r>
          </w:p>
        </w:tc>
        <w:tc>
          <w:tcPr>
            <w:tcW w:type="dxa" w:w="7226"/>
            <w:tcMar>
              <w:top w:type="dxa" w:w="70"/>
              <w:left w:type="dxa" w:w="100"/>
              <w:bottom w:type="dxa" w:w="70"/>
              <w:right w:type="dxa" w:w="100"/>
            </w:tcMar>
          </w:tcPr>
          <w:p>
            <w:pPr>
              <w:keepNext/>
              <w:spacing w:after="0" w:before="0"/>
            </w:pPr>
            <w:r>
              <w:rPr>
                <w:sz w:val="20"/>
                <w:szCs w:val="20"/>
              </w:rPr>
              <w:t xml:space="preserve">10.524 egresos ingresan antes del alta anterior de la misma persona, casi todos en otro hospital: el paciente sale a un procedimiento y vuelve. El caso extremo es una hospitalización de casi seis meses que contiene 31 atenciones de un día en otro hospital.</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Ejemplo</w:t>
            </w:r>
          </w:p>
        </w:tc>
        <w:tc>
          <w:tcPr>
            <w:tcW w:type="dxa" w:w="7226"/>
            <w:tcMar>
              <w:top w:type="dxa" w:w="70"/>
              <w:left w:type="dxa" w:w="100"/>
              <w:bottom w:type="dxa" w:w="70"/>
              <w:right w:type="dxa" w:w="100"/>
            </w:tcMar>
          </w:tcPr>
          <w:p>
            <w:pPr>
              <w:keepNext/>
              <w:spacing w:after="0" w:before="0"/>
            </w:pPr>
            <w:r>
              <w:rPr>
                <w:sz w:val="20"/>
                <w:szCs w:val="20"/>
              </w:rPr>
              <w:t xml:space="preserve">El egreso </w:t>
            </w:r>
            <w:r>
              <w:rPr>
                <w:rFonts w:ascii="Consolas" w:cs="Consolas" w:eastAsia="Consolas" w:hAnsi="Consolas"/>
                <w:sz w:val="18"/>
                <w:szCs w:val="18"/>
                <w:shd w:fill="F2F2F2" w:color="auto" w:val="clear"/>
              </w:rPr>
              <w:t xml:space="preserve">20230696755</w:t>
            </w:r>
            <w:r>
              <w:rPr>
                <w:sz w:val="20"/>
                <w:szCs w:val="20"/>
              </w:rPr>
              <w:t xml:space="preserve"> (alta por derivación el 19 de mayo de 2023) continúa en el </w:t>
            </w:r>
            <w:r>
              <w:rPr>
                <w:rFonts w:ascii="Consolas" w:cs="Consolas" w:eastAsia="Consolas" w:hAnsi="Consolas"/>
                <w:sz w:val="18"/>
                <w:szCs w:val="18"/>
                <w:shd w:fill="F2F2F2" w:color="auto" w:val="clear"/>
              </w:rPr>
              <w:t xml:space="preserve">20230179771</w:t>
            </w:r>
            <w:r>
              <w:rPr>
                <w:sz w:val="20"/>
                <w:szCs w:val="20"/>
              </w:rPr>
              <w:t xml:space="preserve"> (otro hospital, ingreso el mismo día, procedencia «otros hospitales»). Sin una regla, contaría como un reingreso el día 0 con la misma CDM.</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Evidencia</w:t>
            </w:r>
          </w:p>
        </w:tc>
        <w:tc>
          <w:tcPr>
            <w:tcW w:type="dxa" w:w="7226"/>
            <w:tcMar>
              <w:top w:type="dxa" w:w="70"/>
              <w:left w:type="dxa" w:w="100"/>
              <w:bottom w:type="dxa" w:w="70"/>
              <w:right w:type="dxa" w:w="100"/>
            </w:tcMar>
          </w:tcPr>
          <w:p>
            <w:pPr>
              <w:keepNext w:val="false"/>
              <w:spacing w:after="0" w:before="0"/>
            </w:pPr>
            <w:r>
              <w:rPr>
                <w:rFonts w:ascii="Consolas" w:cs="Consolas" w:eastAsia="Consolas" w:hAnsi="Consolas"/>
                <w:sz w:val="18"/>
                <w:szCs w:val="18"/>
                <w:shd w:fill="F2F2F2" w:color="auto" w:val="clear"/>
              </w:rPr>
              <w:t xml:space="preserve">2.2_depuracion_etiquetado/reportes/08_depuracion.md</w:t>
            </w:r>
            <w:r>
              <w:rPr>
                <w:sz w:val="20"/>
                <w:szCs w:val="20"/>
              </w:rPr>
              <w:t xml:space="preserve">, sección 4.</w:t>
            </w:r>
          </w:p>
        </w:tc>
      </w:tr>
    </w:tbl>
    <w:p>
      <w:pPr>
        <w:pStyle w:val="Heading2"/>
      </w:pPr>
      <w:bookmarkStart w:name="E_D19" w:id="4"/>
      <w:r>
        <w:rPr>
          <w:color w:val="548235"/>
        </w:rPr>
        <w:t xml:space="preserve">D19</w:t>
      </w:r>
      <w:bookmarkEnd w:id="4"/>
      <w:r>
        <w:t xml:space="preserve"> · Episodio asistencial y tratamiento de los traslados</w:t>
      </w:r>
    </w:p>
    <w:p>
      <w:pPr>
        <w:keepNext/>
        <w:spacing w:after="100"/>
      </w:pPr>
      <w:r>
        <w:rPr>
          <w:b/>
          <w:bCs/>
          <w:color w:val="548235"/>
          <w:sz w:val="18"/>
          <w:szCs w:val="18"/>
        </w:rPr>
        <w:t xml:space="preserve">Decisión</w:t>
      </w:r>
      <w:r>
        <w:rPr>
          <w:color w:val="808080"/>
          <w:sz w:val="18"/>
          <w:szCs w:val="18"/>
        </w:rPr>
        <w:t xml:space="preserve">  ·  6 de octubre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2.2</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Decisión</w:t>
            </w:r>
          </w:p>
        </w:tc>
        <w:tc>
          <w:tcPr>
            <w:tcW w:type="dxa" w:w="7226"/>
            <w:tcMar>
              <w:top w:type="dxa" w:w="70"/>
              <w:left w:type="dxa" w:w="100"/>
              <w:bottom w:type="dxa" w:w="70"/>
              <w:right w:type="dxa" w:w="100"/>
            </w:tcMar>
          </w:tcPr>
          <w:p>
            <w:pPr>
              <w:keepNext/>
              <w:spacing w:after="0" w:before="0"/>
            </w:pPr>
            <w:r>
              <w:rPr>
                <w:sz w:val="20"/>
                <w:szCs w:val="20"/>
              </w:rPr>
              <w:t xml:space="preserve">Los egresos de una persona se unen en un mismo episodio asistencial (</w:t>
            </w:r>
            <w:r>
              <w:rPr>
                <w:rFonts w:ascii="Consolas" w:cs="Consolas" w:eastAsia="Consolas" w:hAnsi="Consolas"/>
                <w:sz w:val="18"/>
                <w:szCs w:val="18"/>
                <w:shd w:fill="F2F2F2" w:color="auto" w:val="clear"/>
              </w:rPr>
              <w:t xml:space="preserve">ID_EPISODIO</w:t>
            </w:r>
            <w:r>
              <w:rPr>
                <w:sz w:val="20"/>
                <w:szCs w:val="20"/>
              </w:rPr>
              <w:t xml:space="preserve">) cuando el segundo ingresa antes del alta del primero, o ingresa en otro hospital el mismo día del alta o al día siguiente. También se unen dos registros de la misma persona con el mismo hospital y las mismas fechas (</w:t>
            </w:r>
            <w:hyperlink w:history="1" w:anchor="E_D24">
              <w:r>
                <w:rPr>
                  <w:color w:val="0563C1"/>
                  <w:sz w:val="20"/>
                  <w:szCs w:val="20"/>
                  <w:u w:val="single"/>
                </w:rPr>
                <w:t xml:space="preserve">D24</w:t>
              </w:r>
            </w:hyperlink>
            <w:r>
              <w:rPr>
                <w:sz w:val="20"/>
                <w:szCs w:val="20"/>
              </w:rPr>
              <w:t xml:space="preserve">). Dentro de un episodio, solo el alta final puede ser caso de estudio (criterio E05) y un egreso que continúa el episodio no cuenta como reingreso.</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Derivaciones sin continuación</w:t>
            </w:r>
          </w:p>
        </w:tc>
        <w:tc>
          <w:tcPr>
            <w:tcW w:type="dxa" w:w="7226"/>
            <w:tcMar>
              <w:top w:type="dxa" w:w="70"/>
              <w:left w:type="dxa" w:w="100"/>
              <w:bottom w:type="dxa" w:w="70"/>
              <w:right w:type="dxa" w:w="100"/>
            </w:tcMar>
          </w:tcPr>
          <w:p>
            <w:pPr>
              <w:keepNext/>
              <w:spacing w:after="0" w:before="0"/>
            </w:pPr>
            <w:r>
              <w:rPr>
                <w:sz w:val="20"/>
                <w:szCs w:val="20"/>
              </w:rPr>
              <w:t xml:space="preserve">Los egresos con alta por derivación a otro hospital cuya continuación no está en la base (criterio E07, 76.605) y los derivados a instituciones privadas (E08, 22.968) tampoco son caso de estudio: el paciente sigue hospitalizado donde no se lo puede observar.</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Mismo hospital, mismo día</w:t>
            </w:r>
          </w:p>
        </w:tc>
        <w:tc>
          <w:tcPr>
            <w:tcW w:type="dxa" w:w="7226"/>
            <w:tcMar>
              <w:top w:type="dxa" w:w="70"/>
              <w:left w:type="dxa" w:w="100"/>
              <w:bottom w:type="dxa" w:w="70"/>
              <w:right w:type="dxa" w:w="100"/>
            </w:tcMar>
          </w:tcPr>
          <w:p>
            <w:pPr>
              <w:keepNext/>
              <w:spacing w:after="0" w:before="0"/>
            </w:pPr>
            <w:r>
              <w:rPr>
                <w:sz w:val="20"/>
                <w:szCs w:val="20"/>
              </w:rPr>
              <w:t xml:space="preserve">Un ingreso en el mismo hospital el mismo día del alta no es un traslado: abre un episodio nuevo y puede contar como reingreso (9.425 egresos). Ejemplo: el egreso </w:t>
            </w:r>
            <w:r>
              <w:rPr>
                <w:rFonts w:ascii="Consolas" w:cs="Consolas" w:eastAsia="Consolas" w:hAnsi="Consolas"/>
                <w:sz w:val="18"/>
                <w:szCs w:val="18"/>
                <w:shd w:fill="F2F2F2" w:color="auto" w:val="clear"/>
              </w:rPr>
              <w:t xml:space="preserve">20230989214</w:t>
            </w:r>
            <w:r>
              <w:rPr>
                <w:sz w:val="20"/>
                <w:szCs w:val="20"/>
              </w:rPr>
              <w:t xml:space="preserve"> es una cirugía ambulatoria con alta a domicilio y el </w:t>
            </w:r>
            <w:r>
              <w:rPr>
                <w:rFonts w:ascii="Consolas" w:cs="Consolas" w:eastAsia="Consolas" w:hAnsi="Consolas"/>
                <w:sz w:val="18"/>
                <w:szCs w:val="18"/>
                <w:shd w:fill="F2F2F2" w:color="auto" w:val="clear"/>
              </w:rPr>
              <w:t xml:space="preserve">20230366798</w:t>
            </w:r>
            <w:r>
              <w:rPr>
                <w:sz w:val="20"/>
                <w:szCs w:val="20"/>
              </w:rPr>
              <w:t xml:space="preserve">, un ingreso por urgencia ese mismo día por una hemorragia del procedimiento.</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Fundamento</w:t>
            </w:r>
          </w:p>
        </w:tc>
        <w:tc>
          <w:tcPr>
            <w:tcW w:type="dxa" w:w="7226"/>
            <w:tcMar>
              <w:top w:type="dxa" w:w="70"/>
              <w:left w:type="dxa" w:w="100"/>
              <w:bottom w:type="dxa" w:w="70"/>
              <w:right w:type="dxa" w:w="100"/>
            </w:tcMar>
          </w:tcPr>
          <w:p>
            <w:pPr>
              <w:keepNext/>
              <w:spacing w:after="0" w:before="0"/>
            </w:pPr>
            <w:r>
              <w:rPr>
                <w:sz w:val="20"/>
                <w:szCs w:val="20"/>
              </w:rPr>
              <w:t xml:space="preserve">La propuesta de tesis excluye «los traslados, que corresponden a la continuidad de un mismo episodio asistencial».</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Alternativas</w:t>
            </w:r>
          </w:p>
        </w:tc>
        <w:tc>
          <w:tcPr>
            <w:tcW w:type="dxa" w:w="7226"/>
            <w:tcMar>
              <w:top w:type="dxa" w:w="70"/>
              <w:left w:type="dxa" w:w="100"/>
              <w:bottom w:type="dxa" w:w="70"/>
              <w:right w:type="dxa" w:w="100"/>
            </w:tcMar>
          </w:tcPr>
          <w:p>
            <w:pPr>
              <w:keepNext/>
              <w:spacing w:after="0" w:before="0"/>
            </w:pPr>
            <w:r>
              <w:rPr>
                <w:sz w:val="20"/>
                <w:szCs w:val="20"/>
              </w:rPr>
              <w:t xml:space="preserve">(1) Considerar traslado solo el ingreso del mismo día (</w:t>
            </w:r>
            <w:r>
              <w:rPr>
                <w:rFonts w:ascii="Consolas" w:cs="Consolas" w:eastAsia="Consolas" w:hAnsi="Consolas"/>
                <w:sz w:val="18"/>
                <w:szCs w:val="18"/>
                <w:shd w:fill="F2F2F2" w:color="auto" w:val="clear"/>
              </w:rPr>
              <w:t xml:space="preserve">traslado_dias_max</w:t>
            </w:r>
            <w:r>
              <w:rPr>
                <w:sz w:val="20"/>
                <w:szCs w:val="20"/>
              </w:rPr>
              <w:t xml:space="preserve"> = 0). (2) Exigir además la marca explícita de traslado (</w:t>
            </w:r>
            <w:r>
              <w:rPr>
                <w:rFonts w:ascii="Consolas" w:cs="Consolas" w:eastAsia="Consolas" w:hAnsi="Consolas"/>
                <w:sz w:val="18"/>
                <w:szCs w:val="18"/>
                <w:shd w:fill="F2F2F2" w:color="auto" w:val="clear"/>
              </w:rPr>
              <w:t xml:space="preserve">traslado_exige_marca</w:t>
            </w:r>
            <w:r>
              <w:rPr>
                <w:sz w:val="20"/>
                <w:szCs w:val="20"/>
              </w:rPr>
              <w:t xml:space="preserve"> = SI). Con la regla adoptada, 3.755 ingresos sin marca se tratan como traslado (2.244 del mismo día y 1.511 del día siguiente); en su mayoría vienen de un alta a domicilio e ingresan por urgencia, por lo que algunos pueden ser reingresos reales en otro hospital.</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Resultado</w:t>
            </w:r>
          </w:p>
        </w:tc>
        <w:tc>
          <w:tcPr>
            <w:tcW w:type="dxa" w:w="7226"/>
            <w:tcMar>
              <w:top w:type="dxa" w:w="70"/>
              <w:left w:type="dxa" w:w="100"/>
              <w:bottom w:type="dxa" w:w="70"/>
              <w:right w:type="dxa" w:w="100"/>
            </w:tcMar>
          </w:tcPr>
          <w:p>
            <w:pPr>
              <w:keepNext/>
              <w:spacing w:after="0" w:before="0"/>
            </w:pPr>
            <w:r>
              <w:rPr>
                <w:sz w:val="20"/>
                <w:szCs w:val="20"/>
              </w:rPr>
              <w:t xml:space="preserve">5.565.982 episodios asistenciales; 83.904 tienen más de un egreso (72.366 de dos, 10.280 de tres y 1.258 de cuatro o más) y 97.603 egresos continúan un episodio.</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Pendiente</w:t>
            </w:r>
          </w:p>
        </w:tc>
        <w:tc>
          <w:tcPr>
            <w:tcW w:type="dxa" w:w="7226"/>
            <w:tcMar>
              <w:top w:type="dxa" w:w="70"/>
              <w:left w:type="dxa" w:w="100"/>
              <w:bottom w:type="dxa" w:w="70"/>
              <w:right w:type="dxa" w:w="100"/>
            </w:tcMar>
          </w:tcPr>
          <w:p>
            <w:pPr>
              <w:keepNext/>
              <w:spacing w:after="0" w:before="0"/>
            </w:pPr>
            <w:r>
              <w:rPr>
                <w:sz w:val="20"/>
                <w:szCs w:val="20"/>
              </w:rPr>
              <w:t xml:space="preserve">Respaldar con bibliografía la regla del mismo día o el día siguiente.</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Estado</w:t>
            </w:r>
          </w:p>
        </w:tc>
        <w:tc>
          <w:tcPr>
            <w:tcW w:type="dxa" w:w="7226"/>
            <w:tcMar>
              <w:top w:type="dxa" w:w="70"/>
              <w:left w:type="dxa" w:w="100"/>
              <w:bottom w:type="dxa" w:w="70"/>
              <w:right w:type="dxa" w:w="100"/>
            </w:tcMar>
          </w:tcPr>
          <w:p>
            <w:pPr>
              <w:keepNext w:val="false"/>
              <w:spacing w:after="0" w:before="0"/>
            </w:pPr>
            <w:r>
              <w:rPr>
                <w:sz w:val="20"/>
                <w:szCs w:val="20"/>
              </w:rPr>
              <w:t xml:space="preserve">Adoptada. Pendiente de validar con profesor guía.</w:t>
            </w:r>
          </w:p>
        </w:tc>
      </w:tr>
    </w:tbl>
    <w:p>
      <w:pPr>
        <w:pStyle w:val="Heading2"/>
      </w:pPr>
      <w:bookmarkStart w:name="E_H15" w:id="5"/>
      <w:r>
        <w:rPr>
          <w:color w:val="2E75B6"/>
        </w:rPr>
        <w:t xml:space="preserve">H15</w:t>
      </w:r>
      <w:bookmarkEnd w:id="5"/>
      <w:r>
        <w:t xml:space="preserve"> · Qué tipo de ingreso es el reingreso</w:t>
      </w:r>
    </w:p>
    <w:p>
      <w:pPr>
        <w:keepNext/>
        <w:spacing w:after="100"/>
      </w:pPr>
      <w:r>
        <w:rPr>
          <w:b/>
          <w:bCs/>
          <w:color w:val="2E75B6"/>
          <w:sz w:val="18"/>
          <w:szCs w:val="18"/>
        </w:rPr>
        <w:t xml:space="preserve">Hallazgo</w:t>
      </w:r>
      <w:r>
        <w:rPr>
          <w:color w:val="808080"/>
          <w:sz w:val="18"/>
          <w:szCs w:val="18"/>
        </w:rPr>
        <w:t xml:space="preserve">  ·  6 de octubre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2.2</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Hallazgo</w:t>
            </w:r>
          </w:p>
        </w:tc>
        <w:tc>
          <w:tcPr>
            <w:tcW w:type="dxa" w:w="7226"/>
            <w:tcMar>
              <w:top w:type="dxa" w:w="70"/>
              <w:left w:type="dxa" w:w="100"/>
              <w:bottom w:type="dxa" w:w="70"/>
              <w:right w:type="dxa" w:w="100"/>
            </w:tcMar>
          </w:tcPr>
          <w:p>
            <w:pPr>
              <w:keepNext/>
              <w:spacing w:after="0" w:before="0"/>
            </w:pPr>
            <w:r>
              <w:rPr>
                <w:sz w:val="20"/>
                <w:szCs w:val="20"/>
              </w:rPr>
              <w:t xml:space="preserve">De 537.887 altas seguidas de un nuevo ingreso dentro de 30 días (sin traslados), el nuevo ingreso es por urgencia en el 43,8 %, programado en el 39,5 % y obstétrico en el 16,7 %.</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Programados</w:t>
            </w:r>
          </w:p>
        </w:tc>
        <w:tc>
          <w:tcPr>
            <w:tcW w:type="dxa" w:w="7226"/>
            <w:tcMar>
              <w:top w:type="dxa" w:w="70"/>
              <w:left w:type="dxa" w:w="100"/>
              <w:bottom w:type="dxa" w:w="70"/>
              <w:right w:type="dxa" w:w="100"/>
            </w:tcMar>
          </w:tcPr>
          <w:p>
            <w:pPr>
              <w:keepNext/>
              <w:spacing w:after="0" w:before="0"/>
            </w:pPr>
            <w:r>
              <w:rPr>
                <w:sz w:val="20"/>
                <w:szCs w:val="20"/>
              </w:rPr>
              <w:t xml:space="preserve">Los diagnósticos más frecuentes son sesiones de tratamiento como la quimioterapia (Z51, 51.877), cataratas (</w:t>
            </w:r>
            <w:hyperlink w:history="1" w:anchor="E_H25">
              <w:r>
                <w:rPr>
                  <w:color w:val="0563C1"/>
                  <w:sz w:val="20"/>
                  <w:szCs w:val="20"/>
                  <w:u w:val="single"/>
                </w:rPr>
                <w:t xml:space="preserve">H25</w:t>
              </w:r>
            </w:hyperlink>
            <w:r>
              <w:rPr>
                <w:sz w:val="20"/>
                <w:szCs w:val="20"/>
              </w:rPr>
              <w:t xml:space="preserve"> y </w:t>
            </w:r>
            <w:hyperlink w:history="1" w:anchor="E_H26">
              <w:r>
                <w:rPr>
                  <w:color w:val="0563C1"/>
                  <w:sz w:val="20"/>
                  <w:szCs w:val="20"/>
                  <w:u w:val="single"/>
                </w:rPr>
                <w:t xml:space="preserve">H26</w:t>
              </w:r>
            </w:hyperlink>
            <w:r>
              <w:rPr>
                <w:sz w:val="20"/>
                <w:szCs w:val="20"/>
              </w:rPr>
              <w:t xml:space="preserve">, 38.021; suele ser el segundo ojo) y cálculos biliares (K80, 5.337).</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Obstétricos</w:t>
            </w:r>
          </w:p>
        </w:tc>
        <w:tc>
          <w:tcPr>
            <w:tcW w:type="dxa" w:w="7226"/>
            <w:tcMar>
              <w:top w:type="dxa" w:w="70"/>
              <w:left w:type="dxa" w:w="100"/>
              <w:bottom w:type="dxa" w:w="70"/>
              <w:right w:type="dxa" w:w="100"/>
            </w:tcMar>
          </w:tcPr>
          <w:p>
            <w:pPr>
              <w:keepNext/>
              <w:spacing w:after="0" w:before="0"/>
            </w:pPr>
            <w:r>
              <w:rPr>
                <w:sz w:val="20"/>
                <w:szCs w:val="20"/>
              </w:rPr>
              <w:t xml:space="preserve">De 89.637, unos 56.000 son el parto (GRD de parto o cesárea) de una mujer hospitalizada antes por su embarazo. El resto sí son complicaciones: trastornos del anteparto (17.932) y del posparto (4.482), entre otros. En el GRD, los trastornos del anteparto y del posparto pertenecen a la CDM 13 y los partos, a la CDM 14.</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Tasas preliminares</w:t>
            </w:r>
          </w:p>
        </w:tc>
        <w:tc>
          <w:tcPr>
            <w:tcW w:type="dxa" w:w="7226"/>
            <w:tcMar>
              <w:top w:type="dxa" w:w="70"/>
              <w:left w:type="dxa" w:w="100"/>
              <w:bottom w:type="dxa" w:w="70"/>
              <w:right w:type="dxa" w:w="100"/>
            </w:tcMar>
          </w:tcPr>
          <w:p>
            <w:pPr>
              <w:keepNext/>
              <w:spacing w:after="80" w:before="0"/>
            </w:pPr>
            <w:r>
              <w:rPr>
                <w:sz w:val="20"/>
                <w:szCs w:val="20"/>
              </w:rPr>
              <w:t xml:space="preserve">Sobre unos 5,15 millones de casos de estudio, según qué ingreso se cuente como reingreso:</w:t>
            </w:r>
          </w:p>
          <w:tbl>
            <w:tblPr>
              <w:tblW w:type="dxa" w:w="7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783"/>
              <w:gridCol w:w="783"/>
              <w:gridCol w:w="666"/>
              <w:gridCol w:w="1430"/>
              <w:gridCol w:w="1364"/>
            </w:tblGrid>
            <w:tr>
              <w:trPr>
                <w:cantSplit/>
                <w:tblHeader/>
              </w:trPr>
              <w:tc>
                <w:tcPr>
                  <w:tcW w:type="dxa" w:w="2783"/>
                  <w:shd w:fill="D9E2F3" w:color="auto" w:val="clear"/>
                  <w:tcMar>
                    <w:top w:type="dxa" w:w="70"/>
                    <w:left w:type="dxa" w:w="100"/>
                    <w:bottom w:type="dxa" w:w="70"/>
                    <w:right w:type="dxa" w:w="100"/>
                  </w:tcMar>
                  <w:vAlign w:val="center"/>
                </w:tcPr>
                <w:p>
                  <w:pPr>
                    <w:spacing w:after="0"/>
                  </w:pPr>
                  <w:r>
                    <w:rPr>
                      <w:b/>
                      <w:bCs/>
                      <w:sz w:val="18"/>
                      <w:szCs w:val="18"/>
                    </w:rPr>
                    <w:t xml:space="preserve">Qué cuenta como reingreso</w:t>
                  </w:r>
                </w:p>
              </w:tc>
              <w:tc>
                <w:tcPr>
                  <w:tcW w:type="dxa" w:w="783"/>
                  <w:shd w:fill="D9E2F3" w:color="auto" w:val="clear"/>
                  <w:tcMar>
                    <w:top w:type="dxa" w:w="70"/>
                    <w:left w:type="dxa" w:w="100"/>
                    <w:bottom w:type="dxa" w:w="70"/>
                    <w:right w:type="dxa" w:w="100"/>
                  </w:tcMar>
                  <w:vAlign w:val="center"/>
                </w:tcPr>
                <w:p>
                  <w:pPr>
                    <w:spacing w:after="0"/>
                  </w:pPr>
                  <w:r>
                    <w:rPr>
                      <w:b/>
                      <w:bCs/>
                      <w:sz w:val="18"/>
                      <w:szCs w:val="18"/>
                    </w:rPr>
                    <w:t xml:space="preserve">30 días</w:t>
                  </w:r>
                </w:p>
              </w:tc>
              <w:tc>
                <w:tcPr>
                  <w:tcW w:type="dxa" w:w="666"/>
                  <w:shd w:fill="D9E2F3" w:color="auto" w:val="clear"/>
                  <w:tcMar>
                    <w:top w:type="dxa" w:w="70"/>
                    <w:left w:type="dxa" w:w="100"/>
                    <w:bottom w:type="dxa" w:w="70"/>
                    <w:right w:type="dxa" w:w="100"/>
                  </w:tcMar>
                  <w:vAlign w:val="center"/>
                </w:tcPr>
                <w:p>
                  <w:pPr>
                    <w:spacing w:after="0"/>
                  </w:pPr>
                  <w:r>
                    <w:rPr>
                      <w:b/>
                      <w:bCs/>
                      <w:sz w:val="18"/>
                      <w:szCs w:val="18"/>
                    </w:rPr>
                    <w:t xml:space="preserve">7 días</w:t>
                  </w:r>
                </w:p>
              </w:tc>
              <w:tc>
                <w:tcPr>
                  <w:tcW w:type="dxa" w:w="1430"/>
                  <w:shd w:fill="D9E2F3" w:color="auto" w:val="clear"/>
                  <w:tcMar>
                    <w:top w:type="dxa" w:w="70"/>
                    <w:left w:type="dxa" w:w="100"/>
                    <w:bottom w:type="dxa" w:w="70"/>
                    <w:right w:type="dxa" w:w="100"/>
                  </w:tcMar>
                  <w:vAlign w:val="center"/>
                </w:tcPr>
                <w:p>
                  <w:pPr>
                    <w:spacing w:after="0"/>
                  </w:pPr>
                  <w:r>
                    <w:rPr>
                      <w:b/>
                      <w:bCs/>
                      <w:sz w:val="18"/>
                      <w:szCs w:val="18"/>
                    </w:rPr>
                    <w:t xml:space="preserve">30 días, misma CDM</w:t>
                  </w:r>
                </w:p>
              </w:tc>
              <w:tc>
                <w:tcPr>
                  <w:tcW w:type="dxa" w:w="1364"/>
                  <w:shd w:fill="D9E2F3" w:color="auto" w:val="clear"/>
                  <w:tcMar>
                    <w:top w:type="dxa" w:w="70"/>
                    <w:left w:type="dxa" w:w="100"/>
                    <w:bottom w:type="dxa" w:w="70"/>
                    <w:right w:type="dxa" w:w="100"/>
                  </w:tcMar>
                  <w:vAlign w:val="center"/>
                </w:tcPr>
                <w:p>
                  <w:pPr>
                    <w:spacing w:after="0"/>
                  </w:pPr>
                  <w:r>
                    <w:rPr>
                      <w:b/>
                      <w:bCs/>
                      <w:sz w:val="18"/>
                      <w:szCs w:val="18"/>
                    </w:rPr>
                    <w:t xml:space="preserve">7 días, misma CDM</w:t>
                  </w:r>
                </w:p>
              </w:tc>
            </w:tr>
            <w:tr>
              <w:trPr>
                <w:cantSplit/>
                <w:tblHeader w:val="off"/>
              </w:trPr>
              <w:tc>
                <w:tcPr>
                  <w:tcW w:type="dxa" w:w="2783"/>
                  <w:tcMar>
                    <w:top w:type="dxa" w:w="70"/>
                    <w:left w:type="dxa" w:w="100"/>
                    <w:bottom w:type="dxa" w:w="70"/>
                    <w:right w:type="dxa" w:w="100"/>
                  </w:tcMar>
                  <w:vAlign w:val="center"/>
                </w:tcPr>
                <w:p>
                  <w:pPr>
                    <w:spacing w:after="0"/>
                  </w:pPr>
                  <w:r>
                    <w:rPr>
                      <w:sz w:val="18"/>
                      <w:szCs w:val="18"/>
                    </w:rPr>
                    <w:t xml:space="preserve">Cualquier ingreso</w:t>
                  </w:r>
                </w:p>
              </w:tc>
              <w:tc>
                <w:tcPr>
                  <w:tcW w:type="dxa" w:w="783"/>
                  <w:tcMar>
                    <w:top w:type="dxa" w:w="70"/>
                    <w:left w:type="dxa" w:w="100"/>
                    <w:bottom w:type="dxa" w:w="70"/>
                    <w:right w:type="dxa" w:w="100"/>
                  </w:tcMar>
                  <w:vAlign w:val="center"/>
                </w:tcPr>
                <w:p>
                  <w:pPr>
                    <w:spacing w:after="0"/>
                  </w:pPr>
                  <w:r>
                    <w:rPr>
                      <w:sz w:val="18"/>
                      <w:szCs w:val="18"/>
                    </w:rPr>
                    <w:t xml:space="preserve">10,04 %</w:t>
                  </w:r>
                </w:p>
              </w:tc>
              <w:tc>
                <w:tcPr>
                  <w:tcW w:type="dxa" w:w="666"/>
                  <w:tcMar>
                    <w:top w:type="dxa" w:w="70"/>
                    <w:left w:type="dxa" w:w="100"/>
                    <w:bottom w:type="dxa" w:w="70"/>
                    <w:right w:type="dxa" w:w="100"/>
                  </w:tcMar>
                  <w:vAlign w:val="center"/>
                </w:tcPr>
                <w:p>
                  <w:pPr>
                    <w:spacing w:after="0"/>
                  </w:pPr>
                  <w:r>
                    <w:rPr>
                      <w:sz w:val="18"/>
                      <w:szCs w:val="18"/>
                    </w:rPr>
                    <w:t xml:space="preserve">3,67 %</w:t>
                  </w:r>
                </w:p>
              </w:tc>
              <w:tc>
                <w:tcPr>
                  <w:tcW w:type="dxa" w:w="1430"/>
                  <w:tcMar>
                    <w:top w:type="dxa" w:w="70"/>
                    <w:left w:type="dxa" w:w="100"/>
                    <w:bottom w:type="dxa" w:w="70"/>
                    <w:right w:type="dxa" w:w="100"/>
                  </w:tcMar>
                  <w:vAlign w:val="center"/>
                </w:tcPr>
                <w:p>
                  <w:pPr>
                    <w:spacing w:after="0"/>
                  </w:pPr>
                  <w:r>
                    <w:rPr>
                      <w:sz w:val="18"/>
                      <w:szCs w:val="18"/>
                    </w:rPr>
                    <w:t xml:space="preserve">5,42 %</w:t>
                  </w:r>
                </w:p>
              </w:tc>
              <w:tc>
                <w:tcPr>
                  <w:tcW w:type="dxa" w:w="1364"/>
                  <w:tcMar>
                    <w:top w:type="dxa" w:w="70"/>
                    <w:left w:type="dxa" w:w="100"/>
                    <w:bottom w:type="dxa" w:w="70"/>
                    <w:right w:type="dxa" w:w="100"/>
                  </w:tcMar>
                  <w:vAlign w:val="center"/>
                </w:tcPr>
                <w:p>
                  <w:pPr>
                    <w:spacing w:after="0"/>
                  </w:pPr>
                  <w:r>
                    <w:rPr>
                      <w:sz w:val="18"/>
                      <w:szCs w:val="18"/>
                    </w:rPr>
                    <w:t xml:space="preserve">2,05 %</w:t>
                  </w:r>
                </w:p>
              </w:tc>
            </w:tr>
            <w:tr>
              <w:trPr>
                <w:cantSplit/>
                <w:tblHeader w:val="off"/>
              </w:trPr>
              <w:tc>
                <w:tcPr>
                  <w:tcW w:type="dxa" w:w="2783"/>
                  <w:tcMar>
                    <w:top w:type="dxa" w:w="70"/>
                    <w:left w:type="dxa" w:w="100"/>
                    <w:bottom w:type="dxa" w:w="70"/>
                    <w:right w:type="dxa" w:w="100"/>
                  </w:tcMar>
                  <w:vAlign w:val="center"/>
                </w:tcPr>
                <w:p>
                  <w:pPr>
                    <w:spacing w:after="0"/>
                  </w:pPr>
                  <w:r>
                    <w:rPr>
                      <w:sz w:val="18"/>
                      <w:szCs w:val="18"/>
                    </w:rPr>
                    <w:t xml:space="preserve">No programado (urgencia y obstétrico)</w:t>
                  </w:r>
                </w:p>
              </w:tc>
              <w:tc>
                <w:tcPr>
                  <w:tcW w:type="dxa" w:w="783"/>
                  <w:tcMar>
                    <w:top w:type="dxa" w:w="70"/>
                    <w:left w:type="dxa" w:w="100"/>
                    <w:bottom w:type="dxa" w:w="70"/>
                    <w:right w:type="dxa" w:w="100"/>
                  </w:tcMar>
                  <w:vAlign w:val="center"/>
                </w:tcPr>
                <w:p>
                  <w:pPr>
                    <w:spacing w:after="0"/>
                  </w:pPr>
                  <w:r>
                    <w:rPr>
                      <w:sz w:val="18"/>
                      <w:szCs w:val="18"/>
                    </w:rPr>
                    <w:t xml:space="preserve">6,21 %</w:t>
                  </w:r>
                </w:p>
              </w:tc>
              <w:tc>
                <w:tcPr>
                  <w:tcW w:type="dxa" w:w="666"/>
                  <w:tcMar>
                    <w:top w:type="dxa" w:w="70"/>
                    <w:left w:type="dxa" w:w="100"/>
                    <w:bottom w:type="dxa" w:w="70"/>
                    <w:right w:type="dxa" w:w="100"/>
                  </w:tcMar>
                  <w:vAlign w:val="center"/>
                </w:tcPr>
                <w:p>
                  <w:pPr>
                    <w:spacing w:after="0"/>
                  </w:pPr>
                  <w:r>
                    <w:rPr>
                      <w:sz w:val="18"/>
                      <w:szCs w:val="18"/>
                    </w:rPr>
                    <w:t xml:space="preserve">2,18 %</w:t>
                  </w:r>
                </w:p>
              </w:tc>
              <w:tc>
                <w:tcPr>
                  <w:tcW w:type="dxa" w:w="1430"/>
                  <w:tcMar>
                    <w:top w:type="dxa" w:w="70"/>
                    <w:left w:type="dxa" w:w="100"/>
                    <w:bottom w:type="dxa" w:w="70"/>
                    <w:right w:type="dxa" w:w="100"/>
                  </w:tcMar>
                  <w:vAlign w:val="center"/>
                </w:tcPr>
                <w:p>
                  <w:pPr>
                    <w:spacing w:after="0"/>
                  </w:pPr>
                  <w:r>
                    <w:rPr>
                      <w:sz w:val="18"/>
                      <w:szCs w:val="18"/>
                    </w:rPr>
                    <w:t xml:space="preserve">2,52 %</w:t>
                  </w:r>
                </w:p>
              </w:tc>
              <w:tc>
                <w:tcPr>
                  <w:tcW w:type="dxa" w:w="1364"/>
                  <w:tcMar>
                    <w:top w:type="dxa" w:w="70"/>
                    <w:left w:type="dxa" w:w="100"/>
                    <w:bottom w:type="dxa" w:w="70"/>
                    <w:right w:type="dxa" w:w="100"/>
                  </w:tcMar>
                  <w:vAlign w:val="center"/>
                </w:tcPr>
                <w:p>
                  <w:pPr>
                    <w:spacing w:after="0"/>
                  </w:pPr>
                  <w:r>
                    <w:rPr>
                      <w:sz w:val="18"/>
                      <w:szCs w:val="18"/>
                    </w:rPr>
                    <w:t xml:space="preserve">0,91 %</w:t>
                  </w:r>
                </w:p>
              </w:tc>
            </w:tr>
            <w:tr>
              <w:trPr>
                <w:cantSplit/>
                <w:tblHeader w:val="off"/>
              </w:trPr>
              <w:tc>
                <w:tcPr>
                  <w:tcW w:type="dxa" w:w="2783"/>
                  <w:tcMar>
                    <w:top w:type="dxa" w:w="70"/>
                    <w:left w:type="dxa" w:w="100"/>
                    <w:bottom w:type="dxa" w:w="70"/>
                    <w:right w:type="dxa" w:w="100"/>
                  </w:tcMar>
                  <w:vAlign w:val="center"/>
                </w:tcPr>
                <w:p>
                  <w:pPr>
                    <w:spacing w:after="0"/>
                  </w:pPr>
                  <w:r>
                    <w:rPr>
                      <w:sz w:val="18"/>
                      <w:szCs w:val="18"/>
                    </w:rPr>
                    <w:t xml:space="preserve">No programado y sin partos</w:t>
                  </w:r>
                </w:p>
              </w:tc>
              <w:tc>
                <w:tcPr>
                  <w:tcW w:type="dxa" w:w="783"/>
                  <w:tcMar>
                    <w:top w:type="dxa" w:w="70"/>
                    <w:left w:type="dxa" w:w="100"/>
                    <w:bottom w:type="dxa" w:w="70"/>
                    <w:right w:type="dxa" w:w="100"/>
                  </w:tcMar>
                  <w:vAlign w:val="center"/>
                </w:tcPr>
                <w:p>
                  <w:pPr>
                    <w:spacing w:after="0"/>
                  </w:pPr>
                  <w:r>
                    <w:rPr>
                      <w:sz w:val="18"/>
                      <w:szCs w:val="18"/>
                    </w:rPr>
                    <w:t xml:space="preserve">5,16 %</w:t>
                  </w:r>
                </w:p>
              </w:tc>
              <w:tc>
                <w:tcPr>
                  <w:tcW w:type="dxa" w:w="666"/>
                  <w:tcMar>
                    <w:top w:type="dxa" w:w="70"/>
                    <w:left w:type="dxa" w:w="100"/>
                    <w:bottom w:type="dxa" w:w="70"/>
                    <w:right w:type="dxa" w:w="100"/>
                  </w:tcMar>
                  <w:vAlign w:val="center"/>
                </w:tcPr>
                <w:p>
                  <w:pPr>
                    <w:spacing w:after="0"/>
                  </w:pPr>
                  <w:r>
                    <w:rPr>
                      <w:sz w:val="18"/>
                      <w:szCs w:val="18"/>
                    </w:rPr>
                    <w:t xml:space="preserve">1,81 %</w:t>
                  </w:r>
                </w:p>
              </w:tc>
              <w:tc>
                <w:tcPr>
                  <w:tcW w:type="dxa" w:w="1430"/>
                  <w:tcMar>
                    <w:top w:type="dxa" w:w="70"/>
                    <w:left w:type="dxa" w:w="100"/>
                    <w:bottom w:type="dxa" w:w="70"/>
                    <w:right w:type="dxa" w:w="100"/>
                  </w:tcMar>
                  <w:vAlign w:val="center"/>
                </w:tcPr>
                <w:p>
                  <w:pPr>
                    <w:spacing w:after="0"/>
                  </w:pPr>
                  <w:r>
                    <w:rPr>
                      <w:sz w:val="18"/>
                      <w:szCs w:val="18"/>
                    </w:rPr>
                    <w:t xml:space="preserve">2,52 %</w:t>
                  </w:r>
                </w:p>
              </w:tc>
              <w:tc>
                <w:tcPr>
                  <w:tcW w:type="dxa" w:w="1364"/>
                  <w:tcMar>
                    <w:top w:type="dxa" w:w="70"/>
                    <w:left w:type="dxa" w:w="100"/>
                    <w:bottom w:type="dxa" w:w="70"/>
                    <w:right w:type="dxa" w:w="100"/>
                  </w:tcMar>
                  <w:vAlign w:val="center"/>
                </w:tcPr>
                <w:p>
                  <w:pPr>
                    <w:spacing w:after="0"/>
                  </w:pPr>
                  <w:r>
                    <w:rPr>
                      <w:sz w:val="18"/>
                      <w:szCs w:val="18"/>
                    </w:rPr>
                    <w:t xml:space="preserve">0,91 %</w:t>
                  </w:r>
                </w:p>
              </w:tc>
            </w:tr>
            <w:tr>
              <w:trPr>
                <w:cantSplit/>
                <w:tblHeader w:val="off"/>
              </w:trPr>
              <w:tc>
                <w:tcPr>
                  <w:tcW w:type="dxa" w:w="2783"/>
                  <w:tcMar>
                    <w:top w:type="dxa" w:w="70"/>
                    <w:left w:type="dxa" w:w="100"/>
                    <w:bottom w:type="dxa" w:w="70"/>
                    <w:right w:type="dxa" w:w="100"/>
                  </w:tcMar>
                  <w:vAlign w:val="center"/>
                </w:tcPr>
                <w:p>
                  <w:pPr>
                    <w:spacing w:after="0"/>
                  </w:pPr>
                  <w:r>
                    <w:rPr>
                      <w:sz w:val="18"/>
                      <w:szCs w:val="18"/>
                    </w:rPr>
                    <w:t xml:space="preserve">Solo urgencia</w:t>
                  </w:r>
                </w:p>
              </w:tc>
              <w:tc>
                <w:tcPr>
                  <w:tcW w:type="dxa" w:w="783"/>
                  <w:tcMar>
                    <w:top w:type="dxa" w:w="70"/>
                    <w:left w:type="dxa" w:w="100"/>
                    <w:bottom w:type="dxa" w:w="70"/>
                    <w:right w:type="dxa" w:w="100"/>
                  </w:tcMar>
                  <w:vAlign w:val="center"/>
                </w:tcPr>
                <w:p>
                  <w:pPr>
                    <w:spacing w:after="0"/>
                  </w:pPr>
                  <w:r>
                    <w:rPr>
                      <w:sz w:val="18"/>
                      <w:szCs w:val="18"/>
                    </w:rPr>
                    <w:t xml:space="preserve">4,50 %</w:t>
                  </w:r>
                </w:p>
              </w:tc>
              <w:tc>
                <w:tcPr>
                  <w:tcW w:type="dxa" w:w="666"/>
                  <w:tcMar>
                    <w:top w:type="dxa" w:w="70"/>
                    <w:left w:type="dxa" w:w="100"/>
                    <w:bottom w:type="dxa" w:w="70"/>
                    <w:right w:type="dxa" w:w="100"/>
                  </w:tcMar>
                  <w:vAlign w:val="center"/>
                </w:tcPr>
                <w:p>
                  <w:pPr>
                    <w:spacing w:after="0"/>
                  </w:pPr>
                  <w:r>
                    <w:rPr>
                      <w:sz w:val="18"/>
                      <w:szCs w:val="18"/>
                    </w:rPr>
                    <w:t xml:space="preserve">1,54 %</w:t>
                  </w:r>
                </w:p>
              </w:tc>
              <w:tc>
                <w:tcPr>
                  <w:tcW w:type="dxa" w:w="1430"/>
                  <w:tcMar>
                    <w:top w:type="dxa" w:w="70"/>
                    <w:left w:type="dxa" w:w="100"/>
                    <w:bottom w:type="dxa" w:w="70"/>
                    <w:right w:type="dxa" w:w="100"/>
                  </w:tcMar>
                  <w:vAlign w:val="center"/>
                </w:tcPr>
                <w:p>
                  <w:pPr>
                    <w:spacing w:after="0"/>
                  </w:pPr>
                  <w:r>
                    <w:rPr>
                      <w:sz w:val="18"/>
                      <w:szCs w:val="18"/>
                    </w:rPr>
                    <w:t xml:space="preserve">2,05 %</w:t>
                  </w:r>
                </w:p>
              </w:tc>
              <w:tc>
                <w:tcPr>
                  <w:tcW w:type="dxa" w:w="1364"/>
                  <w:tcMar>
                    <w:top w:type="dxa" w:w="70"/>
                    <w:left w:type="dxa" w:w="100"/>
                    <w:bottom w:type="dxa" w:w="70"/>
                    <w:right w:type="dxa" w:w="100"/>
                  </w:tcMar>
                  <w:vAlign w:val="center"/>
                </w:tcPr>
                <w:p>
                  <w:pPr>
                    <w:spacing w:after="0"/>
                  </w:pPr>
                  <w:r>
                    <w:rPr>
                      <w:sz w:val="18"/>
                      <w:szCs w:val="18"/>
                    </w:rPr>
                    <w:t xml:space="preserve">0,74 %</w:t>
                  </w:r>
                </w:p>
              </w:tc>
            </w:tr>
          </w:tbl>
          <w:p>
            <w:pPr>
              <w:spacing w:after="0"/>
            </w:pP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Evidencia</w:t>
            </w:r>
          </w:p>
        </w:tc>
        <w:tc>
          <w:tcPr>
            <w:tcW w:type="dxa" w:w="7226"/>
            <w:tcMar>
              <w:top w:type="dxa" w:w="70"/>
              <w:left w:type="dxa" w:w="100"/>
              <w:bottom w:type="dxa" w:w="70"/>
              <w:right w:type="dxa" w:w="100"/>
            </w:tcMar>
          </w:tcPr>
          <w:p>
            <w:pPr>
              <w:keepNext w:val="false"/>
              <w:spacing w:after="0" w:before="0"/>
            </w:pPr>
            <w:r>
              <w:rPr>
                <w:sz w:val="20"/>
                <w:szCs w:val="20"/>
              </w:rPr>
              <w:t xml:space="preserve">exploración del 5 de octubre de 2026 sobre la tabla integrada. Son cifras preliminares: las definitivas las entrega el script 09.</w:t>
            </w:r>
          </w:p>
        </w:tc>
      </w:tr>
    </w:tbl>
    <w:p>
      <w:pPr>
        <w:pStyle w:val="Heading2"/>
      </w:pPr>
      <w:bookmarkStart w:name="E_D20" w:id="6"/>
      <w:r>
        <w:rPr>
          <w:color w:val="548235"/>
        </w:rPr>
        <w:t xml:space="preserve">D20</w:t>
      </w:r>
      <w:bookmarkEnd w:id="6"/>
      <w:r>
        <w:t xml:space="preserve"> · Qué ingreso cuenta como reingreso</w:t>
      </w:r>
    </w:p>
    <w:p>
      <w:pPr>
        <w:keepNext/>
        <w:spacing w:after="100"/>
      </w:pPr>
      <w:r>
        <w:rPr>
          <w:b/>
          <w:bCs/>
          <w:color w:val="548235"/>
          <w:sz w:val="18"/>
          <w:szCs w:val="18"/>
        </w:rPr>
        <w:t xml:space="preserve">Decisión</w:t>
      </w:r>
      <w:r>
        <w:rPr>
          <w:color w:val="808080"/>
          <w:sz w:val="18"/>
          <w:szCs w:val="18"/>
        </w:rPr>
        <w:t xml:space="preserve">  ·  6 de octubre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2.2</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Decisión</w:t>
            </w:r>
          </w:p>
        </w:tc>
        <w:tc>
          <w:tcPr>
            <w:tcW w:type="dxa" w:w="7226"/>
            <w:tcMar>
              <w:top w:type="dxa" w:w="70"/>
              <w:left w:type="dxa" w:w="100"/>
              <w:bottom w:type="dxa" w:w="70"/>
              <w:right w:type="dxa" w:w="100"/>
            </w:tcMar>
          </w:tcPr>
          <w:p>
            <w:pPr>
              <w:keepNext/>
              <w:spacing w:after="0" w:before="0"/>
            </w:pPr>
            <w:r>
              <w:rPr>
                <w:sz w:val="20"/>
                <w:szCs w:val="20"/>
              </w:rPr>
              <w:t xml:space="preserve">En la etiqueta principal cuenta como reingreso un ingreso no planificado: por urgencia u obstétrico, siempre que no sea un parto ni una cesárea (GRD que comienza con 146 o 147). Los ingresos programados no cuentan. Además se calculan las cuatro variables contando cualquier ingreso, como análisis de sensibilidad.</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Ventana</w:t>
            </w:r>
          </w:p>
        </w:tc>
        <w:tc>
          <w:tcPr>
            <w:tcW w:type="dxa" w:w="7226"/>
            <w:tcMar>
              <w:top w:type="dxa" w:w="70"/>
              <w:left w:type="dxa" w:w="100"/>
              <w:bottom w:type="dxa" w:w="70"/>
              <w:right w:type="dxa" w:w="100"/>
            </w:tcMar>
          </w:tcPr>
          <w:p>
            <w:pPr>
              <w:keepNext/>
              <w:spacing w:after="0" w:before="0"/>
            </w:pPr>
            <w:r>
              <w:rPr>
                <w:sz w:val="20"/>
                <w:szCs w:val="20"/>
              </w:rPr>
              <w:t xml:space="preserve">Los días se cuentan desde el alta final del episodio asistencial hasta el ingreso que abre el episodio siguiente de la misma persona. El día 0 cuenta (</w:t>
            </w:r>
            <w:hyperlink w:history="1" w:anchor="E_D19">
              <w:r>
                <w:rPr>
                  <w:color w:val="0563C1"/>
                  <w:sz w:val="20"/>
                  <w:szCs w:val="20"/>
                  <w:u w:val="single"/>
                </w:rPr>
                <w:t xml:space="preserve">D19</w:t>
              </w:r>
            </w:hyperlink>
            <w:r>
              <w:rPr>
                <w:sz w:val="20"/>
                <w:szCs w:val="20"/>
              </w:rPr>
              <w:t xml:space="preserve">).</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Reingreso relacionado</w:t>
            </w:r>
          </w:p>
        </w:tc>
        <w:tc>
          <w:tcPr>
            <w:tcW w:type="dxa" w:w="7226"/>
            <w:tcMar>
              <w:top w:type="dxa" w:w="70"/>
              <w:left w:type="dxa" w:w="100"/>
              <w:bottom w:type="dxa" w:w="70"/>
              <w:right w:type="dxa" w:w="100"/>
            </w:tcMar>
          </w:tcPr>
          <w:p>
            <w:pPr>
              <w:keepNext/>
              <w:spacing w:after="0" w:before="0"/>
            </w:pPr>
            <w:r>
              <w:rPr>
                <w:sz w:val="20"/>
                <w:szCs w:val="20"/>
              </w:rPr>
              <w:t xml:space="preserve">Se cumple si algún ingreso dentro de la ventana tiene la misma CDM que el caso de estudio, no solo el primero. Un reingreso con CDM 99 no cuenta como relacionado (D08).</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Fundamento</w:t>
            </w:r>
          </w:p>
        </w:tc>
        <w:tc>
          <w:tcPr>
            <w:tcW w:type="dxa" w:w="7226"/>
            <w:tcMar>
              <w:top w:type="dxa" w:w="70"/>
              <w:left w:type="dxa" w:w="100"/>
              <w:bottom w:type="dxa" w:w="70"/>
              <w:right w:type="dxa" w:w="100"/>
            </w:tcMar>
          </w:tcPr>
          <w:p>
            <w:pPr>
              <w:keepNext/>
              <w:spacing w:after="0" w:before="0"/>
            </w:pPr>
            <w:r>
              <w:rPr>
                <w:sz w:val="20"/>
                <w:szCs w:val="20"/>
              </w:rPr>
              <w:t xml:space="preserve">El resumen de la propuesta habla de reingresos no planificados; la sección de datos define el reingreso como «una admisión posterior», sin filtrar. Con las dos versiones calculadas, la elección no obliga a rehacer el trabajo.</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Consecuencia</w:t>
            </w:r>
          </w:p>
        </w:tc>
        <w:tc>
          <w:tcPr>
            <w:tcW w:type="dxa" w:w="7226"/>
            <w:tcMar>
              <w:top w:type="dxa" w:w="70"/>
              <w:left w:type="dxa" w:w="100"/>
              <w:bottom w:type="dxa" w:w="70"/>
              <w:right w:type="dxa" w:w="100"/>
            </w:tcMar>
          </w:tcPr>
          <w:p>
            <w:pPr>
              <w:keepNext/>
              <w:spacing w:after="0" w:before="0"/>
            </w:pPr>
            <w:r>
              <w:rPr>
                <w:sz w:val="20"/>
                <w:szCs w:val="20"/>
              </w:rPr>
              <w:t xml:space="preserve">Es la decisión que más cambia la prevalencia: de 10,0 % a 5,2 % a 30 días (</w:t>
            </w:r>
            <w:hyperlink w:history="1" w:anchor="E_H15">
              <w:r>
                <w:rPr>
                  <w:color w:val="0563C1"/>
                  <w:sz w:val="20"/>
                  <w:szCs w:val="20"/>
                  <w:u w:val="single"/>
                </w:rPr>
                <w:t xml:space="preserve">H15</w:t>
              </w:r>
            </w:hyperlink>
            <w:r>
              <w:rPr>
                <w:sz w:val="20"/>
                <w:szCs w:val="20"/>
              </w:rPr>
              <w:t xml:space="preserve">).</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Estado</w:t>
            </w:r>
          </w:p>
        </w:tc>
        <w:tc>
          <w:tcPr>
            <w:tcW w:type="dxa" w:w="7226"/>
            <w:tcMar>
              <w:top w:type="dxa" w:w="70"/>
              <w:left w:type="dxa" w:w="100"/>
              <w:bottom w:type="dxa" w:w="70"/>
              <w:right w:type="dxa" w:w="100"/>
            </w:tcMar>
          </w:tcPr>
          <w:p>
            <w:pPr>
              <w:keepNext w:val="false"/>
              <w:spacing w:after="0" w:before="0"/>
            </w:pPr>
            <w:r>
              <w:rPr>
                <w:sz w:val="20"/>
                <w:szCs w:val="20"/>
              </w:rPr>
              <w:t xml:space="preserve">Adoptada; se aplica en el script 09. Reemplazada en parte por </w:t>
            </w:r>
            <w:hyperlink w:history="1" w:anchor="E_D26">
              <w:r>
                <w:rPr>
                  <w:color w:val="0563C1"/>
                  <w:sz w:val="20"/>
                  <w:szCs w:val="20"/>
                  <w:u w:val="single"/>
                </w:rPr>
                <w:t xml:space="preserve">D26</w:t>
              </w:r>
            </w:hyperlink>
            <w:r>
              <w:rPr>
                <w:sz w:val="20"/>
                <w:szCs w:val="20"/>
              </w:rPr>
              <w:t xml:space="preserve">: no se guardan las variables calculadas con cualquier ingreso. Pendiente de validar con profesor guía.</w:t>
            </w:r>
          </w:p>
        </w:tc>
      </w:tr>
    </w:tbl>
    <w:p>
      <w:pPr>
        <w:pStyle w:val="Heading2"/>
      </w:pPr>
      <w:bookmarkStart w:name="E_D21" w:id="7"/>
      <w:r>
        <w:rPr>
          <w:color w:val="548235"/>
        </w:rPr>
        <w:t xml:space="preserve">D21</w:t>
      </w:r>
      <w:bookmarkEnd w:id="7"/>
      <w:r>
        <w:t xml:space="preserve"> · Egresos sin identificador, sin fechas válidas o con datos básicos faltantes</w:t>
      </w:r>
    </w:p>
    <w:p>
      <w:pPr>
        <w:keepNext/>
        <w:spacing w:after="100"/>
      </w:pPr>
      <w:r>
        <w:rPr>
          <w:b/>
          <w:bCs/>
          <w:color w:val="548235"/>
          <w:sz w:val="18"/>
          <w:szCs w:val="18"/>
        </w:rPr>
        <w:t xml:space="preserve">Decisión</w:t>
      </w:r>
      <w:r>
        <w:rPr>
          <w:color w:val="808080"/>
          <w:sz w:val="18"/>
          <w:szCs w:val="18"/>
        </w:rPr>
        <w:t xml:space="preserve">  ·  6 de octubre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2.2</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Sin identificador</w:t>
            </w:r>
          </w:p>
        </w:tc>
        <w:tc>
          <w:tcPr>
            <w:tcW w:type="dxa" w:w="7226"/>
            <w:tcMar>
              <w:top w:type="dxa" w:w="70"/>
              <w:left w:type="dxa" w:w="100"/>
              <w:bottom w:type="dxa" w:w="70"/>
              <w:right w:type="dxa" w:w="100"/>
            </w:tcMar>
          </w:tcPr>
          <w:p>
            <w:pPr>
              <w:keepNext/>
              <w:spacing w:after="0" w:before="0"/>
            </w:pPr>
            <w:r>
              <w:rPr>
                <w:sz w:val="20"/>
                <w:szCs w:val="20"/>
              </w:rPr>
              <w:t xml:space="preserve">Los 17.864 egresos sin identificador de paciente (8.307 de 2019) quedan fuera como caso de estudio y como reingreso, porque no se pueden seguir (criterio E01). De ellos, 5.246 son recién nacidos de menos de 28 días; de los otros 12.618, el 85 % tiene una nacionalidad distinta de la chilena y el 55 %, previsión «particular». Los 2.481 egresos con identificador genérico reciben el mismo tratamiento (E02, </w:t>
            </w:r>
            <w:hyperlink w:history="1" w:anchor="E_D18">
              <w:r>
                <w:rPr>
                  <w:color w:val="0563C1"/>
                  <w:sz w:val="20"/>
                  <w:szCs w:val="20"/>
                  <w:u w:val="single"/>
                </w:rPr>
                <w:t xml:space="preserve">D18</w:t>
              </w:r>
            </w:hyperlink>
            <w:r>
              <w:rPr>
                <w:sz w:val="20"/>
                <w:szCs w:val="20"/>
              </w:rPr>
              <w:t xml:space="preserve">).</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Fechas</w:t>
            </w:r>
          </w:p>
        </w:tc>
        <w:tc>
          <w:tcPr>
            <w:tcW w:type="dxa" w:w="7226"/>
            <w:tcMar>
              <w:top w:type="dxa" w:w="70"/>
              <w:left w:type="dxa" w:w="100"/>
              <w:bottom w:type="dxa" w:w="70"/>
              <w:right w:type="dxa" w:w="100"/>
            </w:tcMar>
          </w:tcPr>
          <w:p>
            <w:pPr>
              <w:keepNext/>
              <w:spacing w:after="0" w:before="0"/>
            </w:pPr>
            <w:r>
              <w:rPr>
                <w:sz w:val="20"/>
                <w:szCs w:val="20"/>
              </w:rPr>
              <w:t xml:space="preserve">Los egresos sin fecha de ingreso (71, de los cuales 18 tampoco tienen fecha de alta) o con el alta anterior al ingreso (12) quedan fuera en los dos papeles (E03, 83 egresos). No se corrigen: no se puede saber cuál de las dos fechas es la errónea.</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Datos básicos</w:t>
            </w:r>
          </w:p>
        </w:tc>
        <w:tc>
          <w:tcPr>
            <w:tcW w:type="dxa" w:w="7226"/>
            <w:tcMar>
              <w:top w:type="dxa" w:w="70"/>
              <w:left w:type="dxa" w:w="100"/>
              <w:bottom w:type="dxa" w:w="70"/>
              <w:right w:type="dxa" w:w="100"/>
            </w:tcMar>
          </w:tcPr>
          <w:p>
            <w:pPr>
              <w:keepNext/>
              <w:spacing w:after="0" w:before="0"/>
            </w:pPr>
            <w:r>
              <w:rPr>
                <w:sz w:val="20"/>
                <w:szCs w:val="20"/>
              </w:rPr>
              <w:t xml:space="preserve">No son caso de estudio, pero sí pueden contar como reingreso, los egresos sin fecha de nacimiento (37), con fecha de nacimiento posterior al ingreso (1), con más de 110 años al ingreso (26) o sin tipo de alta (101) (E10, 149 egresos).</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Se conservan</w:t>
            </w:r>
          </w:p>
        </w:tc>
        <w:tc>
          <w:tcPr>
            <w:tcW w:type="dxa" w:w="7226"/>
            <w:tcMar>
              <w:top w:type="dxa" w:w="70"/>
              <w:left w:type="dxa" w:w="100"/>
              <w:bottom w:type="dxa" w:w="70"/>
              <w:right w:type="dxa" w:w="100"/>
            </w:tcMar>
          </w:tcPr>
          <w:p>
            <w:pPr>
              <w:keepNext/>
              <w:spacing w:after="0" w:before="0"/>
            </w:pPr>
            <w:r>
              <w:rPr>
                <w:sz w:val="20"/>
                <w:szCs w:val="20"/>
              </w:rPr>
              <w:t xml:space="preserve">Las 578 estadías de más de un año.</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Completa a</w:t>
            </w:r>
          </w:p>
        </w:tc>
        <w:tc>
          <w:tcPr>
            <w:tcW w:type="dxa" w:w="7226"/>
            <w:tcMar>
              <w:top w:type="dxa" w:w="70"/>
              <w:left w:type="dxa" w:w="100"/>
              <w:bottom w:type="dxa" w:w="70"/>
              <w:right w:type="dxa" w:w="100"/>
            </w:tcMar>
          </w:tcPr>
          <w:p>
            <w:pPr>
              <w:keepNext/>
              <w:spacing w:after="0" w:before="0"/>
            </w:pPr>
            <w:r>
              <w:rPr>
                <w:sz w:val="20"/>
                <w:szCs w:val="20"/>
              </w:rPr>
              <w:t xml:space="preserve">H10 de </w:t>
            </w:r>
            <w:r>
              <w:rPr>
                <w:rFonts w:ascii="Consolas" w:cs="Consolas" w:eastAsia="Consolas" w:hAnsi="Consolas"/>
                <w:sz w:val="18"/>
                <w:szCs w:val="18"/>
                <w:shd w:fill="F2F2F2" w:color="auto" w:val="clear"/>
              </w:rPr>
              <w:t xml:space="preserve">docs/bitacora.md</w:t>
            </w:r>
            <w:r>
              <w:rPr>
                <w:sz w:val="20"/>
                <w:szCs w:val="20"/>
              </w:rPr>
              <w:t xml:space="preserve">.</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Estado</w:t>
            </w:r>
          </w:p>
        </w:tc>
        <w:tc>
          <w:tcPr>
            <w:tcW w:type="dxa" w:w="7226"/>
            <w:tcMar>
              <w:top w:type="dxa" w:w="70"/>
              <w:left w:type="dxa" w:w="100"/>
              <w:bottom w:type="dxa" w:w="70"/>
              <w:right w:type="dxa" w:w="100"/>
            </w:tcMar>
          </w:tcPr>
          <w:p>
            <w:pPr>
              <w:keepNext w:val="false"/>
              <w:spacing w:after="0" w:before="0"/>
            </w:pPr>
            <w:r>
              <w:rPr>
                <w:sz w:val="20"/>
                <w:szCs w:val="20"/>
              </w:rPr>
              <w:t xml:space="preserve">Adoptada. Pendiente de validar con profesor guía.</w:t>
            </w:r>
          </w:p>
        </w:tc>
      </w:tr>
    </w:tbl>
    <w:p>
      <w:pPr>
        <w:pStyle w:val="Heading2"/>
      </w:pPr>
      <w:bookmarkStart w:name="E_H16" w:id="8"/>
      <w:r>
        <w:rPr>
          <w:color w:val="2E75B6"/>
        </w:rPr>
        <w:t xml:space="preserve">H16</w:t>
      </w:r>
      <w:bookmarkEnd w:id="8"/>
      <w:r>
        <w:t xml:space="preserve"> · Un reingreso solo se ve si su alta ocurre antes del cierre del bloque</w:t>
      </w:r>
    </w:p>
    <w:p>
      <w:pPr>
        <w:keepNext/>
        <w:spacing w:after="100"/>
      </w:pPr>
      <w:r>
        <w:rPr>
          <w:b/>
          <w:bCs/>
          <w:color w:val="2E75B6"/>
          <w:sz w:val="18"/>
          <w:szCs w:val="18"/>
        </w:rPr>
        <w:t xml:space="preserve">Hallazgo</w:t>
      </w:r>
      <w:r>
        <w:rPr>
          <w:color w:val="808080"/>
          <w:sz w:val="18"/>
          <w:szCs w:val="18"/>
        </w:rPr>
        <w:t xml:space="preserve">  ·  6 de octubre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2.2</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Hallazgo</w:t>
            </w:r>
          </w:p>
        </w:tc>
        <w:tc>
          <w:tcPr>
            <w:tcW w:type="dxa" w:w="7226"/>
            <w:tcMar>
              <w:top w:type="dxa" w:w="70"/>
              <w:left w:type="dxa" w:w="100"/>
              <w:bottom w:type="dxa" w:w="70"/>
              <w:right w:type="dxa" w:w="100"/>
            </w:tcMar>
          </w:tcPr>
          <w:p>
            <w:pPr>
              <w:keepNext/>
              <w:spacing w:after="0" w:before="0"/>
            </w:pPr>
            <w:r>
              <w:rPr>
                <w:sz w:val="20"/>
                <w:szCs w:val="20"/>
              </w:rPr>
              <w:t xml:space="preserve">Los archivos están organizados por año de alta (H10). Un reingreso que comienza en diciembre de 2024 y termina en 2025 no está en la base, aunque su ingreso caiga dentro de la ventana de 30 días. Lo mismo ocurre en diciembre de 2020, al cierre del bloque A.</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Magnitud</w:t>
            </w:r>
          </w:p>
        </w:tc>
        <w:tc>
          <w:tcPr>
            <w:tcW w:type="dxa" w:w="7226"/>
            <w:tcMar>
              <w:top w:type="dxa" w:w="70"/>
              <w:left w:type="dxa" w:w="100"/>
              <w:bottom w:type="dxa" w:w="70"/>
              <w:right w:type="dxa" w:w="100"/>
            </w:tcMar>
          </w:tcPr>
          <w:p>
            <w:pPr>
              <w:keepNext/>
              <w:spacing w:after="0" w:before="0"/>
            </w:pPr>
            <w:r>
              <w:rPr>
                <w:sz w:val="20"/>
                <w:szCs w:val="20"/>
              </w:rPr>
              <w:t xml:space="preserve">Medido en los años que sí tienen el año siguiente disponible (2021, 2022 y 2023): entre las altas ocurridas de 31 a 60 días antes del 31 de diciembre, del 4,2 % al 4,9 % de sus reingresos a 30 días tiene el alta después de esa fecha; entre las ocurridas de 61 a 90 días antes, el 0,9 %.</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Consecuencia</w:t>
            </w:r>
          </w:p>
        </w:tc>
        <w:tc>
          <w:tcPr>
            <w:tcW w:type="dxa" w:w="7226"/>
            <w:tcMar>
              <w:top w:type="dxa" w:w="70"/>
              <w:left w:type="dxa" w:w="100"/>
              <w:bottom w:type="dxa" w:w="70"/>
              <w:right w:type="dxa" w:w="100"/>
            </w:tcMar>
          </w:tcPr>
          <w:p>
            <w:pPr>
              <w:keepNext/>
              <w:spacing w:after="0" w:before="0"/>
            </w:pPr>
            <w:r>
              <w:rPr>
                <w:sz w:val="20"/>
                <w:szCs w:val="20"/>
              </w:rPr>
              <w:t xml:space="preserve">Con una censura de 30 días, las altas de noviembre de 2020 y de noviembre de 2024 pierden cerca del 5 % de sus reingresos. Se declara como limitación.</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Evidencia</w:t>
            </w:r>
          </w:p>
        </w:tc>
        <w:tc>
          <w:tcPr>
            <w:tcW w:type="dxa" w:w="7226"/>
            <w:tcMar>
              <w:top w:type="dxa" w:w="70"/>
              <w:left w:type="dxa" w:w="100"/>
              <w:bottom w:type="dxa" w:w="70"/>
              <w:right w:type="dxa" w:w="100"/>
            </w:tcMar>
          </w:tcPr>
          <w:p>
            <w:pPr>
              <w:keepNext/>
              <w:spacing w:after="0" w:before="0"/>
            </w:pPr>
            <w:r>
              <w:rPr>
                <w:sz w:val="20"/>
                <w:szCs w:val="20"/>
              </w:rPr>
              <w:t xml:space="preserve">exploración del 5 de octubre de 2026 sobre la tabla integrada (cifras preliminares).</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Medido de nuevo en</w:t>
            </w:r>
          </w:p>
        </w:tc>
        <w:tc>
          <w:tcPr>
            <w:tcW w:type="dxa" w:w="7226"/>
            <w:tcMar>
              <w:top w:type="dxa" w:w="70"/>
              <w:left w:type="dxa" w:w="100"/>
              <w:bottom w:type="dxa" w:w="70"/>
              <w:right w:type="dxa" w:w="100"/>
            </w:tcMar>
          </w:tcPr>
          <w:p>
            <w:pPr>
              <w:keepNext w:val="false"/>
              <w:spacing w:after="0" w:before="0"/>
            </w:pPr>
            <w:hyperlink w:history="1" w:anchor="E_H20">
              <w:r>
                <w:rPr>
                  <w:color w:val="0563C1"/>
                  <w:sz w:val="20"/>
                  <w:szCs w:val="20"/>
                  <w:u w:val="single"/>
                </w:rPr>
                <w:t xml:space="preserve">H20</w:t>
              </w:r>
            </w:hyperlink>
            <w:r>
              <w:rPr>
                <w:sz w:val="20"/>
                <w:szCs w:val="20"/>
              </w:rPr>
              <w:t xml:space="preserve">, con la cohorte final y también para la ventana de 7 días.</w:t>
            </w:r>
          </w:p>
        </w:tc>
      </w:tr>
    </w:tbl>
    <w:p>
      <w:pPr>
        <w:pStyle w:val="Heading2"/>
      </w:pPr>
      <w:bookmarkStart w:name="E_D22" w:id="9"/>
      <w:r>
        <w:rPr>
          <w:color w:val="548235"/>
        </w:rPr>
        <w:t xml:space="preserve">D22</w:t>
      </w:r>
      <w:bookmarkEnd w:id="9"/>
      <w:r>
        <w:t xml:space="preserve"> · Censura común de 30 días</w:t>
      </w:r>
    </w:p>
    <w:p>
      <w:pPr>
        <w:keepNext/>
        <w:spacing w:after="100"/>
      </w:pPr>
      <w:r>
        <w:rPr>
          <w:b/>
          <w:bCs/>
          <w:color w:val="548235"/>
          <w:sz w:val="18"/>
          <w:szCs w:val="18"/>
        </w:rPr>
        <w:t xml:space="preserve">Decisión</w:t>
      </w:r>
      <w:r>
        <w:rPr>
          <w:color w:val="808080"/>
          <w:sz w:val="18"/>
          <w:szCs w:val="18"/>
        </w:rPr>
        <w:t xml:space="preserve">  ·  6 de octubre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2.2</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Decisión</w:t>
            </w:r>
          </w:p>
        </w:tc>
        <w:tc>
          <w:tcPr>
            <w:tcW w:type="dxa" w:w="7226"/>
            <w:tcMar>
              <w:top w:type="dxa" w:w="70"/>
              <w:left w:type="dxa" w:w="100"/>
              <w:bottom w:type="dxa" w:w="70"/>
              <w:right w:type="dxa" w:w="100"/>
            </w:tcMar>
          </w:tcPr>
          <w:p>
            <w:pPr>
              <w:keepNext/>
              <w:spacing w:after="0" w:before="0"/>
            </w:pPr>
            <w:r>
              <w:rPr>
                <w:sz w:val="20"/>
                <w:szCs w:val="20"/>
              </w:rPr>
              <w:t xml:space="preserve">No son caso de estudio los egresos con alta en los últimos 30 días de su bloque: después del 1 de diciembre de 2020 en el bloque A y después del 1 de diciembre de 2024 en el bloque B (criterio E11). El mismo corte se usa para las variables de 7 y de 30 días, de modo que las cuatro se calculan sobre los mismos casos de estudio.</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Resultado</w:t>
            </w:r>
          </w:p>
        </w:tc>
        <w:tc>
          <w:tcPr>
            <w:tcW w:type="dxa" w:w="7226"/>
            <w:tcMar>
              <w:top w:type="dxa" w:w="70"/>
              <w:left w:type="dxa" w:w="100"/>
              <w:bottom w:type="dxa" w:w="70"/>
              <w:right w:type="dxa" w:w="100"/>
            </w:tcMar>
          </w:tcPr>
          <w:p>
            <w:pPr>
              <w:keepNext/>
              <w:spacing w:after="0" w:before="0"/>
            </w:pPr>
            <w:r>
              <w:rPr>
                <w:sz w:val="20"/>
                <w:szCs w:val="20"/>
              </w:rPr>
              <w:t xml:space="preserve">151.633 egresos cumplen el criterio; aplicado después de los demás, quita 141.391 (59.038 de 2020 y 82.353 de 2024).</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Alternativa</w:t>
            </w:r>
          </w:p>
        </w:tc>
        <w:tc>
          <w:tcPr>
            <w:tcW w:type="dxa" w:w="7226"/>
            <w:tcMar>
              <w:top w:type="dxa" w:w="70"/>
              <w:left w:type="dxa" w:w="100"/>
              <w:bottom w:type="dxa" w:w="70"/>
              <w:right w:type="dxa" w:w="100"/>
            </w:tcMar>
          </w:tcPr>
          <w:p>
            <w:pPr>
              <w:keepNext/>
              <w:spacing w:after="0" w:before="0"/>
            </w:pPr>
            <w:r>
              <w:rPr>
                <w:sz w:val="20"/>
                <w:szCs w:val="20"/>
              </w:rPr>
              <w:t xml:space="preserve">Ampliar el margen a 60 días (</w:t>
            </w:r>
            <w:r>
              <w:rPr>
                <w:rFonts w:ascii="Consolas" w:cs="Consolas" w:eastAsia="Consolas" w:hAnsi="Consolas"/>
                <w:sz w:val="18"/>
                <w:szCs w:val="18"/>
                <w:shd w:fill="F2F2F2" w:color="auto" w:val="clear"/>
              </w:rPr>
              <w:t xml:space="preserve">censura_dias</w:t>
            </w:r>
            <w:r>
              <w:rPr>
                <w:sz w:val="20"/>
                <w:szCs w:val="20"/>
              </w:rPr>
              <w:t xml:space="preserve">) reduce la pérdida descrita en </w:t>
            </w:r>
            <w:hyperlink w:history="1" w:anchor="E_H16">
              <w:r>
                <w:rPr>
                  <w:color w:val="0563C1"/>
                  <w:sz w:val="20"/>
                  <w:szCs w:val="20"/>
                  <w:u w:val="single"/>
                </w:rPr>
                <w:t xml:space="preserve">H16</w:t>
              </w:r>
            </w:hyperlink>
            <w:r>
              <w:rPr>
                <w:sz w:val="20"/>
                <w:szCs w:val="20"/>
              </w:rPr>
              <w:t xml:space="preserve"> a menos del 1 %, pero quita otros dos meses de casos.</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Completa a</w:t>
            </w:r>
          </w:p>
        </w:tc>
        <w:tc>
          <w:tcPr>
            <w:tcW w:type="dxa" w:w="7226"/>
            <w:tcMar>
              <w:top w:type="dxa" w:w="70"/>
              <w:left w:type="dxa" w:w="100"/>
              <w:bottom w:type="dxa" w:w="70"/>
              <w:right w:type="dxa" w:w="100"/>
            </w:tcMar>
          </w:tcPr>
          <w:p>
            <w:pPr>
              <w:keepNext/>
              <w:spacing w:after="0" w:before="0"/>
            </w:pPr>
            <w:r>
              <w:rPr>
                <w:sz w:val="20"/>
                <w:szCs w:val="20"/>
              </w:rPr>
              <w:t xml:space="preserve">D03 de </w:t>
            </w:r>
            <w:r>
              <w:rPr>
                <w:rFonts w:ascii="Consolas" w:cs="Consolas" w:eastAsia="Consolas" w:hAnsi="Consolas"/>
                <w:sz w:val="18"/>
                <w:szCs w:val="18"/>
                <w:shd w:fill="F2F2F2" w:color="auto" w:val="clear"/>
              </w:rPr>
              <w:t xml:space="preserve">docs/bitacora.md</w:t>
            </w:r>
            <w:r>
              <w:rPr>
                <w:sz w:val="20"/>
                <w:szCs w:val="20"/>
              </w:rPr>
              <w:t xml:space="preserve">.</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Estado</w:t>
            </w:r>
          </w:p>
        </w:tc>
        <w:tc>
          <w:tcPr>
            <w:tcW w:type="dxa" w:w="7226"/>
            <w:tcMar>
              <w:top w:type="dxa" w:w="70"/>
              <w:left w:type="dxa" w:w="100"/>
              <w:bottom w:type="dxa" w:w="70"/>
              <w:right w:type="dxa" w:w="100"/>
            </w:tcMar>
          </w:tcPr>
          <w:p>
            <w:pPr>
              <w:keepNext w:val="false"/>
              <w:spacing w:after="0" w:before="0"/>
            </w:pPr>
            <w:r>
              <w:rPr>
                <w:sz w:val="20"/>
                <w:szCs w:val="20"/>
              </w:rPr>
              <w:t xml:space="preserve">Reemplazada por </w:t>
            </w:r>
            <w:hyperlink w:history="1" w:anchor="E_D30">
              <w:r>
                <w:rPr>
                  <w:color w:val="0563C1"/>
                  <w:sz w:val="20"/>
                  <w:szCs w:val="20"/>
                  <w:u w:val="single"/>
                </w:rPr>
                <w:t xml:space="preserve">D30</w:t>
              </w:r>
            </w:hyperlink>
            <w:r>
              <w:rPr>
                <w:sz w:val="20"/>
                <w:szCs w:val="20"/>
              </w:rPr>
              <w:t xml:space="preserve"> el 8 de octubre de 2026.</w:t>
            </w:r>
          </w:p>
        </w:tc>
      </w:tr>
    </w:tbl>
    <w:p>
      <w:pPr>
        <w:pStyle w:val="Heading2"/>
      </w:pPr>
      <w:bookmarkStart w:name="E_D23" w:id="10"/>
      <w:r>
        <w:rPr>
          <w:color w:val="548235"/>
        </w:rPr>
        <w:t xml:space="preserve">D23</w:t>
      </w:r>
      <w:bookmarkEnd w:id="10"/>
      <w:r>
        <w:t xml:space="preserve"> · Tabla de criterios de exclusión</w:t>
      </w:r>
    </w:p>
    <w:p>
      <w:pPr>
        <w:keepNext/>
        <w:spacing w:after="100"/>
      </w:pPr>
      <w:r>
        <w:rPr>
          <w:b/>
          <w:bCs/>
          <w:color w:val="548235"/>
          <w:sz w:val="18"/>
          <w:szCs w:val="18"/>
        </w:rPr>
        <w:t xml:space="preserve">Decisión</w:t>
      </w:r>
      <w:r>
        <w:rPr>
          <w:color w:val="808080"/>
          <w:sz w:val="18"/>
          <w:szCs w:val="18"/>
        </w:rPr>
        <w:t xml:space="preserve">  ·  6 de octubre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2.2</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Decisión</w:t>
            </w:r>
          </w:p>
        </w:tc>
        <w:tc>
          <w:tcPr>
            <w:tcW w:type="dxa" w:w="7226"/>
            <w:tcMar>
              <w:top w:type="dxa" w:w="70"/>
              <w:left w:type="dxa" w:w="100"/>
              <w:bottom w:type="dxa" w:w="70"/>
              <w:right w:type="dxa" w:w="100"/>
            </w:tcMar>
          </w:tcPr>
          <w:p>
            <w:pPr>
              <w:keepNext/>
              <w:spacing w:after="0" w:before="0"/>
            </w:pPr>
            <w:r>
              <w:rPr>
                <w:sz w:val="20"/>
                <w:szCs w:val="20"/>
              </w:rPr>
              <w:t xml:space="preserve">Las exclusiones se aplican como marcas, sin borrar filas: un egreso que no sirve como caso de estudio (por ejemplo, un fallecido) puede ser el reingreso de un alta anterior. Cada criterio es una fila de </w:t>
            </w:r>
            <w:r>
              <w:rPr>
                <w:rFonts w:ascii="Consolas" w:cs="Consolas" w:eastAsia="Consolas" w:hAnsi="Consolas"/>
                <w:sz w:val="18"/>
                <w:szCs w:val="18"/>
                <w:shd w:fill="F2F2F2" w:color="auto" w:val="clear"/>
              </w:rPr>
              <w:t xml:space="preserve">reglas/criterios_exclusion.csv</w:t>
            </w:r>
            <w:r>
              <w:rPr>
                <w:sz w:val="20"/>
                <w:szCs w:val="20"/>
              </w:rPr>
              <w:t xml:space="preserve">, con su papel (ambos, o solo caso de estudio) y una columna para activarlo o desactivarlo. Los criterios E01 y E03 no se pueden desactivar. Los umbrales están en </w:t>
            </w:r>
            <w:r>
              <w:rPr>
                <w:rFonts w:ascii="Consolas" w:cs="Consolas" w:eastAsia="Consolas" w:hAnsi="Consolas"/>
                <w:sz w:val="18"/>
                <w:szCs w:val="18"/>
                <w:shd w:fill="F2F2F2" w:color="auto" w:val="clear"/>
              </w:rPr>
              <w:t xml:space="preserve">reglas/parametros.csv</w:t>
            </w:r>
            <w:r>
              <w:rPr>
                <w:sz w:val="20"/>
                <w:szCs w:val="20"/>
              </w:rPr>
              <w:t xml:space="preserve">.</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Resultado</w:t>
            </w:r>
          </w:p>
        </w:tc>
        <w:tc>
          <w:tcPr>
            <w:tcW w:type="dxa" w:w="7226"/>
            <w:tcMar>
              <w:top w:type="dxa" w:w="70"/>
              <w:left w:type="dxa" w:w="100"/>
              <w:bottom w:type="dxa" w:w="70"/>
              <w:right w:type="dxa" w:w="100"/>
            </w:tcMar>
          </w:tcPr>
          <w:p>
            <w:pPr>
              <w:keepNext/>
              <w:spacing w:after="80" w:before="0"/>
            </w:pPr>
            <w:r>
              <w:rPr>
                <w:sz w:val="20"/>
                <w:szCs w:val="20"/>
              </w:rPr>
              <w:t xml:space="preserve">Cada criterio se aplica sobre los egresos que quedan después de los anteriores.</w:t>
            </w:r>
          </w:p>
          <w:tbl>
            <w:tblPr>
              <w:tblW w:type="dxa" w:w="7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899"/>
              <w:gridCol w:w="3426"/>
              <w:gridCol w:w="783"/>
              <w:gridCol w:w="899"/>
              <w:gridCol w:w="1019"/>
            </w:tblGrid>
            <w:tr>
              <w:trPr>
                <w:cantSplit/>
                <w:tblHeader/>
              </w:trPr>
              <w:tc>
                <w:tcPr>
                  <w:tcW w:type="dxa" w:w="899"/>
                  <w:shd w:fill="D9E2F3" w:color="auto" w:val="clear"/>
                  <w:tcMar>
                    <w:top w:type="dxa" w:w="70"/>
                    <w:left w:type="dxa" w:w="100"/>
                    <w:bottom w:type="dxa" w:w="70"/>
                    <w:right w:type="dxa" w:w="100"/>
                  </w:tcMar>
                  <w:vAlign w:val="center"/>
                </w:tcPr>
                <w:p>
                  <w:pPr>
                    <w:spacing w:after="0"/>
                  </w:pPr>
                  <w:r>
                    <w:rPr>
                      <w:b/>
                      <w:bCs/>
                      <w:sz w:val="18"/>
                      <w:szCs w:val="18"/>
                    </w:rPr>
                    <w:t xml:space="preserve">Código</w:t>
                  </w:r>
                </w:p>
              </w:tc>
              <w:tc>
                <w:tcPr>
                  <w:tcW w:type="dxa" w:w="3426"/>
                  <w:shd w:fill="D9E2F3" w:color="auto" w:val="clear"/>
                  <w:tcMar>
                    <w:top w:type="dxa" w:w="70"/>
                    <w:left w:type="dxa" w:w="100"/>
                    <w:bottom w:type="dxa" w:w="70"/>
                    <w:right w:type="dxa" w:w="100"/>
                  </w:tcMar>
                  <w:vAlign w:val="center"/>
                </w:tcPr>
                <w:p>
                  <w:pPr>
                    <w:spacing w:after="0"/>
                  </w:pPr>
                  <w:r>
                    <w:rPr>
                      <w:b/>
                      <w:bCs/>
                      <w:sz w:val="18"/>
                      <w:szCs w:val="18"/>
                    </w:rPr>
                    <w:t xml:space="preserve">Criterio</w:t>
                  </w:r>
                </w:p>
              </w:tc>
              <w:tc>
                <w:tcPr>
                  <w:tcW w:type="dxa" w:w="783"/>
                  <w:shd w:fill="D9E2F3" w:color="auto" w:val="clear"/>
                  <w:tcMar>
                    <w:top w:type="dxa" w:w="70"/>
                    <w:left w:type="dxa" w:w="100"/>
                    <w:bottom w:type="dxa" w:w="70"/>
                    <w:right w:type="dxa" w:w="100"/>
                  </w:tcMar>
                  <w:vAlign w:val="center"/>
                </w:tcPr>
                <w:p>
                  <w:pPr>
                    <w:spacing w:after="0"/>
                  </w:pPr>
                  <w:r>
                    <w:rPr>
                      <w:b/>
                      <w:bCs/>
                      <w:sz w:val="18"/>
                      <w:szCs w:val="18"/>
                    </w:rPr>
                    <w:t xml:space="preserve">Papel</w:t>
                  </w:r>
                </w:p>
              </w:tc>
              <w:tc>
                <w:tcPr>
                  <w:tcW w:type="dxa" w:w="899"/>
                  <w:shd w:fill="D9E2F3" w:color="auto" w:val="clear"/>
                  <w:tcMar>
                    <w:top w:type="dxa" w:w="70"/>
                    <w:left w:type="dxa" w:w="100"/>
                    <w:bottom w:type="dxa" w:w="70"/>
                    <w:right w:type="dxa" w:w="100"/>
                  </w:tcMar>
                  <w:vAlign w:val="center"/>
                </w:tcPr>
                <w:p>
                  <w:pPr>
                    <w:spacing w:after="0"/>
                  </w:pPr>
                  <w:r>
                    <w:rPr>
                      <w:b/>
                      <w:bCs/>
                      <w:sz w:val="18"/>
                      <w:szCs w:val="18"/>
                    </w:rPr>
                    <w:t xml:space="preserve">Activo</w:t>
                  </w:r>
                </w:p>
              </w:tc>
              <w:tc>
                <w:tcPr>
                  <w:tcW w:type="dxa" w:w="1019"/>
                  <w:shd w:fill="D9E2F3" w:color="auto" w:val="clear"/>
                  <w:tcMar>
                    <w:top w:type="dxa" w:w="70"/>
                    <w:left w:type="dxa" w:w="100"/>
                    <w:bottom w:type="dxa" w:w="70"/>
                    <w:right w:type="dxa" w:w="100"/>
                  </w:tcMar>
                  <w:vAlign w:val="center"/>
                </w:tcPr>
                <w:p>
                  <w:pPr>
                    <w:spacing w:after="0"/>
                  </w:pPr>
                  <w:r>
                    <w:rPr>
                      <w:b/>
                      <w:bCs/>
                      <w:sz w:val="18"/>
                      <w:szCs w:val="18"/>
                    </w:rPr>
                    <w:t xml:space="preserve">Quita</w:t>
                  </w:r>
                </w:p>
              </w:tc>
            </w:tr>
            <w:tr>
              <w:trPr>
                <w:cantSplit/>
                <w:tblHeader w:val="off"/>
              </w:trPr>
              <w:tc>
                <w:tcPr>
                  <w:tcW w:type="dxa" w:w="899"/>
                  <w:tcMar>
                    <w:top w:type="dxa" w:w="70"/>
                    <w:left w:type="dxa" w:w="100"/>
                    <w:bottom w:type="dxa" w:w="70"/>
                    <w:right w:type="dxa" w:w="100"/>
                  </w:tcMar>
                  <w:vAlign w:val="center"/>
                </w:tcPr>
                <w:p>
                  <w:pPr>
                    <w:spacing w:after="0"/>
                  </w:pPr>
                  <w:r>
                    <w:rPr>
                      <w:sz w:val="18"/>
                      <w:szCs w:val="18"/>
                    </w:rPr>
                    <w:t xml:space="preserve">E01</w:t>
                  </w:r>
                </w:p>
              </w:tc>
              <w:tc>
                <w:tcPr>
                  <w:tcW w:type="dxa" w:w="3426"/>
                  <w:tcMar>
                    <w:top w:type="dxa" w:w="70"/>
                    <w:left w:type="dxa" w:w="100"/>
                    <w:bottom w:type="dxa" w:w="70"/>
                    <w:right w:type="dxa" w:w="100"/>
                  </w:tcMar>
                  <w:vAlign w:val="center"/>
                </w:tcPr>
                <w:p>
                  <w:pPr>
                    <w:spacing w:after="0"/>
                  </w:pPr>
                  <w:r>
                    <w:rPr>
                      <w:sz w:val="18"/>
                      <w:szCs w:val="18"/>
                    </w:rPr>
                    <w:t xml:space="preserve">Sin identificador de paciente</w:t>
                  </w:r>
                </w:p>
              </w:tc>
              <w:tc>
                <w:tcPr>
                  <w:tcW w:type="dxa" w:w="783"/>
                  <w:tcMar>
                    <w:top w:type="dxa" w:w="70"/>
                    <w:left w:type="dxa" w:w="100"/>
                    <w:bottom w:type="dxa" w:w="70"/>
                    <w:right w:type="dxa" w:w="100"/>
                  </w:tcMar>
                  <w:vAlign w:val="center"/>
                </w:tcPr>
                <w:p>
                  <w:pPr>
                    <w:spacing w:after="0"/>
                  </w:pPr>
                  <w:r>
                    <w:rPr>
                      <w:sz w:val="18"/>
                      <w:szCs w:val="18"/>
                    </w:rPr>
                    <w:t xml:space="preserve">Ambos</w:t>
                  </w:r>
                </w:p>
              </w:tc>
              <w:tc>
                <w:tcPr>
                  <w:tcW w:type="dxa" w:w="899"/>
                  <w:tcMar>
                    <w:top w:type="dxa" w:w="70"/>
                    <w:left w:type="dxa" w:w="100"/>
                    <w:bottom w:type="dxa" w:w="70"/>
                    <w:right w:type="dxa" w:w="100"/>
                  </w:tcMar>
                  <w:vAlign w:val="center"/>
                </w:tcPr>
                <w:p>
                  <w:pPr>
                    <w:spacing w:after="0"/>
                  </w:pPr>
                  <w:r>
                    <w:rPr>
                      <w:sz w:val="18"/>
                      <w:szCs w:val="18"/>
                    </w:rPr>
                    <w:t xml:space="preserve">Sí</w:t>
                  </w:r>
                </w:p>
              </w:tc>
              <w:tc>
                <w:tcPr>
                  <w:tcW w:type="dxa" w:w="1019"/>
                  <w:tcMar>
                    <w:top w:type="dxa" w:w="70"/>
                    <w:left w:type="dxa" w:w="100"/>
                    <w:bottom w:type="dxa" w:w="70"/>
                    <w:right w:type="dxa" w:w="100"/>
                  </w:tcMar>
                  <w:vAlign w:val="center"/>
                </w:tcPr>
                <w:p>
                  <w:pPr>
                    <w:spacing w:after="0"/>
                  </w:pPr>
                  <w:r>
                    <w:rPr>
                      <w:sz w:val="18"/>
                      <w:szCs w:val="18"/>
                    </w:rPr>
                    <w:t xml:space="preserve">17.864</w:t>
                  </w:r>
                </w:p>
              </w:tc>
            </w:tr>
            <w:tr>
              <w:trPr>
                <w:cantSplit/>
                <w:tblHeader w:val="off"/>
              </w:trPr>
              <w:tc>
                <w:tcPr>
                  <w:tcW w:type="dxa" w:w="899"/>
                  <w:tcMar>
                    <w:top w:type="dxa" w:w="70"/>
                    <w:left w:type="dxa" w:w="100"/>
                    <w:bottom w:type="dxa" w:w="70"/>
                    <w:right w:type="dxa" w:w="100"/>
                  </w:tcMar>
                  <w:vAlign w:val="center"/>
                </w:tcPr>
                <w:p>
                  <w:pPr>
                    <w:spacing w:after="0"/>
                  </w:pPr>
                  <w:r>
                    <w:rPr>
                      <w:sz w:val="18"/>
                      <w:szCs w:val="18"/>
                    </w:rPr>
                    <w:t xml:space="preserve">E02</w:t>
                  </w:r>
                </w:p>
              </w:tc>
              <w:tc>
                <w:tcPr>
                  <w:tcW w:type="dxa" w:w="3426"/>
                  <w:tcMar>
                    <w:top w:type="dxa" w:w="70"/>
                    <w:left w:type="dxa" w:w="100"/>
                    <w:bottom w:type="dxa" w:w="70"/>
                    <w:right w:type="dxa" w:w="100"/>
                  </w:tcMar>
                  <w:vAlign w:val="center"/>
                </w:tcPr>
                <w:p>
                  <w:pPr>
                    <w:spacing w:after="0"/>
                  </w:pPr>
                  <w:r>
                    <w:rPr>
                      <w:sz w:val="18"/>
                      <w:szCs w:val="18"/>
                    </w:rPr>
                    <w:t xml:space="preserve">Identificador genérico</w:t>
                  </w:r>
                </w:p>
              </w:tc>
              <w:tc>
                <w:tcPr>
                  <w:tcW w:type="dxa" w:w="783"/>
                  <w:tcMar>
                    <w:top w:type="dxa" w:w="70"/>
                    <w:left w:type="dxa" w:w="100"/>
                    <w:bottom w:type="dxa" w:w="70"/>
                    <w:right w:type="dxa" w:w="100"/>
                  </w:tcMar>
                  <w:vAlign w:val="center"/>
                </w:tcPr>
                <w:p>
                  <w:pPr>
                    <w:spacing w:after="0"/>
                  </w:pPr>
                  <w:r>
                    <w:rPr>
                      <w:sz w:val="18"/>
                      <w:szCs w:val="18"/>
                    </w:rPr>
                    <w:t xml:space="preserve">Ambos</w:t>
                  </w:r>
                </w:p>
              </w:tc>
              <w:tc>
                <w:tcPr>
                  <w:tcW w:type="dxa" w:w="899"/>
                  <w:tcMar>
                    <w:top w:type="dxa" w:w="70"/>
                    <w:left w:type="dxa" w:w="100"/>
                    <w:bottom w:type="dxa" w:w="70"/>
                    <w:right w:type="dxa" w:w="100"/>
                  </w:tcMar>
                  <w:vAlign w:val="center"/>
                </w:tcPr>
                <w:p>
                  <w:pPr>
                    <w:spacing w:after="0"/>
                  </w:pPr>
                  <w:r>
                    <w:rPr>
                      <w:sz w:val="18"/>
                      <w:szCs w:val="18"/>
                    </w:rPr>
                    <w:t xml:space="preserve">Sí</w:t>
                  </w:r>
                </w:p>
              </w:tc>
              <w:tc>
                <w:tcPr>
                  <w:tcW w:type="dxa" w:w="1019"/>
                  <w:tcMar>
                    <w:top w:type="dxa" w:w="70"/>
                    <w:left w:type="dxa" w:w="100"/>
                    <w:bottom w:type="dxa" w:w="70"/>
                    <w:right w:type="dxa" w:w="100"/>
                  </w:tcMar>
                  <w:vAlign w:val="center"/>
                </w:tcPr>
                <w:p>
                  <w:pPr>
                    <w:spacing w:after="0"/>
                  </w:pPr>
                  <w:r>
                    <w:rPr>
                      <w:sz w:val="18"/>
                      <w:szCs w:val="18"/>
                    </w:rPr>
                    <w:t xml:space="preserve">2.481</w:t>
                  </w:r>
                </w:p>
              </w:tc>
            </w:tr>
            <w:tr>
              <w:trPr>
                <w:cantSplit/>
                <w:tblHeader w:val="off"/>
              </w:trPr>
              <w:tc>
                <w:tcPr>
                  <w:tcW w:type="dxa" w:w="899"/>
                  <w:tcMar>
                    <w:top w:type="dxa" w:w="70"/>
                    <w:left w:type="dxa" w:w="100"/>
                    <w:bottom w:type="dxa" w:w="70"/>
                    <w:right w:type="dxa" w:w="100"/>
                  </w:tcMar>
                  <w:vAlign w:val="center"/>
                </w:tcPr>
                <w:p>
                  <w:pPr>
                    <w:spacing w:after="0"/>
                  </w:pPr>
                  <w:r>
                    <w:rPr>
                      <w:sz w:val="18"/>
                      <w:szCs w:val="18"/>
                    </w:rPr>
                    <w:t xml:space="preserve">E03</w:t>
                  </w:r>
                </w:p>
              </w:tc>
              <w:tc>
                <w:tcPr>
                  <w:tcW w:type="dxa" w:w="3426"/>
                  <w:tcMar>
                    <w:top w:type="dxa" w:w="70"/>
                    <w:left w:type="dxa" w:w="100"/>
                    <w:bottom w:type="dxa" w:w="70"/>
                    <w:right w:type="dxa" w:w="100"/>
                  </w:tcMar>
                  <w:vAlign w:val="center"/>
                </w:tcPr>
                <w:p>
                  <w:pPr>
                    <w:spacing w:after="0"/>
                  </w:pPr>
                  <w:r>
                    <w:rPr>
                      <w:sz w:val="18"/>
                      <w:szCs w:val="18"/>
                    </w:rPr>
                    <w:t xml:space="preserve">Fechas faltantes o alta anterior al ingreso</w:t>
                  </w:r>
                </w:p>
              </w:tc>
              <w:tc>
                <w:tcPr>
                  <w:tcW w:type="dxa" w:w="783"/>
                  <w:tcMar>
                    <w:top w:type="dxa" w:w="70"/>
                    <w:left w:type="dxa" w:w="100"/>
                    <w:bottom w:type="dxa" w:w="70"/>
                    <w:right w:type="dxa" w:w="100"/>
                  </w:tcMar>
                  <w:vAlign w:val="center"/>
                </w:tcPr>
                <w:p>
                  <w:pPr>
                    <w:spacing w:after="0"/>
                  </w:pPr>
                  <w:r>
                    <w:rPr>
                      <w:sz w:val="18"/>
                      <w:szCs w:val="18"/>
                    </w:rPr>
                    <w:t xml:space="preserve">Ambos</w:t>
                  </w:r>
                </w:p>
              </w:tc>
              <w:tc>
                <w:tcPr>
                  <w:tcW w:type="dxa" w:w="899"/>
                  <w:tcMar>
                    <w:top w:type="dxa" w:w="70"/>
                    <w:left w:type="dxa" w:w="100"/>
                    <w:bottom w:type="dxa" w:w="70"/>
                    <w:right w:type="dxa" w:w="100"/>
                  </w:tcMar>
                  <w:vAlign w:val="center"/>
                </w:tcPr>
                <w:p>
                  <w:pPr>
                    <w:spacing w:after="0"/>
                  </w:pPr>
                  <w:r>
                    <w:rPr>
                      <w:sz w:val="18"/>
                      <w:szCs w:val="18"/>
                    </w:rPr>
                    <w:t xml:space="preserve">Sí</w:t>
                  </w:r>
                </w:p>
              </w:tc>
              <w:tc>
                <w:tcPr>
                  <w:tcW w:type="dxa" w:w="1019"/>
                  <w:tcMar>
                    <w:top w:type="dxa" w:w="70"/>
                    <w:left w:type="dxa" w:w="100"/>
                    <w:bottom w:type="dxa" w:w="70"/>
                    <w:right w:type="dxa" w:w="100"/>
                  </w:tcMar>
                  <w:vAlign w:val="center"/>
                </w:tcPr>
                <w:p>
                  <w:pPr>
                    <w:spacing w:after="0"/>
                  </w:pPr>
                  <w:r>
                    <w:rPr>
                      <w:sz w:val="18"/>
                      <w:szCs w:val="18"/>
                    </w:rPr>
                    <w:t xml:space="preserve">81</w:t>
                  </w:r>
                </w:p>
              </w:tc>
            </w:tr>
            <w:tr>
              <w:trPr>
                <w:cantSplit/>
                <w:tblHeader w:val="off"/>
              </w:trPr>
              <w:tc>
                <w:tcPr>
                  <w:tcW w:type="dxa" w:w="899"/>
                  <w:tcMar>
                    <w:top w:type="dxa" w:w="70"/>
                    <w:left w:type="dxa" w:w="100"/>
                    <w:bottom w:type="dxa" w:w="70"/>
                    <w:right w:type="dxa" w:w="100"/>
                  </w:tcMar>
                  <w:vAlign w:val="center"/>
                </w:tcPr>
                <w:p>
                  <w:pPr>
                    <w:spacing w:after="0"/>
                  </w:pPr>
                  <w:r>
                    <w:rPr>
                      <w:sz w:val="18"/>
                      <w:szCs w:val="18"/>
                    </w:rPr>
                    <w:t xml:space="preserve">E04</w:t>
                  </w:r>
                </w:p>
              </w:tc>
              <w:tc>
                <w:tcPr>
                  <w:tcW w:type="dxa" w:w="3426"/>
                  <w:tcMar>
                    <w:top w:type="dxa" w:w="70"/>
                    <w:left w:type="dxa" w:w="100"/>
                    <w:bottom w:type="dxa" w:w="70"/>
                    <w:right w:type="dxa" w:w="100"/>
                  </w:tcMar>
                  <w:vAlign w:val="center"/>
                </w:tcPr>
                <w:p>
                  <w:pPr>
                    <w:spacing w:after="0"/>
                  </w:pPr>
                  <w:r>
                    <w:rPr>
                      <w:sz w:val="18"/>
                      <w:szCs w:val="18"/>
                    </w:rPr>
                    <w:t xml:space="preserve">Tipos de actividad que solo existen en 2019 (H09)</w:t>
                  </w:r>
                </w:p>
              </w:tc>
              <w:tc>
                <w:tcPr>
                  <w:tcW w:type="dxa" w:w="783"/>
                  <w:tcMar>
                    <w:top w:type="dxa" w:w="70"/>
                    <w:left w:type="dxa" w:w="100"/>
                    <w:bottom w:type="dxa" w:w="70"/>
                    <w:right w:type="dxa" w:w="100"/>
                  </w:tcMar>
                  <w:vAlign w:val="center"/>
                </w:tcPr>
                <w:p>
                  <w:pPr>
                    <w:spacing w:after="0"/>
                  </w:pPr>
                  <w:r>
                    <w:rPr>
                      <w:sz w:val="18"/>
                      <w:szCs w:val="18"/>
                    </w:rPr>
                    <w:t xml:space="preserve">Ambos</w:t>
                  </w:r>
                </w:p>
              </w:tc>
              <w:tc>
                <w:tcPr>
                  <w:tcW w:type="dxa" w:w="899"/>
                  <w:tcMar>
                    <w:top w:type="dxa" w:w="70"/>
                    <w:left w:type="dxa" w:w="100"/>
                    <w:bottom w:type="dxa" w:w="70"/>
                    <w:right w:type="dxa" w:w="100"/>
                  </w:tcMar>
                  <w:vAlign w:val="center"/>
                </w:tcPr>
                <w:p>
                  <w:pPr>
                    <w:spacing w:after="0"/>
                  </w:pPr>
                  <w:r>
                    <w:rPr>
                      <w:sz w:val="18"/>
                      <w:szCs w:val="18"/>
                    </w:rPr>
                    <w:t xml:space="preserve">Sí</w:t>
                  </w:r>
                </w:p>
              </w:tc>
              <w:tc>
                <w:tcPr>
                  <w:tcW w:type="dxa" w:w="1019"/>
                  <w:tcMar>
                    <w:top w:type="dxa" w:w="70"/>
                    <w:left w:type="dxa" w:w="100"/>
                    <w:bottom w:type="dxa" w:w="70"/>
                    <w:right w:type="dxa" w:w="100"/>
                  </w:tcMar>
                  <w:vAlign w:val="center"/>
                </w:tcPr>
                <w:p>
                  <w:pPr>
                    <w:spacing w:after="0"/>
                  </w:pPr>
                  <w:r>
                    <w:rPr>
                      <w:sz w:val="18"/>
                      <w:szCs w:val="18"/>
                    </w:rPr>
                    <w:t xml:space="preserve">116.962</w:t>
                  </w:r>
                </w:p>
              </w:tc>
            </w:tr>
            <w:tr>
              <w:trPr>
                <w:cantSplit/>
                <w:tblHeader w:val="off"/>
              </w:trPr>
              <w:tc>
                <w:tcPr>
                  <w:tcW w:type="dxa" w:w="899"/>
                  <w:tcMar>
                    <w:top w:type="dxa" w:w="70"/>
                    <w:left w:type="dxa" w:w="100"/>
                    <w:bottom w:type="dxa" w:w="70"/>
                    <w:right w:type="dxa" w:w="100"/>
                  </w:tcMar>
                  <w:vAlign w:val="center"/>
                </w:tcPr>
                <w:p>
                  <w:pPr>
                    <w:spacing w:after="0"/>
                  </w:pPr>
                  <w:r>
                    <w:rPr>
                      <w:sz w:val="18"/>
                      <w:szCs w:val="18"/>
                    </w:rPr>
                    <w:t xml:space="preserve">E05</w:t>
                  </w:r>
                </w:p>
              </w:tc>
              <w:tc>
                <w:tcPr>
                  <w:tcW w:type="dxa" w:w="3426"/>
                  <w:tcMar>
                    <w:top w:type="dxa" w:w="70"/>
                    <w:left w:type="dxa" w:w="100"/>
                    <w:bottom w:type="dxa" w:w="70"/>
                    <w:right w:type="dxa" w:w="100"/>
                  </w:tcMar>
                  <w:vAlign w:val="center"/>
                </w:tcPr>
                <w:p>
                  <w:pPr>
                    <w:spacing w:after="0"/>
                  </w:pPr>
                  <w:r>
                    <w:rPr>
                      <w:sz w:val="18"/>
                      <w:szCs w:val="18"/>
                    </w:rPr>
                    <w:t xml:space="preserve">Tramo de un traslado (</w:t>
                  </w:r>
                  <w:hyperlink w:history="1" w:anchor="E_D19">
                    <w:r>
                      <w:rPr>
                        <w:color w:val="0563C1"/>
                        <w:sz w:val="18"/>
                        <w:szCs w:val="18"/>
                        <w:u w:val="single"/>
                      </w:rPr>
                      <w:t xml:space="preserve">D19</w:t>
                    </w:r>
                  </w:hyperlink>
                  <w:r>
                    <w:rPr>
                      <w:sz w:val="18"/>
                      <w:szCs w:val="18"/>
                    </w:rPr>
                    <w:t xml:space="preserve">)</w:t>
                  </w:r>
                </w:p>
              </w:tc>
              <w:tc>
                <w:tcPr>
                  <w:tcW w:type="dxa" w:w="783"/>
                  <w:tcMar>
                    <w:top w:type="dxa" w:w="70"/>
                    <w:left w:type="dxa" w:w="100"/>
                    <w:bottom w:type="dxa" w:w="70"/>
                    <w:right w:type="dxa" w:w="100"/>
                  </w:tcMar>
                  <w:vAlign w:val="center"/>
                </w:tcPr>
                <w:p>
                  <w:pPr>
                    <w:spacing w:after="0"/>
                  </w:pPr>
                  <w:r>
                    <w:rPr>
                      <w:sz w:val="18"/>
                      <w:szCs w:val="18"/>
                    </w:rPr>
                    <w:t xml:space="preserve">Caso</w:t>
                  </w:r>
                </w:p>
              </w:tc>
              <w:tc>
                <w:tcPr>
                  <w:tcW w:type="dxa" w:w="899"/>
                  <w:tcMar>
                    <w:top w:type="dxa" w:w="70"/>
                    <w:left w:type="dxa" w:w="100"/>
                    <w:bottom w:type="dxa" w:w="70"/>
                    <w:right w:type="dxa" w:w="100"/>
                  </w:tcMar>
                  <w:vAlign w:val="center"/>
                </w:tcPr>
                <w:p>
                  <w:pPr>
                    <w:spacing w:after="0"/>
                  </w:pPr>
                  <w:r>
                    <w:rPr>
                      <w:sz w:val="18"/>
                      <w:szCs w:val="18"/>
                    </w:rPr>
                    <w:t xml:space="preserve">Sí</w:t>
                  </w:r>
                </w:p>
              </w:tc>
              <w:tc>
                <w:tcPr>
                  <w:tcW w:type="dxa" w:w="1019"/>
                  <w:tcMar>
                    <w:top w:type="dxa" w:w="70"/>
                    <w:left w:type="dxa" w:w="100"/>
                    <w:bottom w:type="dxa" w:w="70"/>
                    <w:right w:type="dxa" w:w="100"/>
                  </w:tcMar>
                  <w:vAlign w:val="center"/>
                </w:tcPr>
                <w:p>
                  <w:pPr>
                    <w:spacing w:after="0"/>
                  </w:pPr>
                  <w:r>
                    <w:rPr>
                      <w:sz w:val="18"/>
                      <w:szCs w:val="18"/>
                    </w:rPr>
                    <w:t xml:space="preserve">97.603</w:t>
                  </w:r>
                </w:p>
              </w:tc>
            </w:tr>
            <w:tr>
              <w:trPr>
                <w:cantSplit/>
                <w:tblHeader w:val="off"/>
              </w:trPr>
              <w:tc>
                <w:tcPr>
                  <w:tcW w:type="dxa" w:w="899"/>
                  <w:tcMar>
                    <w:top w:type="dxa" w:w="70"/>
                    <w:left w:type="dxa" w:w="100"/>
                    <w:bottom w:type="dxa" w:w="70"/>
                    <w:right w:type="dxa" w:w="100"/>
                  </w:tcMar>
                  <w:vAlign w:val="center"/>
                </w:tcPr>
                <w:p>
                  <w:pPr>
                    <w:spacing w:after="0"/>
                  </w:pPr>
                  <w:r>
                    <w:rPr>
                      <w:sz w:val="18"/>
                      <w:szCs w:val="18"/>
                    </w:rPr>
                    <w:t xml:space="preserve">E06</w:t>
                  </w:r>
                </w:p>
              </w:tc>
              <w:tc>
                <w:tcPr>
                  <w:tcW w:type="dxa" w:w="3426"/>
                  <w:tcMar>
                    <w:top w:type="dxa" w:w="70"/>
                    <w:left w:type="dxa" w:w="100"/>
                    <w:bottom w:type="dxa" w:w="70"/>
                    <w:right w:type="dxa" w:w="100"/>
                  </w:tcMar>
                  <w:vAlign w:val="center"/>
                </w:tcPr>
                <w:p>
                  <w:pPr>
                    <w:spacing w:after="0"/>
                  </w:pPr>
                  <w:r>
                    <w:rPr>
                      <w:sz w:val="18"/>
                      <w:szCs w:val="18"/>
                    </w:rPr>
                    <w:t xml:space="preserve">Alta por fallecimiento</w:t>
                  </w:r>
                </w:p>
              </w:tc>
              <w:tc>
                <w:tcPr>
                  <w:tcW w:type="dxa" w:w="783"/>
                  <w:tcMar>
                    <w:top w:type="dxa" w:w="70"/>
                    <w:left w:type="dxa" w:w="100"/>
                    <w:bottom w:type="dxa" w:w="70"/>
                    <w:right w:type="dxa" w:w="100"/>
                  </w:tcMar>
                  <w:vAlign w:val="center"/>
                </w:tcPr>
                <w:p>
                  <w:pPr>
                    <w:spacing w:after="0"/>
                  </w:pPr>
                  <w:r>
                    <w:rPr>
                      <w:sz w:val="18"/>
                      <w:szCs w:val="18"/>
                    </w:rPr>
                    <w:t xml:space="preserve">Caso</w:t>
                  </w:r>
                </w:p>
              </w:tc>
              <w:tc>
                <w:tcPr>
                  <w:tcW w:type="dxa" w:w="899"/>
                  <w:tcMar>
                    <w:top w:type="dxa" w:w="70"/>
                    <w:left w:type="dxa" w:w="100"/>
                    <w:bottom w:type="dxa" w:w="70"/>
                    <w:right w:type="dxa" w:w="100"/>
                  </w:tcMar>
                  <w:vAlign w:val="center"/>
                </w:tcPr>
                <w:p>
                  <w:pPr>
                    <w:spacing w:after="0"/>
                  </w:pPr>
                  <w:r>
                    <w:rPr>
                      <w:sz w:val="18"/>
                      <w:szCs w:val="18"/>
                    </w:rPr>
                    <w:t xml:space="preserve">Sí</w:t>
                  </w:r>
                </w:p>
              </w:tc>
              <w:tc>
                <w:tcPr>
                  <w:tcW w:type="dxa" w:w="1019"/>
                  <w:tcMar>
                    <w:top w:type="dxa" w:w="70"/>
                    <w:left w:type="dxa" w:w="100"/>
                    <w:bottom w:type="dxa" w:w="70"/>
                    <w:right w:type="dxa" w:w="100"/>
                  </w:tcMar>
                  <w:vAlign w:val="center"/>
                </w:tcPr>
                <w:p>
                  <w:pPr>
                    <w:spacing w:after="0"/>
                  </w:pPr>
                  <w:r>
                    <w:rPr>
                      <w:sz w:val="18"/>
                      <w:szCs w:val="18"/>
                    </w:rPr>
                    <w:t xml:space="preserve">165.515</w:t>
                  </w:r>
                </w:p>
              </w:tc>
            </w:tr>
            <w:tr>
              <w:trPr>
                <w:cantSplit/>
                <w:tblHeader w:val="off"/>
              </w:trPr>
              <w:tc>
                <w:tcPr>
                  <w:tcW w:type="dxa" w:w="899"/>
                  <w:tcMar>
                    <w:top w:type="dxa" w:w="70"/>
                    <w:left w:type="dxa" w:w="100"/>
                    <w:bottom w:type="dxa" w:w="70"/>
                    <w:right w:type="dxa" w:w="100"/>
                  </w:tcMar>
                  <w:vAlign w:val="center"/>
                </w:tcPr>
                <w:p>
                  <w:pPr>
                    <w:spacing w:after="0"/>
                  </w:pPr>
                  <w:r>
                    <w:rPr>
                      <w:sz w:val="18"/>
                      <w:szCs w:val="18"/>
                    </w:rPr>
                    <w:t xml:space="preserve">E07</w:t>
                  </w:r>
                </w:p>
              </w:tc>
              <w:tc>
                <w:tcPr>
                  <w:tcW w:type="dxa" w:w="3426"/>
                  <w:tcMar>
                    <w:top w:type="dxa" w:w="70"/>
                    <w:left w:type="dxa" w:w="100"/>
                    <w:bottom w:type="dxa" w:w="70"/>
                    <w:right w:type="dxa" w:w="100"/>
                  </w:tcMar>
                  <w:vAlign w:val="center"/>
                </w:tcPr>
                <w:p>
                  <w:pPr>
                    <w:spacing w:after="0"/>
                  </w:pPr>
                  <w:r>
                    <w:rPr>
                      <w:sz w:val="18"/>
                      <w:szCs w:val="18"/>
                    </w:rPr>
                    <w:t xml:space="preserve">Alta por derivación a otro hospital</w:t>
                  </w:r>
                </w:p>
              </w:tc>
              <w:tc>
                <w:tcPr>
                  <w:tcW w:type="dxa" w:w="783"/>
                  <w:tcMar>
                    <w:top w:type="dxa" w:w="70"/>
                    <w:left w:type="dxa" w:w="100"/>
                    <w:bottom w:type="dxa" w:w="70"/>
                    <w:right w:type="dxa" w:w="100"/>
                  </w:tcMar>
                  <w:vAlign w:val="center"/>
                </w:tcPr>
                <w:p>
                  <w:pPr>
                    <w:spacing w:after="0"/>
                  </w:pPr>
                  <w:r>
                    <w:rPr>
                      <w:sz w:val="18"/>
                      <w:szCs w:val="18"/>
                    </w:rPr>
                    <w:t xml:space="preserve">Caso</w:t>
                  </w:r>
                </w:p>
              </w:tc>
              <w:tc>
                <w:tcPr>
                  <w:tcW w:type="dxa" w:w="899"/>
                  <w:tcMar>
                    <w:top w:type="dxa" w:w="70"/>
                    <w:left w:type="dxa" w:w="100"/>
                    <w:bottom w:type="dxa" w:w="70"/>
                    <w:right w:type="dxa" w:w="100"/>
                  </w:tcMar>
                  <w:vAlign w:val="center"/>
                </w:tcPr>
                <w:p>
                  <w:pPr>
                    <w:spacing w:after="0"/>
                  </w:pPr>
                  <w:r>
                    <w:rPr>
                      <w:sz w:val="18"/>
                      <w:szCs w:val="18"/>
                    </w:rPr>
                    <w:t xml:space="preserve">Sí</w:t>
                  </w:r>
                </w:p>
              </w:tc>
              <w:tc>
                <w:tcPr>
                  <w:tcW w:type="dxa" w:w="1019"/>
                  <w:tcMar>
                    <w:top w:type="dxa" w:w="70"/>
                    <w:left w:type="dxa" w:w="100"/>
                    <w:bottom w:type="dxa" w:w="70"/>
                    <w:right w:type="dxa" w:w="100"/>
                  </w:tcMar>
                  <w:vAlign w:val="center"/>
                </w:tcPr>
                <w:p>
                  <w:pPr>
                    <w:spacing w:after="0"/>
                  </w:pPr>
                  <w:r>
                    <w:rPr>
                      <w:sz w:val="18"/>
                      <w:szCs w:val="18"/>
                    </w:rPr>
                    <w:t xml:space="preserve">76.605</w:t>
                  </w:r>
                </w:p>
              </w:tc>
            </w:tr>
            <w:tr>
              <w:trPr>
                <w:cantSplit/>
                <w:tblHeader w:val="off"/>
              </w:trPr>
              <w:tc>
                <w:tcPr>
                  <w:tcW w:type="dxa" w:w="899"/>
                  <w:tcMar>
                    <w:top w:type="dxa" w:w="70"/>
                    <w:left w:type="dxa" w:w="100"/>
                    <w:bottom w:type="dxa" w:w="70"/>
                    <w:right w:type="dxa" w:w="100"/>
                  </w:tcMar>
                  <w:vAlign w:val="center"/>
                </w:tcPr>
                <w:p>
                  <w:pPr>
                    <w:spacing w:after="0"/>
                  </w:pPr>
                  <w:r>
                    <w:rPr>
                      <w:sz w:val="18"/>
                      <w:szCs w:val="18"/>
                    </w:rPr>
                    <w:t xml:space="preserve">E08</w:t>
                  </w:r>
                </w:p>
              </w:tc>
              <w:tc>
                <w:tcPr>
                  <w:tcW w:type="dxa" w:w="3426"/>
                  <w:tcMar>
                    <w:top w:type="dxa" w:w="70"/>
                    <w:left w:type="dxa" w:w="100"/>
                    <w:bottom w:type="dxa" w:w="70"/>
                    <w:right w:type="dxa" w:w="100"/>
                  </w:tcMar>
                  <w:vAlign w:val="center"/>
                </w:tcPr>
                <w:p>
                  <w:pPr>
                    <w:spacing w:after="0"/>
                  </w:pPr>
                  <w:r>
                    <w:rPr>
                      <w:sz w:val="18"/>
                      <w:szCs w:val="18"/>
                    </w:rPr>
                    <w:t xml:space="preserve">Alta por derivación a una institución privada</w:t>
                  </w:r>
                </w:p>
              </w:tc>
              <w:tc>
                <w:tcPr>
                  <w:tcW w:type="dxa" w:w="783"/>
                  <w:tcMar>
                    <w:top w:type="dxa" w:w="70"/>
                    <w:left w:type="dxa" w:w="100"/>
                    <w:bottom w:type="dxa" w:w="70"/>
                    <w:right w:type="dxa" w:w="100"/>
                  </w:tcMar>
                  <w:vAlign w:val="center"/>
                </w:tcPr>
                <w:p>
                  <w:pPr>
                    <w:spacing w:after="0"/>
                  </w:pPr>
                  <w:r>
                    <w:rPr>
                      <w:sz w:val="18"/>
                      <w:szCs w:val="18"/>
                    </w:rPr>
                    <w:t xml:space="preserve">Caso</w:t>
                  </w:r>
                </w:p>
              </w:tc>
              <w:tc>
                <w:tcPr>
                  <w:tcW w:type="dxa" w:w="899"/>
                  <w:tcMar>
                    <w:top w:type="dxa" w:w="70"/>
                    <w:left w:type="dxa" w:w="100"/>
                    <w:bottom w:type="dxa" w:w="70"/>
                    <w:right w:type="dxa" w:w="100"/>
                  </w:tcMar>
                  <w:vAlign w:val="center"/>
                </w:tcPr>
                <w:p>
                  <w:pPr>
                    <w:spacing w:after="0"/>
                  </w:pPr>
                  <w:r>
                    <w:rPr>
                      <w:sz w:val="18"/>
                      <w:szCs w:val="18"/>
                    </w:rPr>
                    <w:t xml:space="preserve">Sí</w:t>
                  </w:r>
                </w:p>
              </w:tc>
              <w:tc>
                <w:tcPr>
                  <w:tcW w:type="dxa" w:w="1019"/>
                  <w:tcMar>
                    <w:top w:type="dxa" w:w="70"/>
                    <w:left w:type="dxa" w:w="100"/>
                    <w:bottom w:type="dxa" w:w="70"/>
                    <w:right w:type="dxa" w:w="100"/>
                  </w:tcMar>
                  <w:vAlign w:val="center"/>
                </w:tcPr>
                <w:p>
                  <w:pPr>
                    <w:spacing w:after="0"/>
                  </w:pPr>
                  <w:r>
                    <w:rPr>
                      <w:sz w:val="18"/>
                      <w:szCs w:val="18"/>
                    </w:rPr>
                    <w:t xml:space="preserve">22.968</w:t>
                  </w:r>
                </w:p>
              </w:tc>
            </w:tr>
            <w:tr>
              <w:trPr>
                <w:cantSplit/>
                <w:tblHeader w:val="off"/>
              </w:trPr>
              <w:tc>
                <w:tcPr>
                  <w:tcW w:type="dxa" w:w="899"/>
                  <w:tcMar>
                    <w:top w:type="dxa" w:w="70"/>
                    <w:left w:type="dxa" w:w="100"/>
                    <w:bottom w:type="dxa" w:w="70"/>
                    <w:right w:type="dxa" w:w="100"/>
                  </w:tcMar>
                  <w:vAlign w:val="center"/>
                </w:tcPr>
                <w:p>
                  <w:pPr>
                    <w:spacing w:after="0"/>
                  </w:pPr>
                  <w:r>
                    <w:rPr>
                      <w:sz w:val="18"/>
                      <w:szCs w:val="18"/>
                    </w:rPr>
                    <w:t xml:space="preserve">E09</w:t>
                  </w:r>
                </w:p>
              </w:tc>
              <w:tc>
                <w:tcPr>
                  <w:tcW w:type="dxa" w:w="3426"/>
                  <w:tcMar>
                    <w:top w:type="dxa" w:w="70"/>
                    <w:left w:type="dxa" w:w="100"/>
                    <w:bottom w:type="dxa" w:w="70"/>
                    <w:right w:type="dxa" w:w="100"/>
                  </w:tcMar>
                  <w:vAlign w:val="center"/>
                </w:tcPr>
                <w:p>
                  <w:pPr>
                    <w:spacing w:after="0"/>
                  </w:pPr>
                  <w:r>
                    <w:rPr>
                      <w:sz w:val="18"/>
                      <w:szCs w:val="18"/>
                    </w:rPr>
                    <w:t xml:space="preserve">Sin GRD válido (D07, D08)</w:t>
                  </w:r>
                </w:p>
              </w:tc>
              <w:tc>
                <w:tcPr>
                  <w:tcW w:type="dxa" w:w="783"/>
                  <w:tcMar>
                    <w:top w:type="dxa" w:w="70"/>
                    <w:left w:type="dxa" w:w="100"/>
                    <w:bottom w:type="dxa" w:w="70"/>
                    <w:right w:type="dxa" w:w="100"/>
                  </w:tcMar>
                  <w:vAlign w:val="center"/>
                </w:tcPr>
                <w:p>
                  <w:pPr>
                    <w:spacing w:after="0"/>
                  </w:pPr>
                  <w:r>
                    <w:rPr>
                      <w:sz w:val="18"/>
                      <w:szCs w:val="18"/>
                    </w:rPr>
                    <w:t xml:space="preserve">Caso</w:t>
                  </w:r>
                </w:p>
              </w:tc>
              <w:tc>
                <w:tcPr>
                  <w:tcW w:type="dxa" w:w="899"/>
                  <w:tcMar>
                    <w:top w:type="dxa" w:w="70"/>
                    <w:left w:type="dxa" w:w="100"/>
                    <w:bottom w:type="dxa" w:w="70"/>
                    <w:right w:type="dxa" w:w="100"/>
                  </w:tcMar>
                  <w:vAlign w:val="center"/>
                </w:tcPr>
                <w:p>
                  <w:pPr>
                    <w:spacing w:after="0"/>
                  </w:pPr>
                  <w:r>
                    <w:rPr>
                      <w:sz w:val="18"/>
                      <w:szCs w:val="18"/>
                    </w:rPr>
                    <w:t xml:space="preserve">Sí</w:t>
                  </w:r>
                </w:p>
              </w:tc>
              <w:tc>
                <w:tcPr>
                  <w:tcW w:type="dxa" w:w="1019"/>
                  <w:tcMar>
                    <w:top w:type="dxa" w:w="70"/>
                    <w:left w:type="dxa" w:w="100"/>
                    <w:bottom w:type="dxa" w:w="70"/>
                    <w:right w:type="dxa" w:w="100"/>
                  </w:tcMar>
                  <w:vAlign w:val="center"/>
                </w:tcPr>
                <w:p>
                  <w:pPr>
                    <w:spacing w:after="0"/>
                  </w:pPr>
                  <w:r>
                    <w:rPr>
                      <w:sz w:val="18"/>
                      <w:szCs w:val="18"/>
                    </w:rPr>
                    <w:t xml:space="preserve">4.799</w:t>
                  </w:r>
                </w:p>
              </w:tc>
            </w:tr>
            <w:tr>
              <w:trPr>
                <w:cantSplit/>
                <w:tblHeader w:val="off"/>
              </w:trPr>
              <w:tc>
                <w:tcPr>
                  <w:tcW w:type="dxa" w:w="899"/>
                  <w:tcMar>
                    <w:top w:type="dxa" w:w="70"/>
                    <w:left w:type="dxa" w:w="100"/>
                    <w:bottom w:type="dxa" w:w="70"/>
                    <w:right w:type="dxa" w:w="100"/>
                  </w:tcMar>
                  <w:vAlign w:val="center"/>
                </w:tcPr>
                <w:p>
                  <w:pPr>
                    <w:spacing w:after="0"/>
                  </w:pPr>
                  <w:r>
                    <w:rPr>
                      <w:sz w:val="18"/>
                      <w:szCs w:val="18"/>
                    </w:rPr>
                    <w:t xml:space="preserve">E10</w:t>
                  </w:r>
                </w:p>
              </w:tc>
              <w:tc>
                <w:tcPr>
                  <w:tcW w:type="dxa" w:w="3426"/>
                  <w:tcMar>
                    <w:top w:type="dxa" w:w="70"/>
                    <w:left w:type="dxa" w:w="100"/>
                    <w:bottom w:type="dxa" w:w="70"/>
                    <w:right w:type="dxa" w:w="100"/>
                  </w:tcMar>
                  <w:vAlign w:val="center"/>
                </w:tcPr>
                <w:p>
                  <w:pPr>
                    <w:spacing w:after="0"/>
                  </w:pPr>
                  <w:r>
                    <w:rPr>
                      <w:sz w:val="18"/>
                      <w:szCs w:val="18"/>
                    </w:rPr>
                    <w:t xml:space="preserve">Datos básicos faltantes (</w:t>
                  </w:r>
                  <w:hyperlink w:history="1" w:anchor="E_D21">
                    <w:r>
                      <w:rPr>
                        <w:color w:val="0563C1"/>
                        <w:sz w:val="18"/>
                        <w:szCs w:val="18"/>
                        <w:u w:val="single"/>
                      </w:rPr>
                      <w:t xml:space="preserve">D21</w:t>
                    </w:r>
                  </w:hyperlink>
                  <w:r>
                    <w:rPr>
                      <w:sz w:val="18"/>
                      <w:szCs w:val="18"/>
                    </w:rPr>
                    <w:t xml:space="preserve">)</w:t>
                  </w:r>
                </w:p>
              </w:tc>
              <w:tc>
                <w:tcPr>
                  <w:tcW w:type="dxa" w:w="783"/>
                  <w:tcMar>
                    <w:top w:type="dxa" w:w="70"/>
                    <w:left w:type="dxa" w:w="100"/>
                    <w:bottom w:type="dxa" w:w="70"/>
                    <w:right w:type="dxa" w:w="100"/>
                  </w:tcMar>
                  <w:vAlign w:val="center"/>
                </w:tcPr>
                <w:p>
                  <w:pPr>
                    <w:spacing w:after="0"/>
                  </w:pPr>
                  <w:r>
                    <w:rPr>
                      <w:sz w:val="18"/>
                      <w:szCs w:val="18"/>
                    </w:rPr>
                    <w:t xml:space="preserve">Caso</w:t>
                  </w:r>
                </w:p>
              </w:tc>
              <w:tc>
                <w:tcPr>
                  <w:tcW w:type="dxa" w:w="899"/>
                  <w:tcMar>
                    <w:top w:type="dxa" w:w="70"/>
                    <w:left w:type="dxa" w:w="100"/>
                    <w:bottom w:type="dxa" w:w="70"/>
                    <w:right w:type="dxa" w:w="100"/>
                  </w:tcMar>
                  <w:vAlign w:val="center"/>
                </w:tcPr>
                <w:p>
                  <w:pPr>
                    <w:spacing w:after="0"/>
                  </w:pPr>
                  <w:r>
                    <w:rPr>
                      <w:sz w:val="18"/>
                      <w:szCs w:val="18"/>
                    </w:rPr>
                    <w:t xml:space="preserve">Sí</w:t>
                  </w:r>
                </w:p>
              </w:tc>
              <w:tc>
                <w:tcPr>
                  <w:tcW w:type="dxa" w:w="1019"/>
                  <w:tcMar>
                    <w:top w:type="dxa" w:w="70"/>
                    <w:left w:type="dxa" w:w="100"/>
                    <w:bottom w:type="dxa" w:w="70"/>
                    <w:right w:type="dxa" w:w="100"/>
                  </w:tcMar>
                  <w:vAlign w:val="center"/>
                </w:tcPr>
                <w:p>
                  <w:pPr>
                    <w:spacing w:after="0"/>
                  </w:pPr>
                  <w:r>
                    <w:rPr>
                      <w:sz w:val="18"/>
                      <w:szCs w:val="18"/>
                    </w:rPr>
                    <w:t xml:space="preserve">99</w:t>
                  </w:r>
                </w:p>
              </w:tc>
            </w:tr>
            <w:tr>
              <w:trPr>
                <w:cantSplit/>
                <w:tblHeader w:val="off"/>
              </w:trPr>
              <w:tc>
                <w:tcPr>
                  <w:tcW w:type="dxa" w:w="899"/>
                  <w:tcMar>
                    <w:top w:type="dxa" w:w="70"/>
                    <w:left w:type="dxa" w:w="100"/>
                    <w:bottom w:type="dxa" w:w="70"/>
                    <w:right w:type="dxa" w:w="100"/>
                  </w:tcMar>
                  <w:vAlign w:val="center"/>
                </w:tcPr>
                <w:p>
                  <w:pPr>
                    <w:spacing w:after="0"/>
                  </w:pPr>
                  <w:r>
                    <w:rPr>
                      <w:sz w:val="18"/>
                      <w:szCs w:val="18"/>
                    </w:rPr>
                    <w:t xml:space="preserve">E11</w:t>
                  </w:r>
                </w:p>
              </w:tc>
              <w:tc>
                <w:tcPr>
                  <w:tcW w:type="dxa" w:w="3426"/>
                  <w:tcMar>
                    <w:top w:type="dxa" w:w="70"/>
                    <w:left w:type="dxa" w:w="100"/>
                    <w:bottom w:type="dxa" w:w="70"/>
                    <w:right w:type="dxa" w:w="100"/>
                  </w:tcMar>
                  <w:vAlign w:val="center"/>
                </w:tcPr>
                <w:p>
                  <w:pPr>
                    <w:spacing w:after="0"/>
                  </w:pPr>
                  <w:r>
                    <w:rPr>
                      <w:sz w:val="18"/>
                      <w:szCs w:val="18"/>
                    </w:rPr>
                    <w:t xml:space="preserve">Ventana de seguimiento incompleta (</w:t>
                  </w:r>
                  <w:hyperlink w:history="1" w:anchor="E_D22">
                    <w:r>
                      <w:rPr>
                        <w:color w:val="0563C1"/>
                        <w:sz w:val="18"/>
                        <w:szCs w:val="18"/>
                        <w:u w:val="single"/>
                      </w:rPr>
                      <w:t xml:space="preserve">D22</w:t>
                    </w:r>
                  </w:hyperlink>
                  <w:r>
                    <w:rPr>
                      <w:sz w:val="18"/>
                      <w:szCs w:val="18"/>
                    </w:rPr>
                    <w:t xml:space="preserve">)</w:t>
                  </w:r>
                </w:p>
              </w:tc>
              <w:tc>
                <w:tcPr>
                  <w:tcW w:type="dxa" w:w="783"/>
                  <w:tcMar>
                    <w:top w:type="dxa" w:w="70"/>
                    <w:left w:type="dxa" w:w="100"/>
                    <w:bottom w:type="dxa" w:w="70"/>
                    <w:right w:type="dxa" w:w="100"/>
                  </w:tcMar>
                  <w:vAlign w:val="center"/>
                </w:tcPr>
                <w:p>
                  <w:pPr>
                    <w:spacing w:after="0"/>
                  </w:pPr>
                  <w:r>
                    <w:rPr>
                      <w:sz w:val="18"/>
                      <w:szCs w:val="18"/>
                    </w:rPr>
                    <w:t xml:space="preserve">Caso</w:t>
                  </w:r>
                </w:p>
              </w:tc>
              <w:tc>
                <w:tcPr>
                  <w:tcW w:type="dxa" w:w="899"/>
                  <w:tcMar>
                    <w:top w:type="dxa" w:w="70"/>
                    <w:left w:type="dxa" w:w="100"/>
                    <w:bottom w:type="dxa" w:w="70"/>
                    <w:right w:type="dxa" w:w="100"/>
                  </w:tcMar>
                  <w:vAlign w:val="center"/>
                </w:tcPr>
                <w:p>
                  <w:pPr>
                    <w:spacing w:after="0"/>
                  </w:pPr>
                  <w:r>
                    <w:rPr>
                      <w:sz w:val="18"/>
                      <w:szCs w:val="18"/>
                    </w:rPr>
                    <w:t xml:space="preserve">Sí</w:t>
                  </w:r>
                </w:p>
              </w:tc>
              <w:tc>
                <w:tcPr>
                  <w:tcW w:type="dxa" w:w="1019"/>
                  <w:tcMar>
                    <w:top w:type="dxa" w:w="70"/>
                    <w:left w:type="dxa" w:w="100"/>
                    <w:bottom w:type="dxa" w:w="70"/>
                    <w:right w:type="dxa" w:w="100"/>
                  </w:tcMar>
                  <w:vAlign w:val="center"/>
                </w:tcPr>
                <w:p>
                  <w:pPr>
                    <w:spacing w:after="0"/>
                  </w:pPr>
                  <w:r>
                    <w:rPr>
                      <w:sz w:val="18"/>
                      <w:szCs w:val="18"/>
                    </w:rPr>
                    <w:t xml:space="preserve">141.391</w:t>
                  </w:r>
                </w:p>
              </w:tc>
            </w:tr>
            <w:tr>
              <w:trPr>
                <w:cantSplit/>
                <w:tblHeader w:val="off"/>
              </w:trPr>
              <w:tc>
                <w:tcPr>
                  <w:tcW w:type="dxa" w:w="899"/>
                  <w:tcMar>
                    <w:top w:type="dxa" w:w="70"/>
                    <w:left w:type="dxa" w:w="100"/>
                    <w:bottom w:type="dxa" w:w="70"/>
                    <w:right w:type="dxa" w:w="100"/>
                  </w:tcMar>
                  <w:vAlign w:val="center"/>
                </w:tcPr>
                <w:p>
                  <w:pPr>
                    <w:spacing w:after="0"/>
                  </w:pPr>
                  <w:r>
                    <w:rPr>
                      <w:sz w:val="18"/>
                      <w:szCs w:val="18"/>
                    </w:rPr>
                    <w:t xml:space="preserve">E12</w:t>
                  </w:r>
                </w:p>
              </w:tc>
              <w:tc>
                <w:tcPr>
                  <w:tcW w:type="dxa" w:w="3426"/>
                  <w:tcMar>
                    <w:top w:type="dxa" w:w="70"/>
                    <w:left w:type="dxa" w:w="100"/>
                    <w:bottom w:type="dxa" w:w="70"/>
                    <w:right w:type="dxa" w:w="100"/>
                  </w:tcMar>
                  <w:vAlign w:val="center"/>
                </w:tcPr>
                <w:p>
                  <w:pPr>
                    <w:spacing w:after="0"/>
                  </w:pPr>
                  <w:r>
                    <w:rPr>
                      <w:sz w:val="18"/>
                      <w:szCs w:val="18"/>
                    </w:rPr>
                    <w:t xml:space="preserve">Alta voluntaria o fuga del paciente</w:t>
                  </w:r>
                </w:p>
              </w:tc>
              <w:tc>
                <w:tcPr>
                  <w:tcW w:type="dxa" w:w="783"/>
                  <w:tcMar>
                    <w:top w:type="dxa" w:w="70"/>
                    <w:left w:type="dxa" w:w="100"/>
                    <w:bottom w:type="dxa" w:w="70"/>
                    <w:right w:type="dxa" w:w="100"/>
                  </w:tcMar>
                  <w:vAlign w:val="center"/>
                </w:tcPr>
                <w:p>
                  <w:pPr>
                    <w:spacing w:after="0"/>
                  </w:pPr>
                  <w:r>
                    <w:rPr>
                      <w:sz w:val="18"/>
                      <w:szCs w:val="18"/>
                    </w:rPr>
                    <w:t xml:space="preserve">Caso</w:t>
                  </w:r>
                </w:p>
              </w:tc>
              <w:tc>
                <w:tcPr>
                  <w:tcW w:type="dxa" w:w="899"/>
                  <w:tcMar>
                    <w:top w:type="dxa" w:w="70"/>
                    <w:left w:type="dxa" w:w="100"/>
                    <w:bottom w:type="dxa" w:w="70"/>
                    <w:right w:type="dxa" w:w="100"/>
                  </w:tcMar>
                  <w:vAlign w:val="center"/>
                </w:tcPr>
                <w:p>
                  <w:pPr>
                    <w:spacing w:after="0"/>
                  </w:pPr>
                  <w:r>
                    <w:rPr>
                      <w:sz w:val="18"/>
                      <w:szCs w:val="18"/>
                    </w:rPr>
                    <w:t xml:space="preserve">No</w:t>
                  </w:r>
                </w:p>
              </w:tc>
              <w:tc>
                <w:tcPr>
                  <w:tcW w:type="dxa" w:w="1019"/>
                  <w:tcMar>
                    <w:top w:type="dxa" w:w="70"/>
                    <w:left w:type="dxa" w:w="100"/>
                    <w:bottom w:type="dxa" w:w="70"/>
                    <w:right w:type="dxa" w:w="100"/>
                  </w:tcMar>
                  <w:vAlign w:val="center"/>
                </w:tcPr>
                <w:p>
                  <w:pPr>
                    <w:spacing w:after="0"/>
                  </w:pPr>
                  <w:r>
                    <w:rPr>
                      <w:sz w:val="18"/>
                      <w:szCs w:val="18"/>
                    </w:rPr>
                    <w:t xml:space="preserve">—</w:t>
                  </w:r>
                </w:p>
              </w:tc>
            </w:tr>
            <w:tr>
              <w:trPr>
                <w:cantSplit/>
                <w:tblHeader w:val="off"/>
              </w:trPr>
              <w:tc>
                <w:tcPr>
                  <w:tcW w:type="dxa" w:w="899"/>
                  <w:tcMar>
                    <w:top w:type="dxa" w:w="70"/>
                    <w:left w:type="dxa" w:w="100"/>
                    <w:bottom w:type="dxa" w:w="70"/>
                    <w:right w:type="dxa" w:w="100"/>
                  </w:tcMar>
                  <w:vAlign w:val="center"/>
                </w:tcPr>
                <w:p>
                  <w:pPr>
                    <w:spacing w:after="0"/>
                  </w:pPr>
                  <w:r>
                    <w:rPr>
                      <w:sz w:val="18"/>
                      <w:szCs w:val="18"/>
                    </w:rPr>
                    <w:t xml:space="preserve">E13</w:t>
                  </w:r>
                </w:p>
              </w:tc>
              <w:tc>
                <w:tcPr>
                  <w:tcW w:type="dxa" w:w="3426"/>
                  <w:tcMar>
                    <w:top w:type="dxa" w:w="70"/>
                    <w:left w:type="dxa" w:w="100"/>
                    <w:bottom w:type="dxa" w:w="70"/>
                    <w:right w:type="dxa" w:w="100"/>
                  </w:tcMar>
                  <w:vAlign w:val="center"/>
                </w:tcPr>
                <w:p>
                  <w:pPr>
                    <w:spacing w:after="0"/>
                  </w:pPr>
                  <w:r>
                    <w:rPr>
                      <w:sz w:val="18"/>
                      <w:szCs w:val="18"/>
                    </w:rPr>
                    <w:t xml:space="preserve">Cirugía mayor ambulatoria</w:t>
                  </w:r>
                </w:p>
              </w:tc>
              <w:tc>
                <w:tcPr>
                  <w:tcW w:type="dxa" w:w="783"/>
                  <w:tcMar>
                    <w:top w:type="dxa" w:w="70"/>
                    <w:left w:type="dxa" w:w="100"/>
                    <w:bottom w:type="dxa" w:w="70"/>
                    <w:right w:type="dxa" w:w="100"/>
                  </w:tcMar>
                  <w:vAlign w:val="center"/>
                </w:tcPr>
                <w:p>
                  <w:pPr>
                    <w:spacing w:after="0"/>
                  </w:pPr>
                  <w:r>
                    <w:rPr>
                      <w:sz w:val="18"/>
                      <w:szCs w:val="18"/>
                    </w:rPr>
                    <w:t xml:space="preserve">Caso</w:t>
                  </w:r>
                </w:p>
              </w:tc>
              <w:tc>
                <w:tcPr>
                  <w:tcW w:type="dxa" w:w="899"/>
                  <w:tcMar>
                    <w:top w:type="dxa" w:w="70"/>
                    <w:left w:type="dxa" w:w="100"/>
                    <w:bottom w:type="dxa" w:w="70"/>
                    <w:right w:type="dxa" w:w="100"/>
                  </w:tcMar>
                  <w:vAlign w:val="center"/>
                </w:tcPr>
                <w:p>
                  <w:pPr>
                    <w:spacing w:after="0"/>
                  </w:pPr>
                  <w:r>
                    <w:rPr>
                      <w:sz w:val="18"/>
                      <w:szCs w:val="18"/>
                    </w:rPr>
                    <w:t xml:space="preserve">No</w:t>
                  </w:r>
                </w:p>
              </w:tc>
              <w:tc>
                <w:tcPr>
                  <w:tcW w:type="dxa" w:w="1019"/>
                  <w:tcMar>
                    <w:top w:type="dxa" w:w="70"/>
                    <w:left w:type="dxa" w:w="100"/>
                    <w:bottom w:type="dxa" w:w="70"/>
                    <w:right w:type="dxa" w:w="100"/>
                  </w:tcMar>
                  <w:vAlign w:val="center"/>
                </w:tcPr>
                <w:p>
                  <w:pPr>
                    <w:spacing w:after="0"/>
                  </w:pPr>
                  <w:r>
                    <w:rPr>
                      <w:sz w:val="18"/>
                      <w:szCs w:val="18"/>
                    </w:rPr>
                    <w:t xml:space="preserve">—</w:t>
                  </w:r>
                </w:p>
              </w:tc>
            </w:tr>
          </w:tbl>
          <w:p>
            <w:pPr>
              <w:spacing w:after="0"/>
            </w:pP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Conjunto final</w:t>
            </w:r>
          </w:p>
        </w:tc>
        <w:tc>
          <w:tcPr>
            <w:tcW w:type="dxa" w:w="7226"/>
            <w:tcMar>
              <w:top w:type="dxa" w:w="70"/>
              <w:left w:type="dxa" w:w="100"/>
              <w:bottom w:type="dxa" w:w="70"/>
              <w:right w:type="dxa" w:w="100"/>
            </w:tcMar>
          </w:tcPr>
          <w:p>
            <w:pPr>
              <w:keepNext/>
              <w:spacing w:after="0" w:before="0"/>
            </w:pPr>
            <w:r>
              <w:rPr>
                <w:sz w:val="20"/>
                <w:szCs w:val="20"/>
              </w:rPr>
              <w:t xml:space="preserve">De los 5.800.973 egresos de la tabla depurada, 5.154.605 (88,9 %) son caso de estudio y 5.565.982 (95,9 %) pueden contar como reingreso.</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Criterios desactivados</w:t>
            </w:r>
          </w:p>
        </w:tc>
        <w:tc>
          <w:tcPr>
            <w:tcW w:type="dxa" w:w="7226"/>
            <w:tcMar>
              <w:top w:type="dxa" w:w="70"/>
              <w:left w:type="dxa" w:w="100"/>
              <w:bottom w:type="dxa" w:w="70"/>
              <w:right w:type="dxa" w:w="100"/>
            </w:tcMar>
          </w:tcPr>
          <w:p>
            <w:pPr>
              <w:keepNext/>
              <w:spacing w:after="0" w:before="0"/>
            </w:pPr>
            <w:r>
              <w:rPr>
                <w:sz w:val="20"/>
                <w:szCs w:val="20"/>
              </w:rPr>
              <w:t xml:space="preserve">La cirugía mayor ambulatoria se conserva porque la propuesta no la excluye: son 851.948 casos de estudio (16,5 %), con un reingreso no planificado a 30 días cercano al 1,1 %, frente al 6,0 % de la hospitalización (cifras preliminares). El alta voluntaria y la fuga se conservan (70.142 casos de estudio). Si se activan, quitan esas cantidades.</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Evidencia</w:t>
            </w:r>
          </w:p>
        </w:tc>
        <w:tc>
          <w:tcPr>
            <w:tcW w:type="dxa" w:w="7226"/>
            <w:tcMar>
              <w:top w:type="dxa" w:w="70"/>
              <w:left w:type="dxa" w:w="100"/>
              <w:bottom w:type="dxa" w:w="70"/>
              <w:right w:type="dxa" w:w="100"/>
            </w:tcMar>
          </w:tcPr>
          <w:p>
            <w:pPr>
              <w:keepNext/>
              <w:spacing w:after="0" w:before="0"/>
            </w:pPr>
            <w:r>
              <w:rPr>
                <w:rFonts w:ascii="Consolas" w:cs="Consolas" w:eastAsia="Consolas" w:hAnsi="Consolas"/>
                <w:sz w:val="18"/>
                <w:szCs w:val="18"/>
                <w:shd w:fill="F2F2F2" w:color="auto" w:val="clear"/>
              </w:rPr>
              <w:t xml:space="preserve">2.2_depuracion_etiquetado/reportes/08_depuracion.md</w:t>
            </w:r>
            <w:r>
              <w:rPr>
                <w:sz w:val="20"/>
                <w:szCs w:val="20"/>
              </w:rPr>
              <w:t xml:space="preserve">, sección 5.</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Estado</w:t>
            </w:r>
          </w:p>
        </w:tc>
        <w:tc>
          <w:tcPr>
            <w:tcW w:type="dxa" w:w="7226"/>
            <w:tcMar>
              <w:top w:type="dxa" w:w="70"/>
              <w:left w:type="dxa" w:w="100"/>
              <w:bottom w:type="dxa" w:w="70"/>
              <w:right w:type="dxa" w:w="100"/>
            </w:tcMar>
          </w:tcPr>
          <w:p>
            <w:pPr>
              <w:keepNext w:val="false"/>
              <w:spacing w:after="0" w:before="0"/>
            </w:pPr>
            <w:r>
              <w:rPr>
                <w:sz w:val="20"/>
                <w:szCs w:val="20"/>
              </w:rPr>
              <w:t xml:space="preserve">Adoptada en cuanto a aplicar las exclusiones como marcas en una tabla de criterios. La tabla y sus cifras fueron reemplazadas por </w:t>
            </w:r>
            <w:hyperlink w:history="1" w:anchor="E_D35">
              <w:r>
                <w:rPr>
                  <w:color w:val="0563C1"/>
                  <w:sz w:val="20"/>
                  <w:szCs w:val="20"/>
                  <w:u w:val="single"/>
                </w:rPr>
                <w:t xml:space="preserve">D35</w:t>
              </w:r>
            </w:hyperlink>
            <w:r>
              <w:rPr>
                <w:sz w:val="20"/>
                <w:szCs w:val="20"/>
              </w:rPr>
              <w:t xml:space="preserve"> el 8 de octubre de 2026; la cirugía mayor ambulatoria dejó de conservarse (</w:t>
            </w:r>
            <w:hyperlink w:history="1" w:anchor="E_D32">
              <w:r>
                <w:rPr>
                  <w:color w:val="0563C1"/>
                  <w:sz w:val="20"/>
                  <w:szCs w:val="20"/>
                  <w:u w:val="single"/>
                </w:rPr>
                <w:t xml:space="preserve">D32</w:t>
              </w:r>
            </w:hyperlink>
            <w:r>
              <w:rPr>
                <w:sz w:val="20"/>
                <w:szCs w:val="20"/>
              </w:rPr>
              <w:t xml:space="preserve">).</w:t>
            </w:r>
          </w:p>
        </w:tc>
      </w:tr>
    </w:tbl>
    <w:p>
      <w:pPr>
        <w:pStyle w:val="Heading2"/>
      </w:pPr>
      <w:bookmarkStart w:name="E_D24" w:id="11"/>
      <w:r>
        <w:rPr>
          <w:color w:val="548235"/>
        </w:rPr>
        <w:t xml:space="preserve">D24</w:t>
      </w:r>
      <w:bookmarkEnd w:id="11"/>
      <w:r>
        <w:t xml:space="preserve"> · Aplicación de la regla de duplicados</w:t>
      </w:r>
    </w:p>
    <w:p>
      <w:pPr>
        <w:keepNext/>
        <w:spacing w:after="100"/>
      </w:pPr>
      <w:r>
        <w:rPr>
          <w:b/>
          <w:bCs/>
          <w:color w:val="548235"/>
          <w:sz w:val="18"/>
          <w:szCs w:val="18"/>
        </w:rPr>
        <w:t xml:space="preserve">Decisión</w:t>
      </w:r>
      <w:r>
        <w:rPr>
          <w:color w:val="808080"/>
          <w:sz w:val="18"/>
          <w:szCs w:val="18"/>
        </w:rPr>
        <w:t xml:space="preserve">  ·  6 de octubre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2.2</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Decisión</w:t>
            </w:r>
          </w:p>
        </w:tc>
        <w:tc>
          <w:tcPr>
            <w:tcW w:type="dxa" w:w="7226"/>
            <w:tcMar>
              <w:top w:type="dxa" w:w="70"/>
              <w:left w:type="dxa" w:w="100"/>
              <w:bottom w:type="dxa" w:w="70"/>
              <w:right w:type="dxa" w:w="100"/>
            </w:tcMar>
          </w:tcPr>
          <w:p>
            <w:pPr>
              <w:keepNext/>
              <w:spacing w:after="0" w:before="0"/>
            </w:pPr>
            <w:r>
              <w:rPr>
                <w:sz w:val="20"/>
                <w:szCs w:val="20"/>
              </w:rPr>
              <w:t xml:space="preserve">Se aplica D15. Se eliminan las 3.818 copias exactas. Cuando varios registros comparten paciente, hospital, fecha de ingreso, fecha de alta, sexo y fecha de nacimiento, se conserva el más completo: se eliminan 3.745 registros. La tabla depurada queda con 5.800.973 egresos.</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Registros que no se fusionan</w:t>
            </w:r>
          </w:p>
        </w:tc>
        <w:tc>
          <w:tcPr>
            <w:tcW w:type="dxa" w:w="7226"/>
            <w:tcMar>
              <w:top w:type="dxa" w:w="70"/>
              <w:left w:type="dxa" w:w="100"/>
              <w:bottom w:type="dxa" w:w="70"/>
              <w:right w:type="dxa" w:w="100"/>
            </w:tcMar>
          </w:tcPr>
          <w:p>
            <w:pPr>
              <w:keepNext/>
              <w:spacing w:after="0" w:before="0"/>
            </w:pPr>
            <w:r>
              <w:rPr>
                <w:sz w:val="20"/>
                <w:szCs w:val="20"/>
              </w:rPr>
              <w:t xml:space="preserve">634 registros, en 312 grupos (302 pares y 10 tríos), comparten paciente, hospital y fechas, pero difieren en el sexo o en la fecha de nacimiento. Según </w:t>
            </w:r>
            <w:hyperlink w:history="1" w:anchor="E_D18">
              <w:r>
                <w:rPr>
                  <w:color w:val="0563C1"/>
                  <w:sz w:val="20"/>
                  <w:szCs w:val="20"/>
                  <w:u w:val="single"/>
                </w:rPr>
                <w:t xml:space="preserve">D18</w:t>
              </w:r>
            </w:hyperlink>
            <w:r>
              <w:rPr>
                <w:sz w:val="20"/>
                <w:szCs w:val="20"/>
              </w:rPr>
              <w:t xml:space="preserve">, en 146 grupos son personas distintas y en 124 el identificador es genérico. En los otros 42 son la misma persona: no se borran, pero quedan en un mismo episodio asistencial (</w:t>
            </w:r>
            <w:hyperlink w:history="1" w:anchor="E_D19">
              <w:r>
                <w:rPr>
                  <w:color w:val="0563C1"/>
                  <w:sz w:val="20"/>
                  <w:szCs w:val="20"/>
                  <w:u w:val="single"/>
                </w:rPr>
                <w:t xml:space="preserve">D19</w:t>
              </w:r>
            </w:hyperlink>
            <w:r>
              <w:rPr>
                <w:sz w:val="20"/>
                <w:szCs w:val="20"/>
              </w:rPr>
              <w:t xml:space="preserve">), de modo que solo uno es caso de estudio y ninguno cuenta como reingreso del otro.</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Corrige a</w:t>
            </w:r>
          </w:p>
        </w:tc>
        <w:tc>
          <w:tcPr>
            <w:tcW w:type="dxa" w:w="7226"/>
            <w:tcMar>
              <w:top w:type="dxa" w:w="70"/>
              <w:left w:type="dxa" w:w="100"/>
              <w:bottom w:type="dxa" w:w="70"/>
              <w:right w:type="dxa" w:w="100"/>
            </w:tcMar>
          </w:tcPr>
          <w:p>
            <w:pPr>
              <w:keepNext/>
              <w:spacing w:after="0" w:before="0"/>
            </w:pPr>
            <w:r>
              <w:rPr>
                <w:sz w:val="20"/>
                <w:szCs w:val="20"/>
              </w:rPr>
              <w:t xml:space="preserve">D15 de </w:t>
            </w:r>
            <w:r>
              <w:rPr>
                <w:rFonts w:ascii="Consolas" w:cs="Consolas" w:eastAsia="Consolas" w:hAnsi="Consolas"/>
                <w:sz w:val="18"/>
                <w:szCs w:val="18"/>
                <w:shd w:fill="F2F2F2" w:color="auto" w:val="clear"/>
              </w:rPr>
              <w:t xml:space="preserve">docs/bitacora.md</w:t>
            </w:r>
            <w:r>
              <w:rPr>
                <w:sz w:val="20"/>
                <w:szCs w:val="20"/>
              </w:rPr>
              <w:t xml:space="preserve">, que indicaba 4.067 registros sobrantes (incluía los 322 de estos grupos) y 296 pares con distinto sexo o fecha de nacimiento.</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Estado</w:t>
            </w:r>
          </w:p>
        </w:tc>
        <w:tc>
          <w:tcPr>
            <w:tcW w:type="dxa" w:w="7226"/>
            <w:tcMar>
              <w:top w:type="dxa" w:w="70"/>
              <w:left w:type="dxa" w:w="100"/>
              <w:bottom w:type="dxa" w:w="70"/>
              <w:right w:type="dxa" w:w="100"/>
            </w:tcMar>
          </w:tcPr>
          <w:p>
            <w:pPr>
              <w:keepNext w:val="false"/>
              <w:spacing w:after="0" w:before="0"/>
            </w:pPr>
            <w:r>
              <w:rPr>
                <w:sz w:val="20"/>
                <w:szCs w:val="20"/>
              </w:rPr>
              <w:t xml:space="preserve">Adoptada. Pendiente de validar con profesor guía.</w:t>
            </w:r>
          </w:p>
        </w:tc>
      </w:tr>
    </w:tbl>
    <w:p>
      <w:pPr>
        <w:pStyle w:val="Heading2"/>
      </w:pPr>
      <w:bookmarkStart w:name="E_H17" w:id="12"/>
      <w:r>
        <w:rPr>
          <w:color w:val="2E75B6"/>
        </w:rPr>
        <w:t xml:space="preserve">H17</w:t>
      </w:r>
      <w:bookmarkEnd w:id="12"/>
      <w:r>
        <w:t xml:space="preserve"> · Un parto no puede tener un reingreso de la misma CDM</w:t>
      </w:r>
    </w:p>
    <w:p>
      <w:pPr>
        <w:keepNext/>
        <w:spacing w:after="100"/>
      </w:pPr>
      <w:r>
        <w:rPr>
          <w:b/>
          <w:bCs/>
          <w:color w:val="2E75B6"/>
          <w:sz w:val="18"/>
          <w:szCs w:val="18"/>
        </w:rPr>
        <w:t xml:space="preserve">Hallazgo</w:t>
      </w:r>
      <w:r>
        <w:rPr>
          <w:color w:val="808080"/>
          <w:sz w:val="18"/>
          <w:szCs w:val="18"/>
        </w:rPr>
        <w:t xml:space="preserve">  ·  6 de octubre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2.2</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Hallazgo</w:t>
            </w:r>
          </w:p>
        </w:tc>
        <w:tc>
          <w:tcPr>
            <w:tcW w:type="dxa" w:w="7226"/>
            <w:tcMar>
              <w:top w:type="dxa" w:w="70"/>
              <w:left w:type="dxa" w:w="100"/>
              <w:bottom w:type="dxa" w:w="70"/>
              <w:right w:type="dxa" w:w="100"/>
            </w:tcMar>
          </w:tcPr>
          <w:p>
            <w:pPr>
              <w:keepNext/>
              <w:spacing w:after="0" w:before="0"/>
            </w:pPr>
            <w:r>
              <w:rPr>
                <w:sz w:val="20"/>
                <w:szCs w:val="20"/>
              </w:rPr>
              <w:t xml:space="preserve">La CDM 14 contiene solo partos y cesáreas (GRD que comienzan con 146 o 147). Las complicaciones del embarazo y del puerperio pertenecen a la CDM 13. Como un parto no cuenta como reingreso no planificado (</w:t>
            </w:r>
            <w:hyperlink w:history="1" w:anchor="E_D20">
              <w:r>
                <w:rPr>
                  <w:color w:val="0563C1"/>
                  <w:sz w:val="20"/>
                  <w:szCs w:val="20"/>
                  <w:u w:val="single"/>
                </w:rPr>
                <w:t xml:space="preserve">D20</w:t>
              </w:r>
            </w:hyperlink>
            <w:r>
              <w:rPr>
                <w:sz w:val="20"/>
                <w:szCs w:val="20"/>
              </w:rPr>
              <w:t xml:space="preserve">), un caso de estudio con CDM 14 no puede tener un reingreso relacionado si la relación se mide por coincidencia exacta de CDM.</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Magnitud</w:t>
            </w:r>
          </w:p>
        </w:tc>
        <w:tc>
          <w:tcPr>
            <w:tcW w:type="dxa" w:w="7226"/>
            <w:tcMar>
              <w:top w:type="dxa" w:w="70"/>
              <w:left w:type="dxa" w:w="100"/>
              <w:bottom w:type="dxa" w:w="70"/>
              <w:right w:type="dxa" w:w="100"/>
            </w:tcMar>
          </w:tcPr>
          <w:p>
            <w:pPr>
              <w:keepNext/>
              <w:spacing w:after="0" w:before="0"/>
            </w:pPr>
            <w:r>
              <w:rPr>
                <w:sz w:val="20"/>
                <w:szCs w:val="20"/>
              </w:rPr>
              <w:t xml:space="preserve">Los partos son 618.882 casos de estudio (12,0 %). De ellos, 8.938 tienen un reingreso no planificado dentro de 30 días, y en 6.565 (73 %) el primer reingreso es de la CDM 13, sobre todo infecciones y complicaciones del puerperio (O86, O90 y O85). Ejemplo: el egreso </w:t>
            </w:r>
            <w:r>
              <w:rPr>
                <w:rFonts w:ascii="Consolas" w:cs="Consolas" w:eastAsia="Consolas" w:hAnsi="Consolas"/>
                <w:sz w:val="18"/>
                <w:szCs w:val="18"/>
                <w:shd w:fill="F2F2F2" w:color="auto" w:val="clear"/>
              </w:rPr>
              <w:t xml:space="preserve">20230009620</w:t>
            </w:r>
            <w:r>
              <w:rPr>
                <w:sz w:val="20"/>
                <w:szCs w:val="20"/>
              </w:rPr>
              <w:t xml:space="preserve"> (un parto) reingresa a los 5 días por una infección puerperal (</w:t>
            </w:r>
            <w:r>
              <w:rPr>
                <w:rFonts w:ascii="Consolas" w:cs="Consolas" w:eastAsia="Consolas" w:hAnsi="Consolas"/>
                <w:sz w:val="18"/>
                <w:szCs w:val="18"/>
                <w:shd w:fill="F2F2F2" w:color="auto" w:val="clear"/>
              </w:rPr>
              <w:t xml:space="preserve">20230594946</w:t>
            </w:r>
            <w:r>
              <w:rPr>
                <w:sz w:val="20"/>
                <w:szCs w:val="20"/>
              </w:rPr>
              <w:t xml:space="preserve">, CDM 13).</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Consecuencia</w:t>
            </w:r>
          </w:p>
        </w:tc>
        <w:tc>
          <w:tcPr>
            <w:tcW w:type="dxa" w:w="7226"/>
            <w:tcMar>
              <w:top w:type="dxa" w:w="70"/>
              <w:left w:type="dxa" w:w="100"/>
              <w:bottom w:type="dxa" w:w="70"/>
              <w:right w:type="dxa" w:w="100"/>
            </w:tcMar>
          </w:tcPr>
          <w:p>
            <w:pPr>
              <w:keepNext/>
              <w:spacing w:after="0" w:before="0"/>
            </w:pPr>
            <w:r>
              <w:rPr>
                <w:sz w:val="20"/>
                <w:szCs w:val="20"/>
              </w:rPr>
              <w:t xml:space="preserve">Sin corrección, la variable de reingreso relacionado vale 0 en todos los partos, y un modelo aprendería esa regla, que es un efecto de la clasificación y no de los pacientes.</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Evidencia</w:t>
            </w:r>
          </w:p>
        </w:tc>
        <w:tc>
          <w:tcPr>
            <w:tcW w:type="dxa" w:w="7226"/>
            <w:tcMar>
              <w:top w:type="dxa" w:w="70"/>
              <w:left w:type="dxa" w:w="100"/>
              <w:bottom w:type="dxa" w:w="70"/>
              <w:right w:type="dxa" w:w="100"/>
            </w:tcMar>
          </w:tcPr>
          <w:p>
            <w:pPr>
              <w:keepNext/>
              <w:spacing w:after="0" w:before="0"/>
            </w:pPr>
            <w:r>
              <w:rPr>
                <w:rFonts w:ascii="Consolas" w:cs="Consolas" w:eastAsia="Consolas" w:hAnsi="Consolas"/>
                <w:sz w:val="18"/>
                <w:szCs w:val="18"/>
                <w:shd w:fill="F2F2F2" w:color="auto" w:val="clear"/>
              </w:rPr>
              <w:t xml:space="preserve">2.2_depuracion_etiquetado/scripts/09_etiquetar.py</w:t>
            </w:r>
            <w:r>
              <w:rPr>
                <w:sz w:val="20"/>
                <w:szCs w:val="20"/>
              </w:rPr>
              <w:t xml:space="preserve"> → </w:t>
            </w:r>
            <w:r>
              <w:rPr>
                <w:rFonts w:ascii="Consolas" w:cs="Consolas" w:eastAsia="Consolas" w:hAnsi="Consolas"/>
                <w:sz w:val="18"/>
                <w:szCs w:val="18"/>
                <w:shd w:fill="F2F2F2" w:color="auto" w:val="clear"/>
              </w:rPr>
              <w:t xml:space="preserve">2.2_depuracion_etiquetado/reportes/09_etiquetado.md</w:t>
            </w:r>
            <w:r>
              <w:rPr>
                <w:sz w:val="20"/>
                <w:szCs w:val="20"/>
              </w:rPr>
              <w:t xml:space="preserve">, secciones 5 y 6.</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Actualizado por</w:t>
            </w:r>
          </w:p>
        </w:tc>
        <w:tc>
          <w:tcPr>
            <w:tcW w:type="dxa" w:w="7226"/>
            <w:tcMar>
              <w:top w:type="dxa" w:w="70"/>
              <w:left w:type="dxa" w:w="100"/>
              <w:bottom w:type="dxa" w:w="70"/>
              <w:right w:type="dxa" w:w="100"/>
            </w:tcMar>
          </w:tcPr>
          <w:p>
            <w:pPr>
              <w:keepNext w:val="false"/>
              <w:spacing w:after="0" w:before="0"/>
            </w:pPr>
            <w:hyperlink w:history="1" w:anchor="E_D31">
              <w:r>
                <w:rPr>
                  <w:color w:val="0563C1"/>
                  <w:sz w:val="20"/>
                  <w:szCs w:val="20"/>
                  <w:u w:val="single"/>
                </w:rPr>
                <w:t xml:space="preserve">D31</w:t>
              </w:r>
            </w:hyperlink>
            <w:r>
              <w:rPr>
                <w:sz w:val="20"/>
                <w:szCs w:val="20"/>
              </w:rPr>
              <w:t xml:space="preserve">, que deja la comparación sin agrupar y da las cifras de la cohorte final.</w:t>
            </w:r>
          </w:p>
        </w:tc>
      </w:tr>
    </w:tbl>
    <w:p>
      <w:pPr>
        <w:pStyle w:val="Heading2"/>
      </w:pPr>
      <w:bookmarkStart w:name="E_D25" w:id="13"/>
      <w:r>
        <w:rPr>
          <w:color w:val="548235"/>
        </w:rPr>
        <w:t xml:space="preserve">D25</w:t>
      </w:r>
      <w:bookmarkEnd w:id="13"/>
      <w:r>
        <w:t xml:space="preserve"> · Las CDM 13 y 14 cuentan como una sola al medir el reingreso relacionado</w:t>
      </w:r>
    </w:p>
    <w:p>
      <w:pPr>
        <w:keepNext/>
        <w:spacing w:after="100"/>
      </w:pPr>
      <w:r>
        <w:rPr>
          <w:b/>
          <w:bCs/>
          <w:color w:val="548235"/>
          <w:sz w:val="18"/>
          <w:szCs w:val="18"/>
        </w:rPr>
        <w:t xml:space="preserve">Decisión</w:t>
      </w:r>
      <w:r>
        <w:rPr>
          <w:color w:val="808080"/>
          <w:sz w:val="18"/>
          <w:szCs w:val="18"/>
        </w:rPr>
        <w:t xml:space="preserve">  ·  6 de octubre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2.2</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Decisión</w:t>
            </w:r>
          </w:p>
        </w:tc>
        <w:tc>
          <w:tcPr>
            <w:tcW w:type="dxa" w:w="7226"/>
            <w:tcMar>
              <w:top w:type="dxa" w:w="70"/>
              <w:left w:type="dxa" w:w="100"/>
              <w:bottom w:type="dxa" w:w="70"/>
              <w:right w:type="dxa" w:w="100"/>
            </w:tcMar>
          </w:tcPr>
          <w:p>
            <w:pPr>
              <w:keepNext/>
              <w:spacing w:after="0" w:before="0"/>
            </w:pPr>
            <w:r>
              <w:rPr>
                <w:sz w:val="20"/>
                <w:szCs w:val="20"/>
              </w:rPr>
              <w:t xml:space="preserve">Para decidir si un reingreso está relacionado con el caso de estudio, las CDM 13 y 14 se tratan como una sola. La columna </w:t>
            </w:r>
            <w:r>
              <w:rPr>
                <w:rFonts w:ascii="Consolas" w:cs="Consolas" w:eastAsia="Consolas" w:hAnsi="Consolas"/>
                <w:sz w:val="18"/>
                <w:szCs w:val="18"/>
                <w:shd w:fill="F2F2F2" w:color="auto" w:val="clear"/>
              </w:rPr>
              <w:t xml:space="preserve">CDM</w:t>
            </w:r>
            <w:r>
              <w:rPr>
                <w:sz w:val="20"/>
                <w:szCs w:val="20"/>
              </w:rPr>
              <w:t xml:space="preserve"> no se modifica: la agrupación solo se usa en esa comparación (parámetro </w:t>
            </w:r>
            <w:r>
              <w:rPr>
                <w:rFonts w:ascii="Consolas" w:cs="Consolas" w:eastAsia="Consolas" w:hAnsi="Consolas"/>
                <w:sz w:val="18"/>
                <w:szCs w:val="18"/>
                <w:shd w:fill="F2F2F2" w:color="auto" w:val="clear"/>
              </w:rPr>
              <w:t xml:space="preserve">cdm_agrupadas</w:t>
            </w:r>
            <w:r>
              <w:rPr>
                <w:sz w:val="20"/>
                <w:szCs w:val="20"/>
              </w:rPr>
              <w:t xml:space="preserve"> = </w:t>
            </w:r>
            <w:r>
              <w:rPr>
                <w:rFonts w:ascii="Consolas" w:cs="Consolas" w:eastAsia="Consolas" w:hAnsi="Consolas"/>
                <w:sz w:val="18"/>
                <w:szCs w:val="18"/>
                <w:shd w:fill="F2F2F2" w:color="auto" w:val="clear"/>
              </w:rPr>
              <w:t xml:space="preserve">13+14</w:t>
            </w:r>
            <w:r>
              <w:rPr>
                <w:sz w:val="20"/>
                <w:szCs w:val="20"/>
              </w:rPr>
              <w:t xml:space="preserve">).</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Efecto</w:t>
            </w:r>
          </w:p>
        </w:tc>
        <w:tc>
          <w:tcPr>
            <w:tcW w:type="dxa" w:w="7226"/>
            <w:tcMar>
              <w:top w:type="dxa" w:w="70"/>
              <w:left w:type="dxa" w:w="100"/>
              <w:bottom w:type="dxa" w:w="70"/>
              <w:right w:type="dxa" w:w="100"/>
            </w:tcMar>
          </w:tcPr>
          <w:p>
            <w:pPr>
              <w:keepNext/>
              <w:spacing w:after="0" w:before="0"/>
            </w:pPr>
            <w:r>
              <w:rPr>
                <w:rFonts w:ascii="Consolas" w:cs="Consolas" w:eastAsia="Consolas" w:hAnsi="Consolas"/>
                <w:sz w:val="18"/>
                <w:szCs w:val="18"/>
                <w:shd w:fill="F2F2F2" w:color="auto" w:val="clear"/>
              </w:rPr>
              <w:t xml:space="preserve">REING_7D_CDM</w:t>
            </w:r>
            <w:r>
              <w:rPr>
                <w:sz w:val="20"/>
                <w:szCs w:val="20"/>
              </w:rPr>
              <w:t xml:space="preserve"> pasa de 46.975 a 50.896 casos y </w:t>
            </w:r>
            <w:r>
              <w:rPr>
                <w:rFonts w:ascii="Consolas" w:cs="Consolas" w:eastAsia="Consolas" w:hAnsi="Consolas"/>
                <w:sz w:val="18"/>
                <w:szCs w:val="18"/>
                <w:shd w:fill="F2F2F2" w:color="auto" w:val="clear"/>
              </w:rPr>
              <w:t xml:space="preserve">REING_30D_CDM</w:t>
            </w:r>
            <w:r>
              <w:rPr>
                <w:sz w:val="20"/>
                <w:szCs w:val="20"/>
              </w:rPr>
              <w:t xml:space="preserve">, de 131.795 a 138.380. Las variables por cualquier causa no cambian. En los partos, el reingreso relacionado a 30 días pasa de 0 a 6.585 casos.</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Fundamento</w:t>
            </w:r>
          </w:p>
        </w:tc>
        <w:tc>
          <w:tcPr>
            <w:tcW w:type="dxa" w:w="7226"/>
            <w:tcMar>
              <w:top w:type="dxa" w:w="70"/>
              <w:left w:type="dxa" w:w="100"/>
              <w:bottom w:type="dxa" w:w="70"/>
              <w:right w:type="dxa" w:w="100"/>
            </w:tcMar>
          </w:tcPr>
          <w:p>
            <w:pPr>
              <w:keepNext/>
              <w:spacing w:after="0" w:before="0"/>
            </w:pPr>
            <w:hyperlink w:history="1" w:anchor="E_H17">
              <w:r>
                <w:rPr>
                  <w:color w:val="0563C1"/>
                  <w:sz w:val="20"/>
                  <w:szCs w:val="20"/>
                  <w:u w:val="single"/>
                </w:rPr>
                <w:t xml:space="preserve">H17</w:t>
              </w:r>
            </w:hyperlink>
            <w:r>
              <w:rPr>
                <w:sz w:val="20"/>
                <w:szCs w:val="20"/>
              </w:rPr>
              <w:t xml:space="preserve">. La propuesta mide la relación por coincidencia de CDM y reconoce que es una aproximación gruesa; esta agrupación corrige el único caso en que la aproximación da cero por construcción.</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Alternativa</w:t>
            </w:r>
          </w:p>
        </w:tc>
        <w:tc>
          <w:tcPr>
            <w:tcW w:type="dxa" w:w="7226"/>
            <w:tcMar>
              <w:top w:type="dxa" w:w="70"/>
              <w:left w:type="dxa" w:w="100"/>
              <w:bottom w:type="dxa" w:w="70"/>
              <w:right w:type="dxa" w:w="100"/>
            </w:tcMar>
          </w:tcPr>
          <w:p>
            <w:pPr>
              <w:keepNext/>
              <w:spacing w:after="0" w:before="0"/>
            </w:pPr>
            <w:r>
              <w:rPr>
                <w:sz w:val="20"/>
                <w:szCs w:val="20"/>
              </w:rPr>
              <w:t xml:space="preserve">Dejar </w:t>
            </w:r>
            <w:r>
              <w:rPr>
                <w:rFonts w:ascii="Consolas" w:cs="Consolas" w:eastAsia="Consolas" w:hAnsi="Consolas"/>
                <w:sz w:val="18"/>
                <w:szCs w:val="18"/>
                <w:shd w:fill="F2F2F2" w:color="auto" w:val="clear"/>
              </w:rPr>
              <w:t xml:space="preserve">cdm_agrupadas</w:t>
            </w:r>
            <w:r>
              <w:rPr>
                <w:sz w:val="20"/>
                <w:szCs w:val="20"/>
              </w:rPr>
              <w:t xml:space="preserve"> vacío para comparar la CDM tal cual, como dice literalmente la propuesta.</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Estado</w:t>
            </w:r>
          </w:p>
        </w:tc>
        <w:tc>
          <w:tcPr>
            <w:tcW w:type="dxa" w:w="7226"/>
            <w:tcMar>
              <w:top w:type="dxa" w:w="70"/>
              <w:left w:type="dxa" w:w="100"/>
              <w:bottom w:type="dxa" w:w="70"/>
              <w:right w:type="dxa" w:w="100"/>
            </w:tcMar>
          </w:tcPr>
          <w:p>
            <w:pPr>
              <w:keepNext w:val="false"/>
              <w:spacing w:after="0" w:before="0"/>
            </w:pPr>
            <w:r>
              <w:rPr>
                <w:sz w:val="20"/>
                <w:szCs w:val="20"/>
              </w:rPr>
              <w:t xml:space="preserve">Reemplazada por </w:t>
            </w:r>
            <w:hyperlink w:history="1" w:anchor="E_D31">
              <w:r>
                <w:rPr>
                  <w:color w:val="0563C1"/>
                  <w:sz w:val="20"/>
                  <w:szCs w:val="20"/>
                  <w:u w:val="single"/>
                </w:rPr>
                <w:t xml:space="preserve">D31</w:t>
              </w:r>
            </w:hyperlink>
            <w:r>
              <w:rPr>
                <w:sz w:val="20"/>
                <w:szCs w:val="20"/>
              </w:rPr>
              <w:t xml:space="preserve"> el 8 de octubre de 2026.</w:t>
            </w:r>
          </w:p>
        </w:tc>
      </w:tr>
    </w:tbl>
    <w:p>
      <w:pPr>
        <w:pStyle w:val="Heading2"/>
      </w:pPr>
      <w:bookmarkStart w:name="E_D26" w:id="14"/>
      <w:r>
        <w:rPr>
          <w:color w:val="548235"/>
        </w:rPr>
        <w:t xml:space="preserve">D26</w:t>
      </w:r>
      <w:bookmarkEnd w:id="14"/>
      <w:r>
        <w:t xml:space="preserve"> · Las variables objetivo son las cuatro de la propuesta, con reingresos no planificados</w:t>
      </w:r>
    </w:p>
    <w:p>
      <w:pPr>
        <w:keepNext/>
        <w:spacing w:after="100"/>
      </w:pPr>
      <w:r>
        <w:rPr>
          <w:b/>
          <w:bCs/>
          <w:color w:val="548235"/>
          <w:sz w:val="18"/>
          <w:szCs w:val="18"/>
        </w:rPr>
        <w:t xml:space="preserve">Decisión</w:t>
      </w:r>
      <w:r>
        <w:rPr>
          <w:color w:val="808080"/>
          <w:sz w:val="18"/>
          <w:szCs w:val="18"/>
        </w:rPr>
        <w:t xml:space="preserve">  ·  6 de octubre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2.2</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Decisión</w:t>
            </w:r>
          </w:p>
        </w:tc>
        <w:tc>
          <w:tcPr>
            <w:tcW w:type="dxa" w:w="7226"/>
            <w:tcMar>
              <w:top w:type="dxa" w:w="70"/>
              <w:left w:type="dxa" w:w="100"/>
              <w:bottom w:type="dxa" w:w="70"/>
              <w:right w:type="dxa" w:w="100"/>
            </w:tcMar>
          </w:tcPr>
          <w:p>
            <w:pPr>
              <w:keepNext/>
              <w:spacing w:after="0" w:before="0"/>
            </w:pPr>
            <w:r>
              <w:rPr>
                <w:sz w:val="20"/>
                <w:szCs w:val="20"/>
              </w:rPr>
              <w:t xml:space="preserve">La tabla etiquetada contiene solo las cuatro variables objetivo de la propuesta, calculadas con reingresos no planificados, como indica su resumen: </w:t>
            </w:r>
            <w:r>
              <w:rPr>
                <w:rFonts w:ascii="Consolas" w:cs="Consolas" w:eastAsia="Consolas" w:hAnsi="Consolas"/>
                <w:sz w:val="18"/>
                <w:szCs w:val="18"/>
                <w:shd w:fill="F2F2F2" w:color="auto" w:val="clear"/>
              </w:rPr>
              <w:t xml:space="preserve">REING_7D</w:t>
            </w:r>
            <w:r>
              <w:rPr>
                <w:sz w:val="20"/>
                <w:szCs w:val="20"/>
              </w:rPr>
              <w:t xml:space="preserve"> y </w:t>
            </w:r>
            <w:r>
              <w:rPr>
                <w:rFonts w:ascii="Consolas" w:cs="Consolas" w:eastAsia="Consolas" w:hAnsi="Consolas"/>
                <w:sz w:val="18"/>
                <w:szCs w:val="18"/>
                <w:shd w:fill="F2F2F2" w:color="auto" w:val="clear"/>
              </w:rPr>
              <w:t xml:space="preserve">REING_30D</w:t>
            </w:r>
            <w:r>
              <w:rPr>
                <w:sz w:val="20"/>
                <w:szCs w:val="20"/>
              </w:rPr>
              <w:t xml:space="preserve"> (por cualquier causa) y </w:t>
            </w:r>
            <w:r>
              <w:rPr>
                <w:rFonts w:ascii="Consolas" w:cs="Consolas" w:eastAsia="Consolas" w:hAnsi="Consolas"/>
                <w:sz w:val="18"/>
                <w:szCs w:val="18"/>
                <w:shd w:fill="F2F2F2" w:color="auto" w:val="clear"/>
              </w:rPr>
              <w:t xml:space="preserve">REING_7D_CDM</w:t>
            </w:r>
            <w:r>
              <w:rPr>
                <w:sz w:val="20"/>
                <w:szCs w:val="20"/>
              </w:rPr>
              <w:t xml:space="preserve"> y </w:t>
            </w:r>
            <w:r>
              <w:rPr>
                <w:rFonts w:ascii="Consolas" w:cs="Consolas" w:eastAsia="Consolas" w:hAnsi="Consolas"/>
                <w:sz w:val="18"/>
                <w:szCs w:val="18"/>
                <w:shd w:fill="F2F2F2" w:color="auto" w:val="clear"/>
              </w:rPr>
              <w:t xml:space="preserve">REING_30D_CDM</w:t>
            </w:r>
            <w:r>
              <w:rPr>
                <w:sz w:val="20"/>
                <w:szCs w:val="20"/>
              </w:rPr>
              <w:t xml:space="preserve"> (relacionado con el diagnóstico). No se guardan las variables calculadas con todo ingreso que preveía </w:t>
            </w:r>
            <w:hyperlink w:history="1" w:anchor="E_D20">
              <w:r>
                <w:rPr>
                  <w:color w:val="0563C1"/>
                  <w:sz w:val="20"/>
                  <w:szCs w:val="20"/>
                  <w:u w:val="single"/>
                </w:rPr>
                <w:t xml:space="preserve">D20</w:t>
              </w:r>
            </w:hyperlink>
            <w:r>
              <w:rPr>
                <w:sz w:val="20"/>
                <w:szCs w:val="20"/>
              </w:rPr>
              <w:t xml:space="preserve">: esa forma de contar queda solo como una tabla de comparación en el reporte y se activa con el parámetro </w:t>
            </w:r>
            <w:r>
              <w:rPr>
                <w:rFonts w:ascii="Consolas" w:cs="Consolas" w:eastAsia="Consolas" w:hAnsi="Consolas"/>
                <w:sz w:val="18"/>
                <w:szCs w:val="18"/>
                <w:shd w:fill="F2F2F2" w:color="auto" w:val="clear"/>
              </w:rPr>
              <w:t xml:space="preserve">reingreso_solo_no_planificado</w:t>
            </w:r>
            <w:r>
              <w:rPr>
                <w:sz w:val="20"/>
                <w:szCs w:val="20"/>
              </w:rPr>
              <w:t xml:space="preserve"> = NO.</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Aclaración</w:t>
            </w:r>
          </w:p>
        </w:tc>
        <w:tc>
          <w:tcPr>
            <w:tcW w:type="dxa" w:w="7226"/>
            <w:tcMar>
              <w:top w:type="dxa" w:w="70"/>
              <w:left w:type="dxa" w:w="100"/>
              <w:bottom w:type="dxa" w:w="70"/>
              <w:right w:type="dxa" w:w="100"/>
            </w:tcMar>
          </w:tcPr>
          <w:p>
            <w:pPr>
              <w:keepNext/>
              <w:spacing w:after="0" w:before="0"/>
            </w:pPr>
            <w:r>
              <w:rPr>
                <w:sz w:val="20"/>
                <w:szCs w:val="20"/>
              </w:rPr>
              <w:t xml:space="preserve">Las cuatro variables están contenidas unas en otras. La ventana de 30 días incluye los primeros 7 días. «Por cualquier causa» significa que no se mira la causa, de modo que incluye a los reingresos relacionados.</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Resultado</w:t>
            </w:r>
          </w:p>
        </w:tc>
        <w:tc>
          <w:tcPr>
            <w:tcW w:type="dxa" w:w="7226"/>
            <w:tcMar>
              <w:top w:type="dxa" w:w="70"/>
              <w:left w:type="dxa" w:w="100"/>
              <w:bottom w:type="dxa" w:w="70"/>
              <w:right w:type="dxa" w:w="100"/>
            </w:tcMar>
          </w:tcPr>
          <w:p>
            <w:pPr>
              <w:keepNext/>
              <w:spacing w:after="80" w:before="0"/>
            </w:pPr>
            <w:r>
              <w:rPr>
                <w:sz w:val="20"/>
                <w:szCs w:val="20"/>
              </w:rPr>
              <w:t xml:space="preserve">Sobre 5.154.605 casos de estudio.</w:t>
            </w:r>
          </w:p>
          <w:tbl>
            <w:tblPr>
              <w:tblW w:type="dxa" w:w="7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716"/>
              <w:gridCol w:w="2806"/>
              <w:gridCol w:w="1788"/>
              <w:gridCol w:w="716"/>
            </w:tblGrid>
            <w:tr>
              <w:trPr>
                <w:cantSplit/>
                <w:tblHeader/>
              </w:trPr>
              <w:tc>
                <w:tcPr>
                  <w:tcW w:type="dxa" w:w="1716"/>
                  <w:shd w:fill="D9E2F3" w:color="auto" w:val="clear"/>
                  <w:tcMar>
                    <w:top w:type="dxa" w:w="70"/>
                    <w:left w:type="dxa" w:w="100"/>
                    <w:bottom w:type="dxa" w:w="70"/>
                    <w:right w:type="dxa" w:w="100"/>
                  </w:tcMar>
                  <w:vAlign w:val="center"/>
                </w:tcPr>
                <w:p>
                  <w:pPr>
                    <w:spacing w:after="0"/>
                  </w:pPr>
                  <w:r>
                    <w:rPr>
                      <w:b/>
                      <w:bCs/>
                      <w:sz w:val="18"/>
                      <w:szCs w:val="18"/>
                    </w:rPr>
                    <w:t xml:space="preserve">Variable</w:t>
                  </w:r>
                </w:p>
              </w:tc>
              <w:tc>
                <w:tcPr>
                  <w:tcW w:type="dxa" w:w="2806"/>
                  <w:shd w:fill="D9E2F3" w:color="auto" w:val="clear"/>
                  <w:tcMar>
                    <w:top w:type="dxa" w:w="70"/>
                    <w:left w:type="dxa" w:w="100"/>
                    <w:bottom w:type="dxa" w:w="70"/>
                    <w:right w:type="dxa" w:w="100"/>
                  </w:tcMar>
                  <w:vAlign w:val="center"/>
                </w:tcPr>
                <w:p>
                  <w:pPr>
                    <w:spacing w:after="0"/>
                  </w:pPr>
                  <w:r>
                    <w:rPr>
                      <w:b/>
                      <w:bCs/>
                      <w:sz w:val="18"/>
                      <w:szCs w:val="18"/>
                    </w:rPr>
                    <w:t xml:space="preserve">Definición</w:t>
                  </w:r>
                </w:p>
              </w:tc>
              <w:tc>
                <w:tcPr>
                  <w:tcW w:type="dxa" w:w="1788"/>
                  <w:shd w:fill="D9E2F3" w:color="auto" w:val="clear"/>
                  <w:tcMar>
                    <w:top w:type="dxa" w:w="70"/>
                    <w:left w:type="dxa" w:w="100"/>
                    <w:bottom w:type="dxa" w:w="70"/>
                    <w:right w:type="dxa" w:w="100"/>
                  </w:tcMar>
                  <w:vAlign w:val="center"/>
                </w:tcPr>
                <w:p>
                  <w:pPr>
                    <w:spacing w:after="0"/>
                  </w:pPr>
                  <w:r>
                    <w:rPr>
                      <w:b/>
                      <w:bCs/>
                      <w:sz w:val="18"/>
                      <w:szCs w:val="18"/>
                    </w:rPr>
                    <w:t xml:space="preserve">Casos con reingreso</w:t>
                  </w:r>
                </w:p>
              </w:tc>
              <w:tc>
                <w:tcPr>
                  <w:tcW w:type="dxa" w:w="716"/>
                  <w:shd w:fill="D9E2F3" w:color="auto" w:val="clear"/>
                  <w:tcMar>
                    <w:top w:type="dxa" w:w="70"/>
                    <w:left w:type="dxa" w:w="100"/>
                    <w:bottom w:type="dxa" w:w="70"/>
                    <w:right w:type="dxa" w:w="100"/>
                  </w:tcMar>
                  <w:vAlign w:val="center"/>
                </w:tcPr>
                <w:p>
                  <w:pPr>
                    <w:spacing w:after="0"/>
                  </w:pPr>
                  <w:r>
                    <w:rPr>
                      <w:b/>
                      <w:bCs/>
                      <w:sz w:val="18"/>
                      <w:szCs w:val="18"/>
                    </w:rPr>
                    <w:t xml:space="preserve">%</w:t>
                  </w:r>
                </w:p>
              </w:tc>
            </w:tr>
            <w:tr>
              <w:trPr>
                <w:cantSplit/>
                <w:tblHeader w:val="off"/>
              </w:trPr>
              <w:tc>
                <w:tcPr>
                  <w:tcW w:type="dxa" w:w="1716"/>
                  <w:tcMar>
                    <w:top w:type="dxa" w:w="70"/>
                    <w:left w:type="dxa" w:w="100"/>
                    <w:bottom w:type="dxa" w:w="70"/>
                    <w:right w:type="dxa" w:w="100"/>
                  </w:tcMar>
                  <w:vAlign w:val="center"/>
                </w:tcPr>
                <w:p>
                  <w:pPr>
                    <w:spacing w:after="0"/>
                  </w:pPr>
                  <w:r>
                    <w:rPr>
                      <w:rFonts w:ascii="Consolas" w:cs="Consolas" w:eastAsia="Consolas" w:hAnsi="Consolas"/>
                      <w:sz w:val="16"/>
                      <w:szCs w:val="16"/>
                      <w:shd w:fill="F2F2F2" w:color="auto" w:val="clear"/>
                    </w:rPr>
                    <w:t xml:space="preserve">REING_7D</w:t>
                  </w:r>
                </w:p>
              </w:tc>
              <w:tc>
                <w:tcPr>
                  <w:tcW w:type="dxa" w:w="2806"/>
                  <w:tcMar>
                    <w:top w:type="dxa" w:w="70"/>
                    <w:left w:type="dxa" w:w="100"/>
                    <w:bottom w:type="dxa" w:w="70"/>
                    <w:right w:type="dxa" w:w="100"/>
                  </w:tcMar>
                  <w:vAlign w:val="center"/>
                </w:tcPr>
                <w:p>
                  <w:pPr>
                    <w:spacing w:after="0"/>
                  </w:pPr>
                  <w:r>
                    <w:rPr>
                      <w:sz w:val="18"/>
                      <w:szCs w:val="18"/>
                    </w:rPr>
                    <w:t xml:space="preserve">7 días, por cualquier causa</w:t>
                  </w:r>
                </w:p>
              </w:tc>
              <w:tc>
                <w:tcPr>
                  <w:tcW w:type="dxa" w:w="1788"/>
                  <w:tcMar>
                    <w:top w:type="dxa" w:w="70"/>
                    <w:left w:type="dxa" w:w="100"/>
                    <w:bottom w:type="dxa" w:w="70"/>
                    <w:right w:type="dxa" w:w="100"/>
                  </w:tcMar>
                  <w:vAlign w:val="center"/>
                </w:tcPr>
                <w:p>
                  <w:pPr>
                    <w:spacing w:after="0"/>
                  </w:pPr>
                  <w:r>
                    <w:rPr>
                      <w:sz w:val="18"/>
                      <w:szCs w:val="18"/>
                    </w:rPr>
                    <w:t xml:space="preserve">93.282</w:t>
                  </w:r>
                </w:p>
              </w:tc>
              <w:tc>
                <w:tcPr>
                  <w:tcW w:type="dxa" w:w="716"/>
                  <w:tcMar>
                    <w:top w:type="dxa" w:w="70"/>
                    <w:left w:type="dxa" w:w="100"/>
                    <w:bottom w:type="dxa" w:w="70"/>
                    <w:right w:type="dxa" w:w="100"/>
                  </w:tcMar>
                  <w:vAlign w:val="center"/>
                </w:tcPr>
                <w:p>
                  <w:pPr>
                    <w:spacing w:after="0"/>
                  </w:pPr>
                  <w:r>
                    <w:rPr>
                      <w:sz w:val="18"/>
                      <w:szCs w:val="18"/>
                    </w:rPr>
                    <w:t xml:space="preserve">1,81 %</w:t>
                  </w:r>
                </w:p>
              </w:tc>
            </w:tr>
            <w:tr>
              <w:trPr>
                <w:cantSplit/>
                <w:tblHeader w:val="off"/>
              </w:trPr>
              <w:tc>
                <w:tcPr>
                  <w:tcW w:type="dxa" w:w="1716"/>
                  <w:tcMar>
                    <w:top w:type="dxa" w:w="70"/>
                    <w:left w:type="dxa" w:w="100"/>
                    <w:bottom w:type="dxa" w:w="70"/>
                    <w:right w:type="dxa" w:w="100"/>
                  </w:tcMar>
                  <w:vAlign w:val="center"/>
                </w:tcPr>
                <w:p>
                  <w:pPr>
                    <w:spacing w:after="0"/>
                  </w:pPr>
                  <w:r>
                    <w:rPr>
                      <w:rFonts w:ascii="Consolas" w:cs="Consolas" w:eastAsia="Consolas" w:hAnsi="Consolas"/>
                      <w:sz w:val="16"/>
                      <w:szCs w:val="16"/>
                      <w:shd w:fill="F2F2F2" w:color="auto" w:val="clear"/>
                    </w:rPr>
                    <w:t xml:space="preserve">REING_7D_CDM</w:t>
                  </w:r>
                </w:p>
              </w:tc>
              <w:tc>
                <w:tcPr>
                  <w:tcW w:type="dxa" w:w="2806"/>
                  <w:tcMar>
                    <w:top w:type="dxa" w:w="70"/>
                    <w:left w:type="dxa" w:w="100"/>
                    <w:bottom w:type="dxa" w:w="70"/>
                    <w:right w:type="dxa" w:w="100"/>
                  </w:tcMar>
                  <w:vAlign w:val="center"/>
                </w:tcPr>
                <w:p>
                  <w:pPr>
                    <w:spacing w:after="0"/>
                  </w:pPr>
                  <w:r>
                    <w:rPr>
                      <w:sz w:val="18"/>
                      <w:szCs w:val="18"/>
                    </w:rPr>
                    <w:t xml:space="preserve">7 días, relacionado (misma CDM)</w:t>
                  </w:r>
                </w:p>
              </w:tc>
              <w:tc>
                <w:tcPr>
                  <w:tcW w:type="dxa" w:w="1788"/>
                  <w:tcMar>
                    <w:top w:type="dxa" w:w="70"/>
                    <w:left w:type="dxa" w:w="100"/>
                    <w:bottom w:type="dxa" w:w="70"/>
                    <w:right w:type="dxa" w:w="100"/>
                  </w:tcMar>
                  <w:vAlign w:val="center"/>
                </w:tcPr>
                <w:p>
                  <w:pPr>
                    <w:spacing w:after="0"/>
                  </w:pPr>
                  <w:r>
                    <w:rPr>
                      <w:sz w:val="18"/>
                      <w:szCs w:val="18"/>
                    </w:rPr>
                    <w:t xml:space="preserve">50.896</w:t>
                  </w:r>
                </w:p>
              </w:tc>
              <w:tc>
                <w:tcPr>
                  <w:tcW w:type="dxa" w:w="716"/>
                  <w:tcMar>
                    <w:top w:type="dxa" w:w="70"/>
                    <w:left w:type="dxa" w:w="100"/>
                    <w:bottom w:type="dxa" w:w="70"/>
                    <w:right w:type="dxa" w:w="100"/>
                  </w:tcMar>
                  <w:vAlign w:val="center"/>
                </w:tcPr>
                <w:p>
                  <w:pPr>
                    <w:spacing w:after="0"/>
                  </w:pPr>
                  <w:r>
                    <w:rPr>
                      <w:sz w:val="18"/>
                      <w:szCs w:val="18"/>
                    </w:rPr>
                    <w:t xml:space="preserve">0,99 %</w:t>
                  </w:r>
                </w:p>
              </w:tc>
            </w:tr>
            <w:tr>
              <w:trPr>
                <w:cantSplit/>
                <w:tblHeader w:val="off"/>
              </w:trPr>
              <w:tc>
                <w:tcPr>
                  <w:tcW w:type="dxa" w:w="1716"/>
                  <w:tcMar>
                    <w:top w:type="dxa" w:w="70"/>
                    <w:left w:type="dxa" w:w="100"/>
                    <w:bottom w:type="dxa" w:w="70"/>
                    <w:right w:type="dxa" w:w="100"/>
                  </w:tcMar>
                  <w:vAlign w:val="center"/>
                </w:tcPr>
                <w:p>
                  <w:pPr>
                    <w:spacing w:after="0"/>
                  </w:pPr>
                  <w:r>
                    <w:rPr>
                      <w:rFonts w:ascii="Consolas" w:cs="Consolas" w:eastAsia="Consolas" w:hAnsi="Consolas"/>
                      <w:sz w:val="16"/>
                      <w:szCs w:val="16"/>
                      <w:shd w:fill="F2F2F2" w:color="auto" w:val="clear"/>
                    </w:rPr>
                    <w:t xml:space="preserve">REING_30D</w:t>
                  </w:r>
                </w:p>
              </w:tc>
              <w:tc>
                <w:tcPr>
                  <w:tcW w:type="dxa" w:w="2806"/>
                  <w:tcMar>
                    <w:top w:type="dxa" w:w="70"/>
                    <w:left w:type="dxa" w:w="100"/>
                    <w:bottom w:type="dxa" w:w="70"/>
                    <w:right w:type="dxa" w:w="100"/>
                  </w:tcMar>
                  <w:vAlign w:val="center"/>
                </w:tcPr>
                <w:p>
                  <w:pPr>
                    <w:spacing w:after="0"/>
                  </w:pPr>
                  <w:r>
                    <w:rPr>
                      <w:sz w:val="18"/>
                      <w:szCs w:val="18"/>
                    </w:rPr>
                    <w:t xml:space="preserve">30 días, por cualquier causa</w:t>
                  </w:r>
                </w:p>
              </w:tc>
              <w:tc>
                <w:tcPr>
                  <w:tcW w:type="dxa" w:w="1788"/>
                  <w:tcMar>
                    <w:top w:type="dxa" w:w="70"/>
                    <w:left w:type="dxa" w:w="100"/>
                    <w:bottom w:type="dxa" w:w="70"/>
                    <w:right w:type="dxa" w:w="100"/>
                  </w:tcMar>
                  <w:vAlign w:val="center"/>
                </w:tcPr>
                <w:p>
                  <w:pPr>
                    <w:spacing w:after="0"/>
                  </w:pPr>
                  <w:r>
                    <w:rPr>
                      <w:sz w:val="18"/>
                      <w:szCs w:val="18"/>
                    </w:rPr>
                    <w:t xml:space="preserve">265.874</w:t>
                  </w:r>
                </w:p>
              </w:tc>
              <w:tc>
                <w:tcPr>
                  <w:tcW w:type="dxa" w:w="716"/>
                  <w:tcMar>
                    <w:top w:type="dxa" w:w="70"/>
                    <w:left w:type="dxa" w:w="100"/>
                    <w:bottom w:type="dxa" w:w="70"/>
                    <w:right w:type="dxa" w:w="100"/>
                  </w:tcMar>
                  <w:vAlign w:val="center"/>
                </w:tcPr>
                <w:p>
                  <w:pPr>
                    <w:spacing w:after="0"/>
                  </w:pPr>
                  <w:r>
                    <w:rPr>
                      <w:sz w:val="18"/>
                      <w:szCs w:val="18"/>
                    </w:rPr>
                    <w:t xml:space="preserve">5,16 %</w:t>
                  </w:r>
                </w:p>
              </w:tc>
            </w:tr>
            <w:tr>
              <w:trPr>
                <w:cantSplit/>
                <w:tblHeader w:val="off"/>
              </w:trPr>
              <w:tc>
                <w:tcPr>
                  <w:tcW w:type="dxa" w:w="1716"/>
                  <w:tcMar>
                    <w:top w:type="dxa" w:w="70"/>
                    <w:left w:type="dxa" w:w="100"/>
                    <w:bottom w:type="dxa" w:w="70"/>
                    <w:right w:type="dxa" w:w="100"/>
                  </w:tcMar>
                  <w:vAlign w:val="center"/>
                </w:tcPr>
                <w:p>
                  <w:pPr>
                    <w:spacing w:after="0"/>
                  </w:pPr>
                  <w:r>
                    <w:rPr>
                      <w:rFonts w:ascii="Consolas" w:cs="Consolas" w:eastAsia="Consolas" w:hAnsi="Consolas"/>
                      <w:sz w:val="16"/>
                      <w:szCs w:val="16"/>
                      <w:shd w:fill="F2F2F2" w:color="auto" w:val="clear"/>
                    </w:rPr>
                    <w:t xml:space="preserve">REING_30D_CDM</w:t>
                  </w:r>
                </w:p>
              </w:tc>
              <w:tc>
                <w:tcPr>
                  <w:tcW w:type="dxa" w:w="2806"/>
                  <w:tcMar>
                    <w:top w:type="dxa" w:w="70"/>
                    <w:left w:type="dxa" w:w="100"/>
                    <w:bottom w:type="dxa" w:w="70"/>
                    <w:right w:type="dxa" w:w="100"/>
                  </w:tcMar>
                  <w:vAlign w:val="center"/>
                </w:tcPr>
                <w:p>
                  <w:pPr>
                    <w:spacing w:after="0"/>
                  </w:pPr>
                  <w:r>
                    <w:rPr>
                      <w:sz w:val="18"/>
                      <w:szCs w:val="18"/>
                    </w:rPr>
                    <w:t xml:space="preserve">30 días, relacionado (misma CDM)</w:t>
                  </w:r>
                </w:p>
              </w:tc>
              <w:tc>
                <w:tcPr>
                  <w:tcW w:type="dxa" w:w="1788"/>
                  <w:tcMar>
                    <w:top w:type="dxa" w:w="70"/>
                    <w:left w:type="dxa" w:w="100"/>
                    <w:bottom w:type="dxa" w:w="70"/>
                    <w:right w:type="dxa" w:w="100"/>
                  </w:tcMar>
                  <w:vAlign w:val="center"/>
                </w:tcPr>
                <w:p>
                  <w:pPr>
                    <w:spacing w:after="0"/>
                  </w:pPr>
                  <w:r>
                    <w:rPr>
                      <w:sz w:val="18"/>
                      <w:szCs w:val="18"/>
                    </w:rPr>
                    <w:t xml:space="preserve">138.380</w:t>
                  </w:r>
                </w:p>
              </w:tc>
              <w:tc>
                <w:tcPr>
                  <w:tcW w:type="dxa" w:w="716"/>
                  <w:tcMar>
                    <w:top w:type="dxa" w:w="70"/>
                    <w:left w:type="dxa" w:w="100"/>
                    <w:bottom w:type="dxa" w:w="70"/>
                    <w:right w:type="dxa" w:w="100"/>
                  </w:tcMar>
                  <w:vAlign w:val="center"/>
                </w:tcPr>
                <w:p>
                  <w:pPr>
                    <w:spacing w:after="0"/>
                  </w:pPr>
                  <w:r>
                    <w:rPr>
                      <w:sz w:val="18"/>
                      <w:szCs w:val="18"/>
                    </w:rPr>
                    <w:t xml:space="preserve">2,68 %</w:t>
                  </w:r>
                </w:p>
              </w:tc>
            </w:tr>
          </w:tbl>
          <w:p>
            <w:pPr>
              <w:spacing w:after="0"/>
            </w:pP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Por año</w:t>
            </w:r>
          </w:p>
        </w:tc>
        <w:tc>
          <w:tcPr>
            <w:tcW w:type="dxa" w:w="7226"/>
            <w:tcMar>
              <w:top w:type="dxa" w:w="70"/>
              <w:left w:type="dxa" w:w="100"/>
              <w:bottom w:type="dxa" w:w="70"/>
              <w:right w:type="dxa" w:w="100"/>
            </w:tcMar>
          </w:tcPr>
          <w:p>
            <w:pPr>
              <w:keepNext/>
              <w:spacing w:after="0" w:before="0"/>
            </w:pPr>
            <w:r>
              <w:rPr>
                <w:sz w:val="20"/>
                <w:szCs w:val="20"/>
              </w:rPr>
              <w:t xml:space="preserve">El reingreso a 30 días por cualquier causa va de 5,00 % a 5,36 % entre 2019 y 2024: es estable entre los seis años y entre los dos bloques de identificador. El 10,0 % de los reingresos ocurre en un hospital distinto del que dio el alta.</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Comparación</w:t>
            </w:r>
          </w:p>
        </w:tc>
        <w:tc>
          <w:tcPr>
            <w:tcW w:type="dxa" w:w="7226"/>
            <w:tcMar>
              <w:top w:type="dxa" w:w="70"/>
              <w:left w:type="dxa" w:w="100"/>
              <w:bottom w:type="dxa" w:w="70"/>
              <w:right w:type="dxa" w:w="100"/>
            </w:tcMar>
          </w:tcPr>
          <w:p>
            <w:pPr>
              <w:keepNext/>
              <w:spacing w:after="0" w:before="0"/>
            </w:pPr>
            <w:r>
              <w:rPr>
                <w:sz w:val="20"/>
                <w:szCs w:val="20"/>
              </w:rPr>
              <w:t xml:space="preserve">Si se contara todo ingreso, también los programados y los partos, las tasas serían 3,67 %, 2,49 %, 10,05 % y 6,74 %, en el mismo orden.</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Columnas de trazabilidad</w:t>
            </w:r>
          </w:p>
        </w:tc>
        <w:tc>
          <w:tcPr>
            <w:tcW w:type="dxa" w:w="7226"/>
            <w:tcMar>
              <w:top w:type="dxa" w:w="70"/>
              <w:left w:type="dxa" w:w="100"/>
              <w:bottom w:type="dxa" w:w="70"/>
              <w:right w:type="dxa" w:w="100"/>
            </w:tcMar>
          </w:tcPr>
          <w:p>
            <w:pPr>
              <w:keepNext/>
              <w:spacing w:after="0" w:before="0"/>
            </w:pPr>
            <w:r>
              <w:rPr>
                <w:rFonts w:ascii="Consolas" w:cs="Consolas" w:eastAsia="Consolas" w:hAnsi="Consolas"/>
                <w:sz w:val="18"/>
                <w:szCs w:val="18"/>
                <w:shd w:fill="F2F2F2" w:color="auto" w:val="clear"/>
              </w:rPr>
              <w:t xml:space="preserve">DIAS_REING</w:t>
            </w:r>
            <w:r>
              <w:rPr>
                <w:sz w:val="20"/>
                <w:szCs w:val="20"/>
              </w:rPr>
              <w:t xml:space="preserve"> (días hasta el primer reingreso) e </w:t>
            </w:r>
            <w:r>
              <w:rPr>
                <w:rFonts w:ascii="Consolas" w:cs="Consolas" w:eastAsia="Consolas" w:hAnsi="Consolas"/>
                <w:sz w:val="18"/>
                <w:szCs w:val="18"/>
                <w:shd w:fill="F2F2F2" w:color="auto" w:val="clear"/>
              </w:rPr>
              <w:t xml:space="preserve">ID_EGRESO_REING</w:t>
            </w:r>
            <w:r>
              <w:rPr>
                <w:sz w:val="20"/>
                <w:szCs w:val="20"/>
              </w:rPr>
              <w:t xml:space="preserve"> (el egreso que lo constituye). Describen lo que ocurre después del alta y no deben usarse como variables predictoras.</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Fundamento</w:t>
            </w:r>
          </w:p>
        </w:tc>
        <w:tc>
          <w:tcPr>
            <w:tcW w:type="dxa" w:w="7226"/>
            <w:tcMar>
              <w:top w:type="dxa" w:w="70"/>
              <w:left w:type="dxa" w:w="100"/>
              <w:bottom w:type="dxa" w:w="70"/>
              <w:right w:type="dxa" w:w="100"/>
            </w:tcMar>
          </w:tcPr>
          <w:p>
            <w:pPr>
              <w:keepNext/>
              <w:spacing w:after="0" w:before="0"/>
            </w:pPr>
            <w:r>
              <w:rPr>
                <w:sz w:val="20"/>
                <w:szCs w:val="20"/>
              </w:rPr>
              <w:t xml:space="preserve">Lo confirmó la persona a cargo de la tesis el 6 de octubre de 2026: el trabajo estudia los reingresos no planificados bajo las cuatro definiciones. Mantener dos versiones de cada definición se prestaba a confusión.</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Reemplaza a</w:t>
            </w:r>
          </w:p>
        </w:tc>
        <w:tc>
          <w:tcPr>
            <w:tcW w:type="dxa" w:w="7226"/>
            <w:tcMar>
              <w:top w:type="dxa" w:w="70"/>
              <w:left w:type="dxa" w:w="100"/>
              <w:bottom w:type="dxa" w:w="70"/>
              <w:right w:type="dxa" w:w="100"/>
            </w:tcMar>
          </w:tcPr>
          <w:p>
            <w:pPr>
              <w:keepNext/>
              <w:spacing w:after="0" w:before="0"/>
            </w:pPr>
            <w:r>
              <w:rPr>
                <w:sz w:val="20"/>
                <w:szCs w:val="20"/>
              </w:rPr>
              <w:t xml:space="preserve">la parte de </w:t>
            </w:r>
            <w:hyperlink w:history="1" w:anchor="E_D20">
              <w:r>
                <w:rPr>
                  <w:color w:val="0563C1"/>
                  <w:sz w:val="20"/>
                  <w:szCs w:val="20"/>
                  <w:u w:val="single"/>
                </w:rPr>
                <w:t xml:space="preserve">D20</w:t>
              </w:r>
            </w:hyperlink>
            <w:r>
              <w:rPr>
                <w:sz w:val="20"/>
                <w:szCs w:val="20"/>
              </w:rPr>
              <w:t xml:space="preserve"> que mantenía una segunda familia de variables.</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Evidencia</w:t>
            </w:r>
          </w:p>
        </w:tc>
        <w:tc>
          <w:tcPr>
            <w:tcW w:type="dxa" w:w="7226"/>
            <w:tcMar>
              <w:top w:type="dxa" w:w="70"/>
              <w:left w:type="dxa" w:w="100"/>
              <w:bottom w:type="dxa" w:w="70"/>
              <w:right w:type="dxa" w:w="100"/>
            </w:tcMar>
          </w:tcPr>
          <w:p>
            <w:pPr>
              <w:keepNext/>
              <w:spacing w:after="0" w:before="0"/>
            </w:pPr>
            <w:r>
              <w:rPr>
                <w:rFonts w:ascii="Consolas" w:cs="Consolas" w:eastAsia="Consolas" w:hAnsi="Consolas"/>
                <w:sz w:val="18"/>
                <w:szCs w:val="18"/>
                <w:shd w:fill="F2F2F2" w:color="auto" w:val="clear"/>
              </w:rPr>
              <w:t xml:space="preserve">2.2_depuracion_etiquetado/reportes/09_etiquetado.md</w:t>
            </w:r>
            <w:r>
              <w:rPr>
                <w:sz w:val="20"/>
                <w:szCs w:val="20"/>
              </w:rPr>
              <w:t xml:space="preserve">, secciones 1, 2 y 4.</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Estado</w:t>
            </w:r>
          </w:p>
        </w:tc>
        <w:tc>
          <w:tcPr>
            <w:tcW w:type="dxa" w:w="7226"/>
            <w:tcMar>
              <w:top w:type="dxa" w:w="70"/>
              <w:left w:type="dxa" w:w="100"/>
              <w:bottom w:type="dxa" w:w="70"/>
              <w:right w:type="dxa" w:w="100"/>
            </w:tcMar>
          </w:tcPr>
          <w:p>
            <w:pPr>
              <w:keepNext w:val="false"/>
              <w:spacing w:after="0" w:before="0"/>
            </w:pPr>
            <w:r>
              <w:rPr>
                <w:sz w:val="20"/>
                <w:szCs w:val="20"/>
              </w:rPr>
              <w:t xml:space="preserve">Adoptada. Las cifras de esta entrada son las del 6 de octubre de 2026; las vigentes están en el resumen del comienzo y cambiaron por </w:t>
            </w:r>
            <w:hyperlink w:history="1" w:anchor="E_D30">
              <w:r>
                <w:rPr>
                  <w:color w:val="0563C1"/>
                  <w:sz w:val="20"/>
                  <w:szCs w:val="20"/>
                  <w:u w:val="single"/>
                </w:rPr>
                <w:t xml:space="preserve">D30</w:t>
              </w:r>
            </w:hyperlink>
            <w:r>
              <w:rPr>
                <w:sz w:val="20"/>
                <w:szCs w:val="20"/>
              </w:rPr>
              <w:t xml:space="preserve"> a </w:t>
            </w:r>
            <w:hyperlink w:history="1" w:anchor="E_D33">
              <w:r>
                <w:rPr>
                  <w:color w:val="0563C1"/>
                  <w:sz w:val="20"/>
                  <w:szCs w:val="20"/>
                  <w:u w:val="single"/>
                </w:rPr>
                <w:t xml:space="preserve">D33</w:t>
              </w:r>
            </w:hyperlink>
            <w:r>
              <w:rPr>
                <w:sz w:val="20"/>
                <w:szCs w:val="20"/>
              </w:rPr>
              <w:t xml:space="preserve">.</w:t>
            </w:r>
          </w:p>
        </w:tc>
      </w:tr>
    </w:tbl>
    <w:p>
      <w:pPr>
        <w:pStyle w:val="Heading2"/>
      </w:pPr>
      <w:bookmarkStart w:name="E_H18" w:id="15"/>
      <w:r>
        <w:rPr>
          <w:color w:val="2E75B6"/>
        </w:rPr>
        <w:t xml:space="preserve">H18</w:t>
      </w:r>
      <w:bookmarkEnd w:id="15"/>
      <w:r>
        <w:t xml:space="preserve"> · Sesiones de tratamiento entre los casos de estudio</w:t>
      </w:r>
    </w:p>
    <w:p>
      <w:pPr>
        <w:keepNext/>
        <w:spacing w:after="100"/>
      </w:pPr>
      <w:r>
        <w:rPr>
          <w:b/>
          <w:bCs/>
          <w:color w:val="2E75B6"/>
          <w:sz w:val="18"/>
          <w:szCs w:val="18"/>
        </w:rPr>
        <w:t xml:space="preserve">Hallazgo</w:t>
      </w:r>
      <w:r>
        <w:rPr>
          <w:color w:val="808080"/>
          <w:sz w:val="18"/>
          <w:szCs w:val="18"/>
        </w:rPr>
        <w:t xml:space="preserve">  ·  6 de octubre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2.2</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Hallazgo</w:t>
            </w:r>
          </w:p>
        </w:tc>
        <w:tc>
          <w:tcPr>
            <w:tcW w:type="dxa" w:w="7226"/>
            <w:tcMar>
              <w:top w:type="dxa" w:w="70"/>
              <w:left w:type="dxa" w:w="100"/>
              <w:bottom w:type="dxa" w:w="70"/>
              <w:right w:type="dxa" w:w="100"/>
            </w:tcMar>
          </w:tcPr>
          <w:p>
            <w:pPr>
              <w:keepNext/>
              <w:spacing w:after="0" w:before="0"/>
            </w:pPr>
            <w:r>
              <w:rPr>
                <w:sz w:val="20"/>
                <w:szCs w:val="20"/>
              </w:rPr>
              <w:t xml:space="preserve">83.798 casos de estudio (1,6 %) tienen como diagnóstico principal Z51, que corresponde a sesiones de quimioterapia y tratamientos similares. El 58,6 % va seguido de otro ingreso dentro de 30 días, casi siempre programado, y el 8,7 % de un reingreso no planificado. Además, 852 personas tienen 20 o más casos de estudio; la que más tiene, 1.047.</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Consecuencia</w:t>
            </w:r>
          </w:p>
        </w:tc>
        <w:tc>
          <w:tcPr>
            <w:tcW w:type="dxa" w:w="7226"/>
            <w:tcMar>
              <w:top w:type="dxa" w:w="70"/>
              <w:left w:type="dxa" w:w="100"/>
              <w:bottom w:type="dxa" w:w="70"/>
              <w:right w:type="dxa" w:w="100"/>
            </w:tcMar>
          </w:tcPr>
          <w:p>
            <w:pPr>
              <w:keepNext/>
              <w:spacing w:after="0" w:before="0"/>
            </w:pPr>
            <w:r>
              <w:rPr>
                <w:sz w:val="20"/>
                <w:szCs w:val="20"/>
              </w:rPr>
              <w:t xml:space="preserve">En las variables objetivo pesan poco, porque los ingresos programados no cuentan como reingreso (</w:t>
            </w:r>
            <w:hyperlink w:history="1" w:anchor="E_D26">
              <w:r>
                <w:rPr>
                  <w:color w:val="0563C1"/>
                  <w:sz w:val="20"/>
                  <w:szCs w:val="20"/>
                  <w:u w:val="single"/>
                </w:rPr>
                <w:t xml:space="preserve">D26</w:t>
              </w:r>
            </w:hyperlink>
            <w:r>
              <w:rPr>
                <w:sz w:val="20"/>
                <w:szCs w:val="20"/>
              </w:rPr>
              <w:t xml:space="preserve">). Queda por decidir con profesor guía si estas atenciones deben ser caso de estudio; si se excluyen, se agrega un criterio a la tabla de exclusiones.</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Advertencia para la ingeniería de variables</w:t>
            </w:r>
          </w:p>
        </w:tc>
        <w:tc>
          <w:tcPr>
            <w:tcW w:type="dxa" w:w="7226"/>
            <w:tcMar>
              <w:top w:type="dxa" w:w="70"/>
              <w:left w:type="dxa" w:w="100"/>
              <w:bottom w:type="dxa" w:w="70"/>
              <w:right w:type="dxa" w:w="100"/>
            </w:tcMar>
          </w:tcPr>
          <w:p>
            <w:pPr>
              <w:keepNext/>
              <w:spacing w:after="0" w:before="0"/>
            </w:pPr>
            <w:r>
              <w:rPr>
                <w:sz w:val="20"/>
                <w:szCs w:val="20"/>
              </w:rPr>
              <w:t xml:space="preserve">Las personas con un solo caso de estudio casi nunca tienen reingreso (0,5 %, frente a 9,6 % con 2 a 5 casos), porque un reingreso es otro egreso de la misma persona. Toda variable que cuente egresos de una persona debe limitarse a los anteriores al alta del caso.</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Evidencia</w:t>
            </w:r>
          </w:p>
        </w:tc>
        <w:tc>
          <w:tcPr>
            <w:tcW w:type="dxa" w:w="7226"/>
            <w:tcMar>
              <w:top w:type="dxa" w:w="70"/>
              <w:left w:type="dxa" w:w="100"/>
              <w:bottom w:type="dxa" w:w="70"/>
              <w:right w:type="dxa" w:w="100"/>
            </w:tcMar>
          </w:tcPr>
          <w:p>
            <w:pPr>
              <w:keepNext/>
              <w:spacing w:after="0" w:before="0"/>
            </w:pPr>
            <w:r>
              <w:rPr>
                <w:sz w:val="20"/>
                <w:szCs w:val="20"/>
              </w:rPr>
              <w:t xml:space="preserve">exploración del 6 de octubre de 2026 sobre la tabla etiquetada.</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Resuelto por</w:t>
            </w:r>
          </w:p>
        </w:tc>
        <w:tc>
          <w:tcPr>
            <w:tcW w:type="dxa" w:w="7226"/>
            <w:tcMar>
              <w:top w:type="dxa" w:w="70"/>
              <w:left w:type="dxa" w:w="100"/>
              <w:bottom w:type="dxa" w:w="70"/>
              <w:right w:type="dxa" w:w="100"/>
            </w:tcMar>
          </w:tcPr>
          <w:p>
            <w:pPr>
              <w:keepNext/>
              <w:spacing w:after="0" w:before="0"/>
            </w:pPr>
            <w:hyperlink w:history="1" w:anchor="E_D33">
              <w:r>
                <w:rPr>
                  <w:color w:val="0563C1"/>
                  <w:sz w:val="20"/>
                  <w:szCs w:val="20"/>
                  <w:u w:val="single"/>
                </w:rPr>
                <w:t xml:space="preserve">D33</w:t>
              </w:r>
            </w:hyperlink>
            <w:r>
              <w:rPr>
                <w:sz w:val="20"/>
                <w:szCs w:val="20"/>
              </w:rPr>
              <w:t xml:space="preserve">, que deja las sesiones de tratamiento fuera como caso de estudio.</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Advertencia precisada por</w:t>
            </w:r>
          </w:p>
        </w:tc>
        <w:tc>
          <w:tcPr>
            <w:tcW w:type="dxa" w:w="7226"/>
            <w:tcMar>
              <w:top w:type="dxa" w:w="70"/>
              <w:left w:type="dxa" w:w="100"/>
              <w:bottom w:type="dxa" w:w="70"/>
              <w:right w:type="dxa" w:w="100"/>
            </w:tcMar>
          </w:tcPr>
          <w:p>
            <w:pPr>
              <w:keepNext w:val="false"/>
              <w:spacing w:after="0" w:before="0"/>
            </w:pPr>
            <w:r>
              <w:rPr>
                <w:sz w:val="20"/>
                <w:szCs w:val="20"/>
              </w:rPr>
              <w:t xml:space="preserve">D42 de la bitácora de la 2.3, del 20 de octubre de 2026: las variables de historia usan los egresos anteriores al ingreso índice, en una ventana de 12 meses, y se marcan los casos cuya ventana empieza antes del inicio de su bloque.</w:t>
            </w:r>
          </w:p>
        </w:tc>
      </w:tr>
    </w:tbl>
    <w:p>
      <w:pPr>
        <w:pStyle w:val="Heading2"/>
      </w:pPr>
      <w:bookmarkStart w:name="E_H20" w:id="16"/>
      <w:r>
        <w:rPr>
          <w:color w:val="2E75B6"/>
        </w:rPr>
        <w:t xml:space="preserve">H20</w:t>
      </w:r>
      <w:bookmarkEnd w:id="16"/>
      <w:r>
        <w:t xml:space="preserve"> · Cuántos reingresos se pierden junto al cierre del bloque</w:t>
      </w:r>
    </w:p>
    <w:p>
      <w:pPr>
        <w:keepNext/>
        <w:spacing w:after="100"/>
      </w:pPr>
      <w:r>
        <w:rPr>
          <w:b/>
          <w:bCs/>
          <w:color w:val="2E75B6"/>
          <w:sz w:val="18"/>
          <w:szCs w:val="18"/>
        </w:rPr>
        <w:t xml:space="preserve">Hallazgo</w:t>
      </w:r>
      <w:r>
        <w:rPr>
          <w:color w:val="808080"/>
          <w:sz w:val="18"/>
          <w:szCs w:val="18"/>
        </w:rPr>
        <w:t xml:space="preserve">  ·  8 de octubre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2.2</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Hallazgo</w:t>
            </w:r>
          </w:p>
        </w:tc>
        <w:tc>
          <w:tcPr>
            <w:tcW w:type="dxa" w:w="7226"/>
            <w:tcMar>
              <w:top w:type="dxa" w:w="70"/>
              <w:left w:type="dxa" w:w="100"/>
              <w:bottom w:type="dxa" w:w="70"/>
              <w:right w:type="dxa" w:w="100"/>
            </w:tcMar>
          </w:tcPr>
          <w:p>
            <w:pPr>
              <w:keepNext/>
              <w:spacing w:after="0" w:before="0"/>
            </w:pPr>
            <w:r>
              <w:rPr>
                <w:sz w:val="20"/>
                <w:szCs w:val="20"/>
              </w:rPr>
              <w:t xml:space="preserve">Como los archivos están organizados por año de alta (</w:t>
            </w:r>
            <w:hyperlink w:history="1" w:anchor="E_H16">
              <w:r>
                <w:rPr>
                  <w:color w:val="0563C1"/>
                  <w:sz w:val="20"/>
                  <w:szCs w:val="20"/>
                  <w:u w:val="single"/>
                </w:rPr>
                <w:t xml:space="preserve">H16</w:t>
              </w:r>
            </w:hyperlink>
            <w:r>
              <w:rPr>
                <w:sz w:val="20"/>
                <w:szCs w:val="20"/>
              </w:rPr>
              <w:t xml:space="preserve">), un reingreso solo aparece en la base si termina antes del cierre del bloque. No basta con que la ventana quepa entera antes del cierre.</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Ejemplo ilustrativo</w:t>
            </w:r>
          </w:p>
        </w:tc>
        <w:tc>
          <w:tcPr>
            <w:tcW w:type="dxa" w:w="7226"/>
            <w:tcMar>
              <w:top w:type="dxa" w:w="70"/>
              <w:left w:type="dxa" w:w="100"/>
              <w:bottom w:type="dxa" w:w="70"/>
              <w:right w:type="dxa" w:w="100"/>
            </w:tcMar>
          </w:tcPr>
          <w:p>
            <w:pPr>
              <w:keepNext/>
              <w:spacing w:after="0" w:before="0"/>
            </w:pPr>
            <w:r>
              <w:rPr>
                <w:sz w:val="20"/>
                <w:szCs w:val="20"/>
              </w:rPr>
              <w:t xml:space="preserve">Una paciente recibe el alta el 20 de diciembre de 2024, reingresa por urgencia el 24 de diciembre y el alta de ese reingreso es el 3 de enero de 2025. El reingreso queda en el archivo de 2025, que no se tiene: en la base, la paciente parece no haber reingresado.</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Magnitud</w:t>
            </w:r>
          </w:p>
        </w:tc>
        <w:tc>
          <w:tcPr>
            <w:tcW w:type="dxa" w:w="7226"/>
            <w:tcMar>
              <w:top w:type="dxa" w:w="70"/>
              <w:left w:type="dxa" w:w="100"/>
              <w:bottom w:type="dxa" w:w="70"/>
              <w:right w:type="dxa" w:w="100"/>
            </w:tcMar>
          </w:tcPr>
          <w:p>
            <w:pPr>
              <w:keepNext/>
              <w:spacing w:after="80" w:before="0"/>
            </w:pPr>
            <w:r>
              <w:rPr>
                <w:sz w:val="20"/>
                <w:szCs w:val="20"/>
              </w:rPr>
              <w:t xml:space="preserve">Se midió en los años cuyo año siguiente está en la base con el mismo identificador (2019, 2021, 2022 y 2023), contando qué parte de los reingresos reales no se vería si la base terminara el 31 de diciembre del año del alta.</w:t>
            </w:r>
          </w:p>
          <w:tbl>
            <w:tblPr>
              <w:tblW w:type="dxa" w:w="7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441"/>
              <w:gridCol w:w="2262"/>
              <w:gridCol w:w="2323"/>
            </w:tblGrid>
            <w:tr>
              <w:trPr>
                <w:cantSplit/>
                <w:tblHeader/>
              </w:trPr>
              <w:tc>
                <w:tcPr>
                  <w:tcW w:type="dxa" w:w="2441"/>
                  <w:shd w:fill="D9E2F3" w:color="auto" w:val="clear"/>
                  <w:tcMar>
                    <w:top w:type="dxa" w:w="70"/>
                    <w:left w:type="dxa" w:w="100"/>
                    <w:bottom w:type="dxa" w:w="70"/>
                    <w:right w:type="dxa" w:w="100"/>
                  </w:tcMar>
                  <w:vAlign w:val="center"/>
                </w:tcPr>
                <w:p>
                  <w:pPr>
                    <w:spacing w:after="0"/>
                  </w:pPr>
                  <w:r>
                    <w:rPr>
                      <w:b/>
                      <w:bCs/>
                      <w:sz w:val="18"/>
                      <w:szCs w:val="18"/>
                    </w:rPr>
                    <w:t xml:space="preserve">Días entre el alta y el 31 de diciembre</w:t>
                  </w:r>
                </w:p>
              </w:tc>
              <w:tc>
                <w:tcPr>
                  <w:tcW w:type="dxa" w:w="2262"/>
                  <w:shd w:fill="D9E2F3" w:color="auto" w:val="clear"/>
                  <w:tcMar>
                    <w:top w:type="dxa" w:w="70"/>
                    <w:left w:type="dxa" w:w="100"/>
                    <w:bottom w:type="dxa" w:w="70"/>
                    <w:right w:type="dxa" w:w="100"/>
                  </w:tcMar>
                  <w:vAlign w:val="center"/>
                </w:tcPr>
                <w:p>
                  <w:pPr>
                    <w:spacing w:after="0"/>
                  </w:pPr>
                  <w:r>
                    <w:rPr>
                      <w:b/>
                      <w:bCs/>
                      <w:sz w:val="18"/>
                      <w:szCs w:val="18"/>
                    </w:rPr>
                    <w:t xml:space="preserve">Reingresos a 7 días que no se verían</w:t>
                  </w:r>
                </w:p>
              </w:tc>
              <w:tc>
                <w:tcPr>
                  <w:tcW w:type="dxa" w:w="2323"/>
                  <w:shd w:fill="D9E2F3" w:color="auto" w:val="clear"/>
                  <w:tcMar>
                    <w:top w:type="dxa" w:w="70"/>
                    <w:left w:type="dxa" w:w="100"/>
                    <w:bottom w:type="dxa" w:w="70"/>
                    <w:right w:type="dxa" w:w="100"/>
                  </w:tcMar>
                  <w:vAlign w:val="center"/>
                </w:tcPr>
                <w:p>
                  <w:pPr>
                    <w:spacing w:after="0"/>
                  </w:pPr>
                  <w:r>
                    <w:rPr>
                      <w:b/>
                      <w:bCs/>
                      <w:sz w:val="18"/>
                      <w:szCs w:val="18"/>
                    </w:rPr>
                    <w:t xml:space="preserve">Reingresos a 30 días que no se verían</w:t>
                  </w:r>
                </w:p>
              </w:tc>
            </w:tr>
            <w:tr>
              <w:trPr>
                <w:cantSplit/>
                <w:tblHeader w:val="off"/>
              </w:trPr>
              <w:tc>
                <w:tcPr>
                  <w:tcW w:type="dxa" w:w="2441"/>
                  <w:tcMar>
                    <w:top w:type="dxa" w:w="70"/>
                    <w:left w:type="dxa" w:w="100"/>
                    <w:bottom w:type="dxa" w:w="70"/>
                    <w:right w:type="dxa" w:w="100"/>
                  </w:tcMar>
                  <w:vAlign w:val="center"/>
                </w:tcPr>
                <w:p>
                  <w:pPr>
                    <w:spacing w:after="0"/>
                  </w:pPr>
                  <w:r>
                    <w:rPr>
                      <w:sz w:val="18"/>
                      <w:szCs w:val="18"/>
                    </w:rPr>
                    <w:t xml:space="preserve">7 a 13</w:t>
                  </w:r>
                </w:p>
              </w:tc>
              <w:tc>
                <w:tcPr>
                  <w:tcW w:type="dxa" w:w="2262"/>
                  <w:tcMar>
                    <w:top w:type="dxa" w:w="70"/>
                    <w:left w:type="dxa" w:w="100"/>
                    <w:bottom w:type="dxa" w:w="70"/>
                    <w:right w:type="dxa" w:w="100"/>
                  </w:tcMar>
                  <w:vAlign w:val="center"/>
                </w:tcPr>
                <w:p>
                  <w:pPr>
                    <w:spacing w:after="0"/>
                  </w:pPr>
                  <w:r>
                    <w:rPr>
                      <w:sz w:val="18"/>
                      <w:szCs w:val="18"/>
                    </w:rPr>
                    <w:t xml:space="preserve">40,2 %</w:t>
                  </w:r>
                </w:p>
              </w:tc>
              <w:tc>
                <w:tcPr>
                  <w:tcW w:type="dxa" w:w="2323"/>
                  <w:tcMar>
                    <w:top w:type="dxa" w:w="70"/>
                    <w:left w:type="dxa" w:w="100"/>
                    <w:bottom w:type="dxa" w:w="70"/>
                    <w:right w:type="dxa" w:w="100"/>
                  </w:tcMar>
                  <w:vAlign w:val="center"/>
                </w:tcPr>
                <w:p>
                  <w:pPr>
                    <w:spacing w:after="0"/>
                  </w:pPr>
                  <w:r>
                    <w:rPr>
                      <w:sz w:val="18"/>
                      <w:szCs w:val="18"/>
                    </w:rPr>
                    <w:t xml:space="preserve">—</w:t>
                  </w:r>
                </w:p>
              </w:tc>
            </w:tr>
            <w:tr>
              <w:trPr>
                <w:cantSplit/>
                <w:tblHeader w:val="off"/>
              </w:trPr>
              <w:tc>
                <w:tcPr>
                  <w:tcW w:type="dxa" w:w="2441"/>
                  <w:tcMar>
                    <w:top w:type="dxa" w:w="70"/>
                    <w:left w:type="dxa" w:w="100"/>
                    <w:bottom w:type="dxa" w:w="70"/>
                    <w:right w:type="dxa" w:w="100"/>
                  </w:tcMar>
                  <w:vAlign w:val="center"/>
                </w:tcPr>
                <w:p>
                  <w:pPr>
                    <w:spacing w:after="0"/>
                  </w:pPr>
                  <w:r>
                    <w:rPr>
                      <w:sz w:val="18"/>
                      <w:szCs w:val="18"/>
                    </w:rPr>
                    <w:t xml:space="preserve">14 a 20</w:t>
                  </w:r>
                </w:p>
              </w:tc>
              <w:tc>
                <w:tcPr>
                  <w:tcW w:type="dxa" w:w="2262"/>
                  <w:tcMar>
                    <w:top w:type="dxa" w:w="70"/>
                    <w:left w:type="dxa" w:w="100"/>
                    <w:bottom w:type="dxa" w:w="70"/>
                    <w:right w:type="dxa" w:w="100"/>
                  </w:tcMar>
                  <w:vAlign w:val="center"/>
                </w:tcPr>
                <w:p>
                  <w:pPr>
                    <w:spacing w:after="0"/>
                  </w:pPr>
                  <w:r>
                    <w:rPr>
                      <w:sz w:val="18"/>
                      <w:szCs w:val="18"/>
                    </w:rPr>
                    <w:t xml:space="preserve">17,1 %</w:t>
                  </w:r>
                </w:p>
              </w:tc>
              <w:tc>
                <w:tcPr>
                  <w:tcW w:type="dxa" w:w="2323"/>
                  <w:tcMar>
                    <w:top w:type="dxa" w:w="70"/>
                    <w:left w:type="dxa" w:w="100"/>
                    <w:bottom w:type="dxa" w:w="70"/>
                    <w:right w:type="dxa" w:w="100"/>
                  </w:tcMar>
                  <w:vAlign w:val="center"/>
                </w:tcPr>
                <w:p>
                  <w:pPr>
                    <w:spacing w:after="0"/>
                  </w:pPr>
                  <w:r>
                    <w:rPr>
                      <w:sz w:val="18"/>
                      <w:szCs w:val="18"/>
                    </w:rPr>
                    <w:t xml:space="preserve">—</w:t>
                  </w:r>
                </w:p>
              </w:tc>
            </w:tr>
            <w:tr>
              <w:trPr>
                <w:cantSplit/>
                <w:tblHeader w:val="off"/>
              </w:trPr>
              <w:tc>
                <w:tcPr>
                  <w:tcW w:type="dxa" w:w="2441"/>
                  <w:tcMar>
                    <w:top w:type="dxa" w:w="70"/>
                    <w:left w:type="dxa" w:w="100"/>
                    <w:bottom w:type="dxa" w:w="70"/>
                    <w:right w:type="dxa" w:w="100"/>
                  </w:tcMar>
                  <w:vAlign w:val="center"/>
                </w:tcPr>
                <w:p>
                  <w:pPr>
                    <w:spacing w:after="0"/>
                  </w:pPr>
                  <w:r>
                    <w:rPr>
                      <w:sz w:val="18"/>
                      <w:szCs w:val="18"/>
                    </w:rPr>
                    <w:t xml:space="preserve">21 a 29</w:t>
                  </w:r>
                </w:p>
              </w:tc>
              <w:tc>
                <w:tcPr>
                  <w:tcW w:type="dxa" w:w="2262"/>
                  <w:tcMar>
                    <w:top w:type="dxa" w:w="70"/>
                    <w:left w:type="dxa" w:w="100"/>
                    <w:bottom w:type="dxa" w:w="70"/>
                    <w:right w:type="dxa" w:w="100"/>
                  </w:tcMar>
                  <w:vAlign w:val="center"/>
                </w:tcPr>
                <w:p>
                  <w:pPr>
                    <w:spacing w:after="0"/>
                  </w:pPr>
                  <w:r>
                    <w:rPr>
                      <w:sz w:val="18"/>
                      <w:szCs w:val="18"/>
                    </w:rPr>
                    <w:t xml:space="preserve">9,5 %</w:t>
                  </w:r>
                </w:p>
              </w:tc>
              <w:tc>
                <w:tcPr>
                  <w:tcW w:type="dxa" w:w="2323"/>
                  <w:tcMar>
                    <w:top w:type="dxa" w:w="70"/>
                    <w:left w:type="dxa" w:w="100"/>
                    <w:bottom w:type="dxa" w:w="70"/>
                    <w:right w:type="dxa" w:w="100"/>
                  </w:tcMar>
                  <w:vAlign w:val="center"/>
                </w:tcPr>
                <w:p>
                  <w:pPr>
                    <w:spacing w:after="0"/>
                  </w:pPr>
                  <w:r>
                    <w:rPr>
                      <w:sz w:val="18"/>
                      <w:szCs w:val="18"/>
                    </w:rPr>
                    <w:t xml:space="preserve">—</w:t>
                  </w:r>
                </w:p>
              </w:tc>
            </w:tr>
            <w:tr>
              <w:trPr>
                <w:cantSplit/>
                <w:tblHeader w:val="off"/>
              </w:trPr>
              <w:tc>
                <w:tcPr>
                  <w:tcW w:type="dxa" w:w="2441"/>
                  <w:tcMar>
                    <w:top w:type="dxa" w:w="70"/>
                    <w:left w:type="dxa" w:w="100"/>
                    <w:bottom w:type="dxa" w:w="70"/>
                    <w:right w:type="dxa" w:w="100"/>
                  </w:tcMar>
                  <w:vAlign w:val="center"/>
                </w:tcPr>
                <w:p>
                  <w:pPr>
                    <w:spacing w:after="0"/>
                  </w:pPr>
                  <w:r>
                    <w:rPr>
                      <w:sz w:val="18"/>
                      <w:szCs w:val="18"/>
                    </w:rPr>
                    <w:t xml:space="preserve">30 a 36</w:t>
                  </w:r>
                </w:p>
              </w:tc>
              <w:tc>
                <w:tcPr>
                  <w:tcW w:type="dxa" w:w="2262"/>
                  <w:tcMar>
                    <w:top w:type="dxa" w:w="70"/>
                    <w:left w:type="dxa" w:w="100"/>
                    <w:bottom w:type="dxa" w:w="70"/>
                    <w:right w:type="dxa" w:w="100"/>
                  </w:tcMar>
                  <w:vAlign w:val="center"/>
                </w:tcPr>
                <w:p>
                  <w:pPr>
                    <w:spacing w:after="0"/>
                  </w:pPr>
                  <w:r>
                    <w:rPr>
                      <w:sz w:val="18"/>
                      <w:szCs w:val="18"/>
                    </w:rPr>
                    <w:t xml:space="preserve">4,9 %</w:t>
                  </w:r>
                </w:p>
              </w:tc>
              <w:tc>
                <w:tcPr>
                  <w:tcW w:type="dxa" w:w="2323"/>
                  <w:tcMar>
                    <w:top w:type="dxa" w:w="70"/>
                    <w:left w:type="dxa" w:w="100"/>
                    <w:bottom w:type="dxa" w:w="70"/>
                    <w:right w:type="dxa" w:w="100"/>
                  </w:tcMar>
                  <w:vAlign w:val="center"/>
                </w:tcPr>
                <w:p>
                  <w:pPr>
                    <w:spacing w:after="0"/>
                  </w:pPr>
                  <w:r>
                    <w:rPr>
                      <w:sz w:val="18"/>
                      <w:szCs w:val="18"/>
                    </w:rPr>
                    <w:t xml:space="preserve">16,4 %</w:t>
                  </w:r>
                </w:p>
              </w:tc>
            </w:tr>
            <w:tr>
              <w:trPr>
                <w:cantSplit/>
                <w:tblHeader w:val="off"/>
              </w:trPr>
              <w:tc>
                <w:tcPr>
                  <w:tcW w:type="dxa" w:w="2441"/>
                  <w:tcMar>
                    <w:top w:type="dxa" w:w="70"/>
                    <w:left w:type="dxa" w:w="100"/>
                    <w:bottom w:type="dxa" w:w="70"/>
                    <w:right w:type="dxa" w:w="100"/>
                  </w:tcMar>
                  <w:vAlign w:val="center"/>
                </w:tcPr>
                <w:p>
                  <w:pPr>
                    <w:spacing w:after="0"/>
                  </w:pPr>
                  <w:r>
                    <w:rPr>
                      <w:sz w:val="18"/>
                      <w:szCs w:val="18"/>
                    </w:rPr>
                    <w:t xml:space="preserve">37 a 59</w:t>
                  </w:r>
                </w:p>
              </w:tc>
              <w:tc>
                <w:tcPr>
                  <w:tcW w:type="dxa" w:w="2262"/>
                  <w:tcMar>
                    <w:top w:type="dxa" w:w="70"/>
                    <w:left w:type="dxa" w:w="100"/>
                    <w:bottom w:type="dxa" w:w="70"/>
                    <w:right w:type="dxa" w:w="100"/>
                  </w:tcMar>
                  <w:vAlign w:val="center"/>
                </w:tcPr>
                <w:p>
                  <w:pPr>
                    <w:spacing w:after="0"/>
                  </w:pPr>
                  <w:r>
                    <w:rPr>
                      <w:sz w:val="18"/>
                      <w:szCs w:val="18"/>
                    </w:rPr>
                    <w:t xml:space="preserve">2,4 %</w:t>
                  </w:r>
                </w:p>
              </w:tc>
              <w:tc>
                <w:tcPr>
                  <w:tcW w:type="dxa" w:w="2323"/>
                  <w:tcMar>
                    <w:top w:type="dxa" w:w="70"/>
                    <w:left w:type="dxa" w:w="100"/>
                    <w:bottom w:type="dxa" w:w="70"/>
                    <w:right w:type="dxa" w:w="100"/>
                  </w:tcMar>
                  <w:vAlign w:val="center"/>
                </w:tcPr>
                <w:p>
                  <w:pPr>
                    <w:spacing w:after="0"/>
                  </w:pPr>
                  <w:r>
                    <w:rPr>
                      <w:sz w:val="18"/>
                      <w:szCs w:val="18"/>
                    </w:rPr>
                    <w:t xml:space="preserve">5,3 %</w:t>
                  </w:r>
                </w:p>
              </w:tc>
            </w:tr>
            <w:tr>
              <w:trPr>
                <w:cantSplit/>
                <w:tblHeader w:val="off"/>
              </w:trPr>
              <w:tc>
                <w:tcPr>
                  <w:tcW w:type="dxa" w:w="2441"/>
                  <w:tcMar>
                    <w:top w:type="dxa" w:w="70"/>
                    <w:left w:type="dxa" w:w="100"/>
                    <w:bottom w:type="dxa" w:w="70"/>
                    <w:right w:type="dxa" w:w="100"/>
                  </w:tcMar>
                  <w:vAlign w:val="center"/>
                </w:tcPr>
                <w:p>
                  <w:pPr>
                    <w:spacing w:after="0"/>
                  </w:pPr>
                  <w:r>
                    <w:rPr>
                      <w:sz w:val="18"/>
                      <w:szCs w:val="18"/>
                    </w:rPr>
                    <w:t xml:space="preserve">60 a 89</w:t>
                  </w:r>
                </w:p>
              </w:tc>
              <w:tc>
                <w:tcPr>
                  <w:tcW w:type="dxa" w:w="2262"/>
                  <w:tcMar>
                    <w:top w:type="dxa" w:w="70"/>
                    <w:left w:type="dxa" w:w="100"/>
                    <w:bottom w:type="dxa" w:w="70"/>
                    <w:right w:type="dxa" w:w="100"/>
                  </w:tcMar>
                  <w:vAlign w:val="center"/>
                </w:tcPr>
                <w:p>
                  <w:pPr>
                    <w:spacing w:after="0"/>
                  </w:pPr>
                  <w:r>
                    <w:rPr>
                      <w:sz w:val="18"/>
                      <w:szCs w:val="18"/>
                    </w:rPr>
                    <w:t xml:space="preserve">0,9 %</w:t>
                  </w:r>
                </w:p>
              </w:tc>
              <w:tc>
                <w:tcPr>
                  <w:tcW w:type="dxa" w:w="2323"/>
                  <w:tcMar>
                    <w:top w:type="dxa" w:w="70"/>
                    <w:left w:type="dxa" w:w="100"/>
                    <w:bottom w:type="dxa" w:w="70"/>
                    <w:right w:type="dxa" w:w="100"/>
                  </w:tcMar>
                  <w:vAlign w:val="center"/>
                </w:tcPr>
                <w:p>
                  <w:pPr>
                    <w:spacing w:after="0"/>
                  </w:pPr>
                  <w:r>
                    <w:rPr>
                      <w:sz w:val="18"/>
                      <w:szCs w:val="18"/>
                    </w:rPr>
                    <w:t xml:space="preserve">1,5 %</w:t>
                  </w:r>
                </w:p>
              </w:tc>
            </w:tr>
            <w:tr>
              <w:trPr>
                <w:cantSplit/>
                <w:tblHeader w:val="off"/>
              </w:trPr>
              <w:tc>
                <w:tcPr>
                  <w:tcW w:type="dxa" w:w="2441"/>
                  <w:tcMar>
                    <w:top w:type="dxa" w:w="70"/>
                    <w:left w:type="dxa" w:w="100"/>
                    <w:bottom w:type="dxa" w:w="70"/>
                    <w:right w:type="dxa" w:w="100"/>
                  </w:tcMar>
                  <w:vAlign w:val="center"/>
                </w:tcPr>
                <w:p>
                  <w:pPr>
                    <w:spacing w:after="0"/>
                  </w:pPr>
                  <w:r>
                    <w:rPr>
                      <w:sz w:val="18"/>
                      <w:szCs w:val="18"/>
                    </w:rPr>
                    <w:t xml:space="preserve">90 a 120</w:t>
                  </w:r>
                </w:p>
              </w:tc>
              <w:tc>
                <w:tcPr>
                  <w:tcW w:type="dxa" w:w="2262"/>
                  <w:tcMar>
                    <w:top w:type="dxa" w:w="70"/>
                    <w:left w:type="dxa" w:w="100"/>
                    <w:bottom w:type="dxa" w:w="70"/>
                    <w:right w:type="dxa" w:w="100"/>
                  </w:tcMar>
                  <w:vAlign w:val="center"/>
                </w:tcPr>
                <w:p>
                  <w:pPr>
                    <w:spacing w:after="0"/>
                  </w:pPr>
                  <w:r>
                    <w:rPr>
                      <w:sz w:val="18"/>
                      <w:szCs w:val="18"/>
                    </w:rPr>
                    <w:t xml:space="preserve">0,2 %</w:t>
                  </w:r>
                </w:p>
              </w:tc>
              <w:tc>
                <w:tcPr>
                  <w:tcW w:type="dxa" w:w="2323"/>
                  <w:tcMar>
                    <w:top w:type="dxa" w:w="70"/>
                    <w:left w:type="dxa" w:w="100"/>
                    <w:bottom w:type="dxa" w:w="70"/>
                    <w:right w:type="dxa" w:w="100"/>
                  </w:tcMar>
                  <w:vAlign w:val="center"/>
                </w:tcPr>
                <w:p>
                  <w:pPr>
                    <w:spacing w:after="0"/>
                  </w:pPr>
                  <w:r>
                    <w:rPr>
                      <w:sz w:val="18"/>
                      <w:szCs w:val="18"/>
                    </w:rPr>
                    <w:t xml:space="preserve">0,5 %</w:t>
                  </w:r>
                </w:p>
              </w:tc>
            </w:tr>
          </w:tbl>
          <w:p>
            <w:pPr>
              <w:spacing w:after="0"/>
            </w:pP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Estadía de los reingresos</w:t>
            </w:r>
          </w:p>
        </w:tc>
        <w:tc>
          <w:tcPr>
            <w:tcW w:type="dxa" w:w="7226"/>
            <w:tcMar>
              <w:top w:type="dxa" w:w="70"/>
              <w:left w:type="dxa" w:w="100"/>
              <w:bottom w:type="dxa" w:w="70"/>
              <w:right w:type="dxa" w:w="100"/>
            </w:tcMar>
          </w:tcPr>
          <w:p>
            <w:pPr>
              <w:keepNext/>
              <w:spacing w:after="0" w:before="0"/>
            </w:pPr>
            <w:r>
              <w:rPr>
                <w:sz w:val="20"/>
                <w:szCs w:val="20"/>
              </w:rPr>
              <w:t xml:space="preserve">La mediana es de 6 días y el 95 % dura 33 días o menos (exploración del 8 de octubre de 2026): con 30 días de margen, casi todos terminan antes del cierre.</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Completa a</w:t>
            </w:r>
          </w:p>
        </w:tc>
        <w:tc>
          <w:tcPr>
            <w:tcW w:type="dxa" w:w="7226"/>
            <w:tcMar>
              <w:top w:type="dxa" w:w="70"/>
              <w:left w:type="dxa" w:w="100"/>
              <w:bottom w:type="dxa" w:w="70"/>
              <w:right w:type="dxa" w:w="100"/>
            </w:tcMar>
          </w:tcPr>
          <w:p>
            <w:pPr>
              <w:keepNext/>
              <w:spacing w:after="0" w:before="0"/>
            </w:pPr>
            <w:hyperlink w:history="1" w:anchor="E_H16">
              <w:r>
                <w:rPr>
                  <w:color w:val="0563C1"/>
                  <w:sz w:val="20"/>
                  <w:szCs w:val="20"/>
                  <w:u w:val="single"/>
                </w:rPr>
                <w:t xml:space="preserve">H16</w:t>
              </w:r>
            </w:hyperlink>
            <w:r>
              <w:rPr>
                <w:sz w:val="20"/>
                <w:szCs w:val="20"/>
              </w:rPr>
              <w:t xml:space="preserve">.</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Evidencia</w:t>
            </w:r>
          </w:p>
        </w:tc>
        <w:tc>
          <w:tcPr>
            <w:tcW w:type="dxa" w:w="7226"/>
            <w:tcMar>
              <w:top w:type="dxa" w:w="70"/>
              <w:left w:type="dxa" w:w="100"/>
              <w:bottom w:type="dxa" w:w="70"/>
              <w:right w:type="dxa" w:w="100"/>
            </w:tcMar>
          </w:tcPr>
          <w:p>
            <w:pPr>
              <w:keepNext w:val="false"/>
              <w:spacing w:after="0" w:before="0"/>
            </w:pPr>
            <w:r>
              <w:rPr>
                <w:rFonts w:ascii="Consolas" w:cs="Consolas" w:eastAsia="Consolas" w:hAnsi="Consolas"/>
                <w:sz w:val="18"/>
                <w:szCs w:val="18"/>
                <w:shd w:fill="F2F2F2" w:color="auto" w:val="clear"/>
              </w:rPr>
              <w:t xml:space="preserve">2.2_depuracion_etiquetado/reportes/09_etiquetado.md</w:t>
            </w:r>
            <w:r>
              <w:rPr>
                <w:sz w:val="20"/>
                <w:szCs w:val="20"/>
              </w:rPr>
              <w:t xml:space="preserve">, sección 6.</w:t>
            </w:r>
          </w:p>
        </w:tc>
      </w:tr>
    </w:tbl>
    <w:p>
      <w:pPr>
        <w:pStyle w:val="Heading2"/>
      </w:pPr>
      <w:bookmarkStart w:name="E_D30" w:id="17"/>
      <w:r>
        <w:rPr>
          <w:color w:val="548235"/>
        </w:rPr>
        <w:t xml:space="preserve">D30</w:t>
      </w:r>
      <w:bookmarkEnd w:id="17"/>
      <w:r>
        <w:t xml:space="preserve"> · Censura diferenciada por ventana, con margen</w:t>
      </w:r>
    </w:p>
    <w:p>
      <w:pPr>
        <w:keepNext/>
        <w:spacing w:after="100"/>
      </w:pPr>
      <w:r>
        <w:rPr>
          <w:b/>
          <w:bCs/>
          <w:color w:val="548235"/>
          <w:sz w:val="18"/>
          <w:szCs w:val="18"/>
        </w:rPr>
        <w:t xml:space="preserve">Decisión</w:t>
      </w:r>
      <w:r>
        <w:rPr>
          <w:color w:val="808080"/>
          <w:sz w:val="18"/>
          <w:szCs w:val="18"/>
        </w:rPr>
        <w:t xml:space="preserve">  ·  8 de octubre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2.2</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Decisión</w:t>
            </w:r>
          </w:p>
        </w:tc>
        <w:tc>
          <w:tcPr>
            <w:tcW w:type="dxa" w:w="7226"/>
            <w:tcMar>
              <w:top w:type="dxa" w:w="70"/>
              <w:left w:type="dxa" w:w="100"/>
              <w:bottom w:type="dxa" w:w="70"/>
              <w:right w:type="dxa" w:w="100"/>
            </w:tcMar>
          </w:tcPr>
          <w:p>
            <w:pPr>
              <w:keepNext/>
              <w:spacing w:after="0" w:before="0"/>
            </w:pPr>
            <w:r>
              <w:rPr>
                <w:sz w:val="20"/>
                <w:szCs w:val="20"/>
              </w:rPr>
              <w:t xml:space="preserve">Cada ventana tiene su propio corte: sus días más un margen de 30 días antes del cierre del bloque. Las variables de 7 días tienen dato si el alta ocurre al menos 37 días antes del cierre (hasta el 24 de noviembre de 2020 o de 2024) y las de 30 días, si ocurre al menos 60 días antes (hasta el 1 de noviembre). El criterio E11 deja fuera como caso de estudio solo a los egresos que no alcanzan el seguimiento de la ventana más corta. Un caso de estudio con entre 37 y 59 días de seguimiento conserva las variables de 7 días y queda sin dato en las de 30 días.</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Fundamento</w:t>
            </w:r>
          </w:p>
        </w:tc>
        <w:tc>
          <w:tcPr>
            <w:tcW w:type="dxa" w:w="7226"/>
            <w:tcMar>
              <w:top w:type="dxa" w:w="70"/>
              <w:left w:type="dxa" w:w="100"/>
              <w:bottom w:type="dxa" w:w="70"/>
              <w:right w:type="dxa" w:w="100"/>
            </w:tcMar>
          </w:tcPr>
          <w:p>
            <w:pPr>
              <w:keepNext/>
              <w:spacing w:after="0" w:before="0"/>
            </w:pPr>
            <w:r>
              <w:rPr>
                <w:sz w:val="20"/>
                <w:szCs w:val="20"/>
              </w:rPr>
              <w:t xml:space="preserve">El profesor guía indicó en su revisión del 7 de octubre de 2026 que para la ventana de 7 días no es necesario eliminar 30 días de seguimiento. El margen se agrega por </w:t>
            </w:r>
            <w:hyperlink w:history="1" w:anchor="E_H20">
              <w:r>
                <w:rPr>
                  <w:color w:val="0563C1"/>
                  <w:sz w:val="20"/>
                  <w:szCs w:val="20"/>
                  <w:u w:val="single"/>
                </w:rPr>
                <w:t xml:space="preserve">H20</w:t>
              </w:r>
            </w:hyperlink>
            <w:r>
              <w:rPr>
                <w:sz w:val="20"/>
                <w:szCs w:val="20"/>
              </w:rPr>
              <w:t xml:space="preserve">: sin él, se etiquetarían como «sin reingreso» casos cuyo reingreso no se ve.</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Resultado</w:t>
            </w:r>
          </w:p>
        </w:tc>
        <w:tc>
          <w:tcPr>
            <w:tcW w:type="dxa" w:w="7226"/>
            <w:tcMar>
              <w:top w:type="dxa" w:w="70"/>
              <w:left w:type="dxa" w:w="100"/>
              <w:bottom w:type="dxa" w:w="70"/>
              <w:right w:type="dxa" w:w="100"/>
            </w:tcMar>
          </w:tcPr>
          <w:p>
            <w:pPr>
              <w:keepNext/>
              <w:spacing w:after="0" w:before="0"/>
            </w:pPr>
            <w:r>
              <w:rPr>
                <w:sz w:val="20"/>
                <w:szCs w:val="20"/>
              </w:rPr>
              <w:t xml:space="preserve">E11 quita 176.057 egresos (73.672 de 2020 y 102.385 de 2024). Quedan 4.192.410 casos de estudio con las variables de 7 días y 4.101.883 con las de 30 días; 90.527 casos tienen solo las de 7 días.</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Alternativa</w:t>
            </w:r>
          </w:p>
        </w:tc>
        <w:tc>
          <w:tcPr>
            <w:tcW w:type="dxa" w:w="7226"/>
            <w:tcMar>
              <w:top w:type="dxa" w:w="70"/>
              <w:left w:type="dxa" w:w="100"/>
              <w:bottom w:type="dxa" w:w="70"/>
              <w:right w:type="dxa" w:w="100"/>
            </w:tcMar>
          </w:tcPr>
          <w:p>
            <w:pPr>
              <w:keepNext/>
              <w:spacing w:after="0" w:before="0"/>
            </w:pPr>
            <w:r>
              <w:rPr>
                <w:sz w:val="20"/>
                <w:szCs w:val="20"/>
              </w:rPr>
              <w:t xml:space="preserve">Sin margen (</w:t>
            </w:r>
            <w:r>
              <w:rPr>
                <w:rFonts w:ascii="Consolas" w:cs="Consolas" w:eastAsia="Consolas" w:hAnsi="Consolas"/>
                <w:sz w:val="18"/>
                <w:szCs w:val="18"/>
                <w:shd w:fill="F2F2F2" w:color="auto" w:val="clear"/>
              </w:rPr>
              <w:t xml:space="preserve">censura_margen_dias</w:t>
            </w:r>
            <w:r>
              <w:rPr>
                <w:sz w:val="20"/>
                <w:szCs w:val="20"/>
              </w:rPr>
              <w:t xml:space="preserve"> = 0) habría 4.313.289 casos para 7 días y 4.220.181 para 30 días. Los casos que así ganan dato tienen una tasa observada menor que el resto (1,73 % frente a 2,07 % a 7 días y 5,60 % frente a 5,90 % a 30 días), porque parte de sus reingresos no se ve. Las tasas totales cambian poco: 2,06 %, 1,07 %, 5,89 % y 3,02 %.</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Seguimiento por bloques</w:t>
            </w:r>
          </w:p>
        </w:tc>
        <w:tc>
          <w:tcPr>
            <w:tcW w:type="dxa" w:w="7226"/>
            <w:tcMar>
              <w:top w:type="dxa" w:w="70"/>
              <w:left w:type="dxa" w:w="100"/>
              <w:bottom w:type="dxa" w:w="70"/>
              <w:right w:type="dxa" w:w="100"/>
            </w:tcMar>
          </w:tcPr>
          <w:p>
            <w:pPr>
              <w:keepNext/>
              <w:spacing w:after="0" w:before="0"/>
            </w:pPr>
            <w:r>
              <w:rPr>
                <w:sz w:val="20"/>
                <w:szCs w:val="20"/>
              </w:rPr>
              <w:t xml:space="preserve">Se mantiene D03. Un reingreso que cruza de diciembre de 2020 a 2021 es inobservable, porque el identificador cambia, y esa limitación no se corrige con imputación ni con emparejamiento heurístico de pacientes.</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Parámetros</w:t>
            </w:r>
          </w:p>
        </w:tc>
        <w:tc>
          <w:tcPr>
            <w:tcW w:type="dxa" w:w="7226"/>
            <w:tcMar>
              <w:top w:type="dxa" w:w="70"/>
              <w:left w:type="dxa" w:w="100"/>
              <w:bottom w:type="dxa" w:w="70"/>
              <w:right w:type="dxa" w:w="100"/>
            </w:tcMar>
          </w:tcPr>
          <w:p>
            <w:pPr>
              <w:keepNext/>
              <w:spacing w:after="0" w:before="0"/>
            </w:pPr>
            <w:r>
              <w:rPr>
                <w:rFonts w:ascii="Consolas" w:cs="Consolas" w:eastAsia="Consolas" w:hAnsi="Consolas"/>
                <w:sz w:val="18"/>
                <w:szCs w:val="18"/>
                <w:shd w:fill="F2F2F2" w:color="auto" w:val="clear"/>
              </w:rPr>
              <w:t xml:space="preserve">ventanas_dias</w:t>
            </w:r>
            <w:r>
              <w:rPr>
                <w:sz w:val="20"/>
                <w:szCs w:val="20"/>
              </w:rPr>
              <w:t xml:space="preserve"> (7 y 30) y </w:t>
            </w:r>
            <w:r>
              <w:rPr>
                <w:rFonts w:ascii="Consolas" w:cs="Consolas" w:eastAsia="Consolas" w:hAnsi="Consolas"/>
                <w:sz w:val="18"/>
                <w:szCs w:val="18"/>
                <w:shd w:fill="F2F2F2" w:color="auto" w:val="clear"/>
              </w:rPr>
              <w:t xml:space="preserve">censura_margen_dias</w:t>
            </w:r>
            <w:r>
              <w:rPr>
                <w:sz w:val="20"/>
                <w:szCs w:val="20"/>
              </w:rPr>
              <w:t xml:space="preserve"> (30).</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Reemplaza a</w:t>
            </w:r>
          </w:p>
        </w:tc>
        <w:tc>
          <w:tcPr>
            <w:tcW w:type="dxa" w:w="7226"/>
            <w:tcMar>
              <w:top w:type="dxa" w:w="70"/>
              <w:left w:type="dxa" w:w="100"/>
              <w:bottom w:type="dxa" w:w="70"/>
              <w:right w:type="dxa" w:w="100"/>
            </w:tcMar>
          </w:tcPr>
          <w:p>
            <w:pPr>
              <w:keepNext/>
              <w:spacing w:after="0" w:before="0"/>
            </w:pPr>
            <w:hyperlink w:history="1" w:anchor="E_D22">
              <w:r>
                <w:rPr>
                  <w:color w:val="0563C1"/>
                  <w:sz w:val="20"/>
                  <w:szCs w:val="20"/>
                  <w:u w:val="single"/>
                </w:rPr>
                <w:t xml:space="preserve">D22</w:t>
              </w:r>
            </w:hyperlink>
            <w:r>
              <w:rPr>
                <w:sz w:val="20"/>
                <w:szCs w:val="20"/>
              </w:rPr>
              <w:t xml:space="preserve">.</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Evidencia</w:t>
            </w:r>
          </w:p>
        </w:tc>
        <w:tc>
          <w:tcPr>
            <w:tcW w:type="dxa" w:w="7226"/>
            <w:tcMar>
              <w:top w:type="dxa" w:w="70"/>
              <w:left w:type="dxa" w:w="100"/>
              <w:bottom w:type="dxa" w:w="70"/>
              <w:right w:type="dxa" w:w="100"/>
            </w:tcMar>
          </w:tcPr>
          <w:p>
            <w:pPr>
              <w:keepNext/>
              <w:spacing w:after="0" w:before="0"/>
            </w:pPr>
            <w:r>
              <w:rPr>
                <w:rFonts w:ascii="Consolas" w:cs="Consolas" w:eastAsia="Consolas" w:hAnsi="Consolas"/>
                <w:sz w:val="18"/>
                <w:szCs w:val="18"/>
                <w:shd w:fill="F2F2F2" w:color="auto" w:val="clear"/>
              </w:rPr>
              <w:t xml:space="preserve">2.2_depuracion_etiquetado/reportes/08_depuracion.md</w:t>
            </w:r>
            <w:r>
              <w:rPr>
                <w:sz w:val="20"/>
                <w:szCs w:val="20"/>
              </w:rPr>
              <w:t xml:space="preserve">, sección 5; </w:t>
            </w:r>
            <w:r>
              <w:rPr>
                <w:rFonts w:ascii="Consolas" w:cs="Consolas" w:eastAsia="Consolas" w:hAnsi="Consolas"/>
                <w:sz w:val="18"/>
                <w:szCs w:val="18"/>
                <w:shd w:fill="F2F2F2" w:color="auto" w:val="clear"/>
              </w:rPr>
              <w:t xml:space="preserve">2.2_depuracion_etiquetado/reportes/11_sensibilidad.md</w:t>
            </w:r>
            <w:r>
              <w:rPr>
                <w:sz w:val="20"/>
                <w:szCs w:val="20"/>
              </w:rPr>
              <w:t xml:space="preserve">, sección 6.</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Estado</w:t>
            </w:r>
          </w:p>
        </w:tc>
        <w:tc>
          <w:tcPr>
            <w:tcW w:type="dxa" w:w="7226"/>
            <w:tcMar>
              <w:top w:type="dxa" w:w="70"/>
              <w:left w:type="dxa" w:w="100"/>
              <w:bottom w:type="dxa" w:w="70"/>
              <w:right w:type="dxa" w:w="100"/>
            </w:tcMar>
          </w:tcPr>
          <w:p>
            <w:pPr>
              <w:keepNext w:val="false"/>
              <w:spacing w:after="0" w:before="0"/>
            </w:pPr>
            <w:r>
              <w:rPr>
                <w:sz w:val="20"/>
                <w:szCs w:val="20"/>
              </w:rPr>
              <w:t xml:space="preserve">Adoptada. Aprobada por el profesor guía el 13 de octubre de 2026, con el margen de 30 días: lo considera bien respaldado, porque baja la pérdida de reingresos junto al cierre a 2,4 % (7 días) y 1,5 % (30 días) y casi no cambia las tasas.</w:t>
            </w:r>
          </w:p>
        </w:tc>
      </w:tr>
    </w:tbl>
    <w:p>
      <w:pPr>
        <w:pStyle w:val="Heading2"/>
      </w:pPr>
      <w:bookmarkStart w:name="E_D31" w:id="18"/>
      <w:r>
        <w:rPr>
          <w:color w:val="548235"/>
        </w:rPr>
        <w:t xml:space="preserve">D31</w:t>
      </w:r>
      <w:bookmarkEnd w:id="18"/>
      <w:r>
        <w:t xml:space="preserve"> · El reingreso relacionado se mide con la misma CDM, sin agrupar</w:t>
      </w:r>
    </w:p>
    <w:p>
      <w:pPr>
        <w:keepNext/>
        <w:spacing w:after="100"/>
      </w:pPr>
      <w:r>
        <w:rPr>
          <w:b/>
          <w:bCs/>
          <w:color w:val="548235"/>
          <w:sz w:val="18"/>
          <w:szCs w:val="18"/>
        </w:rPr>
        <w:t xml:space="preserve">Decisión</w:t>
      </w:r>
      <w:r>
        <w:rPr>
          <w:color w:val="808080"/>
          <w:sz w:val="18"/>
          <w:szCs w:val="18"/>
        </w:rPr>
        <w:t xml:space="preserve">  ·  8 de octubre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2.2</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Decisión</w:t>
            </w:r>
          </w:p>
        </w:tc>
        <w:tc>
          <w:tcPr>
            <w:tcW w:type="dxa" w:w="7226"/>
            <w:tcMar>
              <w:top w:type="dxa" w:w="70"/>
              <w:left w:type="dxa" w:w="100"/>
              <w:bottom w:type="dxa" w:w="70"/>
              <w:right w:type="dxa" w:w="100"/>
            </w:tcMar>
          </w:tcPr>
          <w:p>
            <w:pPr>
              <w:keepNext/>
              <w:spacing w:after="0" w:before="0"/>
            </w:pPr>
            <w:r>
              <w:rPr>
                <w:sz w:val="20"/>
                <w:szCs w:val="20"/>
              </w:rPr>
              <w:t xml:space="preserve">Para decidir si un reingreso está relacionado con el caso de estudio se compara la CDM tal cual, sin agrupar ninguna (</w:t>
            </w:r>
            <w:r>
              <w:rPr>
                <w:rFonts w:ascii="Consolas" w:cs="Consolas" w:eastAsia="Consolas" w:hAnsi="Consolas"/>
                <w:sz w:val="18"/>
                <w:szCs w:val="18"/>
                <w:shd w:fill="F2F2F2" w:color="auto" w:val="clear"/>
              </w:rPr>
              <w:t xml:space="preserve">cdm_agrupadas</w:t>
            </w:r>
            <w:r>
              <w:rPr>
                <w:sz w:val="20"/>
                <w:szCs w:val="20"/>
              </w:rPr>
              <w:t xml:space="preserve"> vacío). La unión de las CDM 13 y 14 se informa solo como análisis de sensibilidad (</w:t>
            </w:r>
            <w:r>
              <w:rPr>
                <w:rFonts w:ascii="Consolas" w:cs="Consolas" w:eastAsia="Consolas" w:hAnsi="Consolas"/>
                <w:sz w:val="18"/>
                <w:szCs w:val="18"/>
                <w:shd w:fill="F2F2F2" w:color="auto" w:val="clear"/>
              </w:rPr>
              <w:t xml:space="preserve">cdm_sensibilidad</w:t>
            </w:r>
            <w:r>
              <w:rPr>
                <w:sz w:val="20"/>
                <w:szCs w:val="20"/>
              </w:rPr>
              <w:t xml:space="preserve"> = </w:t>
            </w:r>
            <w:r>
              <w:rPr>
                <w:rFonts w:ascii="Consolas" w:cs="Consolas" w:eastAsia="Consolas" w:hAnsi="Consolas"/>
                <w:sz w:val="18"/>
                <w:szCs w:val="18"/>
                <w:shd w:fill="F2F2F2" w:color="auto" w:val="clear"/>
              </w:rPr>
              <w:t xml:space="preserve">13+14</w:t>
            </w:r>
            <w:r>
              <w:rPr>
                <w:sz w:val="20"/>
                <w:szCs w:val="20"/>
              </w:rPr>
              <w:t xml:space="preserve">).</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Fundamento</w:t>
            </w:r>
          </w:p>
        </w:tc>
        <w:tc>
          <w:tcPr>
            <w:tcW w:type="dxa" w:w="7226"/>
            <w:tcMar>
              <w:top w:type="dxa" w:w="70"/>
              <w:left w:type="dxa" w:w="100"/>
              <w:bottom w:type="dxa" w:w="70"/>
              <w:right w:type="dxa" w:w="100"/>
            </w:tcMar>
          </w:tcPr>
          <w:p>
            <w:pPr>
              <w:keepNext/>
              <w:spacing w:after="0" w:before="0"/>
            </w:pPr>
            <w:r>
              <w:rPr>
                <w:sz w:val="20"/>
                <w:szCs w:val="20"/>
              </w:rPr>
              <w:t xml:space="preserve">Revisión del profesor guía del 7 de octubre de 2026: la unión modifica por construcción la variable y no tiene una justificación clínica explícita en el protocolo.</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Resultado</w:t>
            </w:r>
          </w:p>
        </w:tc>
        <w:tc>
          <w:tcPr>
            <w:tcW w:type="dxa" w:w="7226"/>
            <w:tcMar>
              <w:top w:type="dxa" w:w="70"/>
              <w:left w:type="dxa" w:w="100"/>
              <w:bottom w:type="dxa" w:w="70"/>
              <w:right w:type="dxa" w:w="100"/>
            </w:tcMar>
          </w:tcPr>
          <w:p>
            <w:pPr>
              <w:keepNext/>
              <w:spacing w:after="0" w:before="0"/>
            </w:pPr>
            <w:r>
              <w:rPr>
                <w:rFonts w:ascii="Consolas" w:cs="Consolas" w:eastAsia="Consolas" w:hAnsi="Consolas"/>
                <w:sz w:val="18"/>
                <w:szCs w:val="18"/>
                <w:shd w:fill="F2F2F2" w:color="auto" w:val="clear"/>
              </w:rPr>
              <w:t xml:space="preserve">REING_7D_CDM</w:t>
            </w:r>
            <w:r>
              <w:rPr>
                <w:sz w:val="20"/>
                <w:szCs w:val="20"/>
              </w:rPr>
              <w:t xml:space="preserve"> tiene 45.195 casos (1,08 %) y </w:t>
            </w:r>
            <w:r>
              <w:rPr>
                <w:rFonts w:ascii="Consolas" w:cs="Consolas" w:eastAsia="Consolas" w:hAnsi="Consolas"/>
                <w:sz w:val="18"/>
                <w:szCs w:val="18"/>
                <w:shd w:fill="F2F2F2" w:color="auto" w:val="clear"/>
              </w:rPr>
              <w:t xml:space="preserve">REING_30D_CDM</w:t>
            </w:r>
            <w:r>
              <w:rPr>
                <w:sz w:val="20"/>
                <w:szCs w:val="20"/>
              </w:rPr>
              <w:t xml:space="preserve">, 124.256 (3,03 %). Con las CDM 13 y 14 unidas serían 49.087 (1,17 %) y 130.654 (3,19 %): 3.892 y 6.398 casos más.</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Consecuencia</w:t>
            </w:r>
          </w:p>
        </w:tc>
        <w:tc>
          <w:tcPr>
            <w:tcW w:type="dxa" w:w="7226"/>
            <w:tcMar>
              <w:top w:type="dxa" w:w="70"/>
              <w:left w:type="dxa" w:w="100"/>
              <w:bottom w:type="dxa" w:w="70"/>
              <w:right w:type="dxa" w:w="100"/>
            </w:tcMar>
          </w:tcPr>
          <w:p>
            <w:pPr>
              <w:keepNext/>
              <w:spacing w:after="0" w:before="0"/>
            </w:pPr>
            <w:r>
              <w:rPr>
                <w:sz w:val="20"/>
                <w:szCs w:val="20"/>
              </w:rPr>
              <w:t xml:space="preserve">Con la comparación literal, ninguno de los 603.423 partos con seguimiento de 30 días (CDM 14) tiene reingreso relacionado, porque la CDM 14 solo contiene partos y un parto no cuenta como reingreso (</w:t>
            </w:r>
            <w:hyperlink w:history="1" w:anchor="E_H17">
              <w:r>
                <w:rPr>
                  <w:color w:val="0563C1"/>
                  <w:sz w:val="20"/>
                  <w:szCs w:val="20"/>
                  <w:u w:val="single"/>
                </w:rPr>
                <w:t xml:space="preserve">H17</w:t>
              </w:r>
            </w:hyperlink>
            <w:r>
              <w:rPr>
                <w:sz w:val="20"/>
                <w:szCs w:val="20"/>
              </w:rPr>
              <w:t xml:space="preserve">). Con la unión serían 6.398. Debe declararse como limitación: en las variables relacionadas, el valor 0 de los partos es un efecto de la clasificación.</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Reemplaza a</w:t>
            </w:r>
          </w:p>
        </w:tc>
        <w:tc>
          <w:tcPr>
            <w:tcW w:type="dxa" w:w="7226"/>
            <w:tcMar>
              <w:top w:type="dxa" w:w="70"/>
              <w:left w:type="dxa" w:w="100"/>
              <w:bottom w:type="dxa" w:w="70"/>
              <w:right w:type="dxa" w:w="100"/>
            </w:tcMar>
          </w:tcPr>
          <w:p>
            <w:pPr>
              <w:keepNext/>
              <w:spacing w:after="0" w:before="0"/>
            </w:pPr>
            <w:hyperlink w:history="1" w:anchor="E_D25">
              <w:r>
                <w:rPr>
                  <w:color w:val="0563C1"/>
                  <w:sz w:val="20"/>
                  <w:szCs w:val="20"/>
                  <w:u w:val="single"/>
                </w:rPr>
                <w:t xml:space="preserve">D25</w:t>
              </w:r>
            </w:hyperlink>
            <w:r>
              <w:rPr>
                <w:sz w:val="20"/>
                <w:szCs w:val="20"/>
              </w:rPr>
              <w:t xml:space="preserve">.</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Completada por</w:t>
            </w:r>
          </w:p>
        </w:tc>
        <w:tc>
          <w:tcPr>
            <w:tcW w:type="dxa" w:w="7226"/>
            <w:tcMar>
              <w:top w:type="dxa" w:w="70"/>
              <w:left w:type="dxa" w:w="100"/>
              <w:bottom w:type="dxa" w:w="70"/>
              <w:right w:type="dxa" w:w="100"/>
            </w:tcMar>
          </w:tcPr>
          <w:p>
            <w:pPr>
              <w:keepNext/>
              <w:spacing w:after="0" w:before="0"/>
            </w:pPr>
            <w:hyperlink w:history="1" w:anchor="E_D38">
              <w:r>
                <w:rPr>
                  <w:color w:val="0563C1"/>
                  <w:sz w:val="20"/>
                  <w:szCs w:val="20"/>
                  <w:u w:val="single"/>
                </w:rPr>
                <w:t xml:space="preserve">D38</w:t>
              </w:r>
            </w:hyperlink>
            <w:r>
              <w:rPr>
                <w:sz w:val="20"/>
                <w:szCs w:val="20"/>
              </w:rPr>
              <w:t xml:space="preserve">, del 20 de octubre de 2026: los partos quedan sin dato en las dos variables relacionadas, en vez de 0.</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Evidencia</w:t>
            </w:r>
          </w:p>
        </w:tc>
        <w:tc>
          <w:tcPr>
            <w:tcW w:type="dxa" w:w="7226"/>
            <w:tcMar>
              <w:top w:type="dxa" w:w="70"/>
              <w:left w:type="dxa" w:w="100"/>
              <w:bottom w:type="dxa" w:w="70"/>
              <w:right w:type="dxa" w:w="100"/>
            </w:tcMar>
          </w:tcPr>
          <w:p>
            <w:pPr>
              <w:keepNext/>
              <w:spacing w:after="0" w:before="0"/>
            </w:pPr>
            <w:r>
              <w:rPr>
                <w:rFonts w:ascii="Consolas" w:cs="Consolas" w:eastAsia="Consolas" w:hAnsi="Consolas"/>
                <w:sz w:val="18"/>
                <w:szCs w:val="18"/>
                <w:shd w:fill="F2F2F2" w:color="auto" w:val="clear"/>
              </w:rPr>
              <w:t xml:space="preserve">2.2_depuracion_etiquetado/reportes/09_etiquetado.md</w:t>
            </w:r>
            <w:r>
              <w:rPr>
                <w:sz w:val="20"/>
                <w:szCs w:val="20"/>
              </w:rPr>
              <w:t xml:space="preserve">, sección 5.</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Estado</w:t>
            </w:r>
          </w:p>
        </w:tc>
        <w:tc>
          <w:tcPr>
            <w:tcW w:type="dxa" w:w="7226"/>
            <w:tcMar>
              <w:top w:type="dxa" w:w="70"/>
              <w:left w:type="dxa" w:w="100"/>
              <w:bottom w:type="dxa" w:w="70"/>
              <w:right w:type="dxa" w:w="100"/>
            </w:tcMar>
          </w:tcPr>
          <w:p>
            <w:pPr>
              <w:keepNext w:val="false"/>
              <w:spacing w:after="0" w:before="0"/>
            </w:pPr>
            <w:r>
              <w:rPr>
                <w:sz w:val="20"/>
                <w:szCs w:val="20"/>
              </w:rPr>
              <w:t xml:space="preserve">Adoptada, por recomendación del profesor guía.</w:t>
            </w:r>
          </w:p>
        </w:tc>
      </w:tr>
    </w:tbl>
    <w:p>
      <w:pPr>
        <w:pStyle w:val="Heading2"/>
      </w:pPr>
      <w:bookmarkStart w:name="E_D32" w:id="19"/>
      <w:r>
        <w:rPr>
          <w:color w:val="548235"/>
        </w:rPr>
        <w:t xml:space="preserve">D32</w:t>
      </w:r>
      <w:bookmarkEnd w:id="19"/>
      <w:r>
        <w:t xml:space="preserve"> · La cirugía mayor ambulatoria no es caso de estudio</w:t>
      </w:r>
    </w:p>
    <w:p>
      <w:pPr>
        <w:keepNext/>
        <w:spacing w:after="100"/>
      </w:pPr>
      <w:r>
        <w:rPr>
          <w:b/>
          <w:bCs/>
          <w:color w:val="548235"/>
          <w:sz w:val="18"/>
          <w:szCs w:val="18"/>
        </w:rPr>
        <w:t xml:space="preserve">Decisión</w:t>
      </w:r>
      <w:r>
        <w:rPr>
          <w:color w:val="808080"/>
          <w:sz w:val="18"/>
          <w:szCs w:val="18"/>
        </w:rPr>
        <w:t xml:space="preserve">  ·  8 de octubre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2.2</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Decisión</w:t>
            </w:r>
          </w:p>
        </w:tc>
        <w:tc>
          <w:tcPr>
            <w:tcW w:type="dxa" w:w="7226"/>
            <w:tcMar>
              <w:top w:type="dxa" w:w="70"/>
              <w:left w:type="dxa" w:w="100"/>
              <w:bottom w:type="dxa" w:w="70"/>
              <w:right w:type="dxa" w:w="100"/>
            </w:tcMar>
          </w:tcPr>
          <w:p>
            <w:pPr>
              <w:keepNext/>
              <w:spacing w:after="0" w:before="0"/>
            </w:pPr>
            <w:r>
              <w:rPr>
                <w:sz w:val="20"/>
                <w:szCs w:val="20"/>
              </w:rPr>
              <w:t xml:space="preserve">Se activa el criterio E13: los egresos de cirugía mayor ambulatoria no son caso de estudio. Siguen pudiendo contar como reingreso de un alta anterior, si son un ingreso no planificado.</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Fundamento</w:t>
            </w:r>
          </w:p>
        </w:tc>
        <w:tc>
          <w:tcPr>
            <w:tcW w:type="dxa" w:w="7226"/>
            <w:tcMar>
              <w:top w:type="dxa" w:w="70"/>
              <w:left w:type="dxa" w:w="100"/>
              <w:bottom w:type="dxa" w:w="70"/>
              <w:right w:type="dxa" w:w="100"/>
            </w:tcMar>
          </w:tcPr>
          <w:p>
            <w:pPr>
              <w:keepNext/>
              <w:spacing w:after="0" w:before="0"/>
            </w:pPr>
            <w:r>
              <w:rPr>
                <w:sz w:val="20"/>
                <w:szCs w:val="20"/>
              </w:rPr>
              <w:t xml:space="preserve">Revisión del profesor guía del 7 de octubre de 2026: es un proceso asistencial distinto de la hospitalización convencional, y el estudio trata del reingreso después de un egreso hospitalario.</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Resultado</w:t>
            </w:r>
          </w:p>
        </w:tc>
        <w:tc>
          <w:tcPr>
            <w:tcW w:type="dxa" w:w="7226"/>
            <w:tcMar>
              <w:top w:type="dxa" w:w="70"/>
              <w:left w:type="dxa" w:w="100"/>
              <w:bottom w:type="dxa" w:w="70"/>
              <w:right w:type="dxa" w:w="100"/>
            </w:tcMar>
          </w:tcPr>
          <w:p>
            <w:pPr>
              <w:keepNext/>
              <w:spacing w:after="0" w:before="0"/>
            </w:pPr>
            <w:r>
              <w:rPr>
                <w:sz w:val="20"/>
                <w:szCs w:val="20"/>
              </w:rPr>
              <w:t xml:space="preserve">885.384 egresos cumplen el criterio; aplicado después de los anteriores, quita 845.604. Todos los casos de estudio son hospitalizaciones.</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Sensibilidad</w:t>
            </w:r>
          </w:p>
        </w:tc>
        <w:tc>
          <w:tcPr>
            <w:tcW w:type="dxa" w:w="7226"/>
            <w:tcMar>
              <w:top w:type="dxa" w:w="70"/>
              <w:left w:type="dxa" w:w="100"/>
              <w:bottom w:type="dxa" w:w="70"/>
              <w:right w:type="dxa" w:w="100"/>
            </w:tcMar>
          </w:tcPr>
          <w:p>
            <w:pPr>
              <w:keepNext/>
              <w:spacing w:after="0" w:before="0"/>
            </w:pPr>
            <w:r>
              <w:rPr>
                <w:sz w:val="20"/>
                <w:szCs w:val="20"/>
              </w:rPr>
              <w:t xml:space="preserve">Con la cirugía mayor ambulatoria habría 5.036.703 casos de estudio y las tasas bajarían a 1,79 %, 0,92 %, 5,10 % y 2,58 %. Por sí sola tiene 0,41 %, 0,14 %, 1,14 % y 0,33 %. Es la decisión que más cambia las tasas.</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Modifica a</w:t>
            </w:r>
          </w:p>
        </w:tc>
        <w:tc>
          <w:tcPr>
            <w:tcW w:type="dxa" w:w="7226"/>
            <w:tcMar>
              <w:top w:type="dxa" w:w="70"/>
              <w:left w:type="dxa" w:w="100"/>
              <w:bottom w:type="dxa" w:w="70"/>
              <w:right w:type="dxa" w:w="100"/>
            </w:tcMar>
          </w:tcPr>
          <w:p>
            <w:pPr>
              <w:keepNext/>
              <w:spacing w:after="0" w:before="0"/>
            </w:pPr>
            <w:hyperlink w:history="1" w:anchor="E_D23">
              <w:r>
                <w:rPr>
                  <w:color w:val="0563C1"/>
                  <w:sz w:val="20"/>
                  <w:szCs w:val="20"/>
                  <w:u w:val="single"/>
                </w:rPr>
                <w:t xml:space="preserve">D23</w:t>
              </w:r>
            </w:hyperlink>
            <w:r>
              <w:rPr>
                <w:sz w:val="20"/>
                <w:szCs w:val="20"/>
              </w:rPr>
              <w:t xml:space="preserve">, que la conservaba.</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Evidencia</w:t>
            </w:r>
          </w:p>
        </w:tc>
        <w:tc>
          <w:tcPr>
            <w:tcW w:type="dxa" w:w="7226"/>
            <w:tcMar>
              <w:top w:type="dxa" w:w="70"/>
              <w:left w:type="dxa" w:w="100"/>
              <w:bottom w:type="dxa" w:w="70"/>
              <w:right w:type="dxa" w:w="100"/>
            </w:tcMar>
          </w:tcPr>
          <w:p>
            <w:pPr>
              <w:keepNext/>
              <w:spacing w:after="0" w:before="0"/>
            </w:pPr>
            <w:r>
              <w:rPr>
                <w:rFonts w:ascii="Consolas" w:cs="Consolas" w:eastAsia="Consolas" w:hAnsi="Consolas"/>
                <w:sz w:val="18"/>
                <w:szCs w:val="18"/>
                <w:shd w:fill="F2F2F2" w:color="auto" w:val="clear"/>
              </w:rPr>
              <w:t xml:space="preserve">2.2_depuracion_etiquetado/reportes/11_sensibilidad.md</w:t>
            </w:r>
            <w:r>
              <w:rPr>
                <w:sz w:val="20"/>
                <w:szCs w:val="20"/>
              </w:rPr>
              <w:t xml:space="preserve">, secciones 1 y 3.</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Estado</w:t>
            </w:r>
          </w:p>
        </w:tc>
        <w:tc>
          <w:tcPr>
            <w:tcW w:type="dxa" w:w="7226"/>
            <w:tcMar>
              <w:top w:type="dxa" w:w="70"/>
              <w:left w:type="dxa" w:w="100"/>
              <w:bottom w:type="dxa" w:w="70"/>
              <w:right w:type="dxa" w:w="100"/>
            </w:tcMar>
          </w:tcPr>
          <w:p>
            <w:pPr>
              <w:keepNext w:val="false"/>
              <w:spacing w:after="0" w:before="0"/>
            </w:pPr>
            <w:r>
              <w:rPr>
                <w:sz w:val="20"/>
                <w:szCs w:val="20"/>
              </w:rPr>
              <w:t xml:space="preserve">Adoptada, por recomendación del profesor guía.</w:t>
            </w:r>
          </w:p>
        </w:tc>
      </w:tr>
    </w:tbl>
    <w:p>
      <w:pPr>
        <w:pStyle w:val="Heading2"/>
      </w:pPr>
      <w:bookmarkStart w:name="E_D33" w:id="20"/>
      <w:r>
        <w:rPr>
          <w:color w:val="548235"/>
        </w:rPr>
        <w:t xml:space="preserve">D33</w:t>
      </w:r>
      <w:bookmarkEnd w:id="20"/>
      <w:r>
        <w:t xml:space="preserve"> · Las sesiones de tratamiento no son caso de estudio ni cuentan como reingreso</w:t>
      </w:r>
    </w:p>
    <w:p>
      <w:pPr>
        <w:keepNext/>
        <w:spacing w:after="100"/>
      </w:pPr>
      <w:r>
        <w:rPr>
          <w:b/>
          <w:bCs/>
          <w:color w:val="548235"/>
          <w:sz w:val="18"/>
          <w:szCs w:val="18"/>
        </w:rPr>
        <w:t xml:space="preserve">Decisión</w:t>
      </w:r>
      <w:r>
        <w:rPr>
          <w:color w:val="808080"/>
          <w:sz w:val="18"/>
          <w:szCs w:val="18"/>
        </w:rPr>
        <w:t xml:space="preserve">  ·  8 de octubre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2.2</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Decisión</w:t>
            </w:r>
          </w:p>
        </w:tc>
        <w:tc>
          <w:tcPr>
            <w:tcW w:type="dxa" w:w="7226"/>
            <w:tcMar>
              <w:top w:type="dxa" w:w="70"/>
              <w:left w:type="dxa" w:w="100"/>
              <w:bottom w:type="dxa" w:w="70"/>
              <w:right w:type="dxa" w:w="100"/>
            </w:tcMar>
          </w:tcPr>
          <w:p>
            <w:pPr>
              <w:keepNext/>
              <w:spacing w:after="0" w:before="0"/>
            </w:pPr>
            <w:r>
              <w:rPr>
                <w:sz w:val="20"/>
                <w:szCs w:val="20"/>
              </w:rPr>
              <w:t xml:space="preserve">Se agrega el criterio E14: un egreso cuyo diagnóstico principal comienza con Z51 (sesión de tratamiento) no es caso de estudio. Además, un ingreso con ese diagnóstico principal no cuenta como reingreso no planificado, cualquiera sea su tipo de ingreso (parámetro </w:t>
            </w:r>
            <w:r>
              <w:rPr>
                <w:rFonts w:ascii="Consolas" w:cs="Consolas" w:eastAsia="Consolas" w:hAnsi="Consolas"/>
                <w:sz w:val="18"/>
                <w:szCs w:val="18"/>
                <w:shd w:fill="F2F2F2" w:color="auto" w:val="clear"/>
              </w:rPr>
              <w:t xml:space="preserve">diagnosticos_sesion</w:t>
            </w:r>
            <w:r>
              <w:rPr>
                <w:sz w:val="20"/>
                <w:szCs w:val="20"/>
              </w:rPr>
              <w:t xml:space="preserve">).</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Caracterización</w:t>
            </w:r>
          </w:p>
        </w:tc>
        <w:tc>
          <w:tcPr>
            <w:tcW w:type="dxa" w:w="7226"/>
            <w:tcMar>
              <w:top w:type="dxa" w:w="70"/>
              <w:left w:type="dxa" w:w="100"/>
              <w:bottom w:type="dxa" w:w="70"/>
              <w:right w:type="dxa" w:w="100"/>
            </w:tcMar>
          </w:tcPr>
          <w:p>
            <w:pPr>
              <w:keepNext/>
              <w:spacing w:after="0" w:before="0"/>
            </w:pPr>
            <w:r>
              <w:rPr>
                <w:sz w:val="20"/>
                <w:szCs w:val="20"/>
              </w:rPr>
              <w:t xml:space="preserve">Son 81.925 casos de estudio de 28.428 personas; 229 personas tienen 20 o más y suman 9.264 (11,3 %). El 98,1 % ingresa de forma programada. El 60,4 % es Z51.1 y el 26,1 %, Z51.8. El 29,2 % ingresa y egresa el mismo día; la mediana de la estadía es de 2 días. El 59,3 % va seguido de otro ingreso dentro de 30 días, contando los programados, y el 8,15 %, de un reingreso no planificado.</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Regla completa de «no planificado»</w:t>
            </w:r>
          </w:p>
        </w:tc>
        <w:tc>
          <w:tcPr>
            <w:tcW w:type="dxa" w:w="7226"/>
            <w:tcMar>
              <w:top w:type="dxa" w:w="70"/>
              <w:left w:type="dxa" w:w="100"/>
              <w:bottom w:type="dxa" w:w="70"/>
              <w:right w:type="dxa" w:w="100"/>
            </w:tcMar>
          </w:tcPr>
          <w:p>
            <w:pPr>
              <w:keepNext/>
              <w:spacing w:after="0" w:before="0"/>
            </w:pPr>
            <w:r>
              <w:rPr>
                <w:sz w:val="20"/>
                <w:szCs w:val="20"/>
              </w:rPr>
              <w:t xml:space="preserve">En orden de precedencia: (1) el ingreso debe abrir un episodio asistencial nuevo; (2) si su GRD comienza con 146 o 147, es un parto y no cuenta; (3) si su diagnóstico principal comienza con Z51, es una sesión y no cuenta; (4) cuenta si su tipo de ingreso es </w:t>
            </w:r>
            <w:r>
              <w:rPr>
                <w:rFonts w:ascii="Consolas" w:cs="Consolas" w:eastAsia="Consolas" w:hAnsi="Consolas"/>
                <w:sz w:val="18"/>
                <w:szCs w:val="18"/>
                <w:shd w:fill="F2F2F2" w:color="auto" w:val="clear"/>
              </w:rPr>
              <w:t xml:space="preserve">URGENCIA</w:t>
            </w:r>
            <w:r>
              <w:rPr>
                <w:sz w:val="20"/>
                <w:szCs w:val="20"/>
              </w:rPr>
              <w:t xml:space="preserve"> u </w:t>
            </w:r>
            <w:r>
              <w:rPr>
                <w:rFonts w:ascii="Consolas" w:cs="Consolas" w:eastAsia="Consolas" w:hAnsi="Consolas"/>
                <w:sz w:val="18"/>
                <w:szCs w:val="18"/>
                <w:shd w:fill="F2F2F2" w:color="auto" w:val="clear"/>
              </w:rPr>
              <w:t xml:space="preserve">OBSTETRICA</w:t>
            </w:r>
            <w:r>
              <w:rPr>
                <w:sz w:val="20"/>
                <w:szCs w:val="20"/>
              </w:rPr>
              <w:t xml:space="preserve">; (5) no cuenta si es otro o si falta. Señales contradictorias resueltas por ese orden: 2.493 partos con un tipo de ingreso distinto de obstétrico, 1.649 sesiones con tipo de ingreso no programado y 339 ingresos sin tipo.</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Fundamento</w:t>
            </w:r>
          </w:p>
        </w:tc>
        <w:tc>
          <w:tcPr>
            <w:tcW w:type="dxa" w:w="7226"/>
            <w:tcMar>
              <w:top w:type="dxa" w:w="70"/>
              <w:left w:type="dxa" w:w="100"/>
              <w:bottom w:type="dxa" w:w="70"/>
              <w:right w:type="dxa" w:w="100"/>
            </w:tcMar>
          </w:tcPr>
          <w:p>
            <w:pPr>
              <w:keepNext/>
              <w:spacing w:after="0" w:before="0"/>
            </w:pPr>
            <w:r>
              <w:rPr>
                <w:sz w:val="20"/>
                <w:szCs w:val="20"/>
              </w:rPr>
              <w:t xml:space="preserve">Revisión del profesor guía del 7 de octubre de 2026: son atenciones planificadas o repetitivas, con una dinámica distinta de la del episodio agudo, y una sesión programada posterior no debe etiquetarse como reingreso.</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Resultado</w:t>
            </w:r>
          </w:p>
        </w:tc>
        <w:tc>
          <w:tcPr>
            <w:tcW w:type="dxa" w:w="7226"/>
            <w:tcMar>
              <w:top w:type="dxa" w:w="70"/>
              <w:left w:type="dxa" w:w="100"/>
              <w:bottom w:type="dxa" w:w="70"/>
              <w:right w:type="dxa" w:w="100"/>
            </w:tcMar>
          </w:tcPr>
          <w:p>
            <w:pPr>
              <w:keepNext/>
              <w:spacing w:after="0" w:before="0"/>
            </w:pPr>
            <w:r>
              <w:rPr>
                <w:sz w:val="20"/>
                <w:szCs w:val="20"/>
              </w:rPr>
              <w:t xml:space="preserve">100.229 egresos cumplen el criterio; aplicado al final, quita 81.925.</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Sensibilidad</w:t>
            </w:r>
          </w:p>
        </w:tc>
        <w:tc>
          <w:tcPr>
            <w:tcW w:type="dxa" w:w="7226"/>
            <w:tcMar>
              <w:top w:type="dxa" w:w="70"/>
              <w:left w:type="dxa" w:w="100"/>
              <w:bottom w:type="dxa" w:w="70"/>
              <w:right w:type="dxa" w:w="100"/>
            </w:tcMar>
          </w:tcPr>
          <w:p>
            <w:pPr>
              <w:keepNext/>
              <w:spacing w:after="0" w:before="0"/>
            </w:pPr>
            <w:r>
              <w:rPr>
                <w:sz w:val="20"/>
                <w:szCs w:val="20"/>
              </w:rPr>
              <w:t xml:space="preserve">Con las sesiones como caso de estudio habría 4.274.335 casos y las tasas serían 2,08 %, 1,06 %, 5,94 % y 2,99 %.</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Completa a</w:t>
            </w:r>
          </w:p>
        </w:tc>
        <w:tc>
          <w:tcPr>
            <w:tcW w:type="dxa" w:w="7226"/>
            <w:tcMar>
              <w:top w:type="dxa" w:w="70"/>
              <w:left w:type="dxa" w:w="100"/>
              <w:bottom w:type="dxa" w:w="70"/>
              <w:right w:type="dxa" w:w="100"/>
            </w:tcMar>
          </w:tcPr>
          <w:p>
            <w:pPr>
              <w:keepNext/>
              <w:spacing w:after="0" w:before="0"/>
            </w:pPr>
            <w:hyperlink w:history="1" w:anchor="E_D20">
              <w:r>
                <w:rPr>
                  <w:color w:val="0563C1"/>
                  <w:sz w:val="20"/>
                  <w:szCs w:val="20"/>
                  <w:u w:val="single"/>
                </w:rPr>
                <w:t xml:space="preserve">D20</w:t>
              </w:r>
            </w:hyperlink>
            <w:r>
              <w:rPr>
                <w:sz w:val="20"/>
                <w:szCs w:val="20"/>
              </w:rPr>
              <w:t xml:space="preserve"> y </w:t>
            </w:r>
            <w:hyperlink w:history="1" w:anchor="E_D26">
              <w:r>
                <w:rPr>
                  <w:color w:val="0563C1"/>
                  <w:sz w:val="20"/>
                  <w:szCs w:val="20"/>
                  <w:u w:val="single"/>
                </w:rPr>
                <w:t xml:space="preserve">D26</w:t>
              </w:r>
            </w:hyperlink>
            <w:r>
              <w:rPr>
                <w:sz w:val="20"/>
                <w:szCs w:val="20"/>
              </w:rPr>
              <w:t xml:space="preserve">. </w:t>
            </w:r>
            <w:r>
              <w:rPr>
                <w:b/>
                <w:bCs/>
                <w:sz w:val="20"/>
                <w:szCs w:val="20"/>
              </w:rPr>
              <w:t xml:space="preserve">Responde a:</w:t>
            </w:r>
            <w:r>
              <w:rPr>
                <w:sz w:val="20"/>
                <w:szCs w:val="20"/>
              </w:rPr>
              <w:t xml:space="preserve"> </w:t>
            </w:r>
            <w:hyperlink w:history="1" w:anchor="E_H18">
              <w:r>
                <w:rPr>
                  <w:color w:val="0563C1"/>
                  <w:sz w:val="20"/>
                  <w:szCs w:val="20"/>
                  <w:u w:val="single"/>
                </w:rPr>
                <w:t xml:space="preserve">H18</w:t>
              </w:r>
            </w:hyperlink>
            <w:r>
              <w:rPr>
                <w:sz w:val="20"/>
                <w:szCs w:val="20"/>
              </w:rPr>
              <w:t xml:space="preserve">.</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Evidencia</w:t>
            </w:r>
          </w:p>
        </w:tc>
        <w:tc>
          <w:tcPr>
            <w:tcW w:type="dxa" w:w="7226"/>
            <w:tcMar>
              <w:top w:type="dxa" w:w="70"/>
              <w:left w:type="dxa" w:w="100"/>
              <w:bottom w:type="dxa" w:w="70"/>
              <w:right w:type="dxa" w:w="100"/>
            </w:tcMar>
          </w:tcPr>
          <w:p>
            <w:pPr>
              <w:keepNext/>
              <w:spacing w:after="0" w:before="0"/>
            </w:pPr>
            <w:r>
              <w:rPr>
                <w:rFonts w:ascii="Consolas" w:cs="Consolas" w:eastAsia="Consolas" w:hAnsi="Consolas"/>
                <w:sz w:val="18"/>
                <w:szCs w:val="18"/>
                <w:shd w:fill="F2F2F2" w:color="auto" w:val="clear"/>
              </w:rPr>
              <w:t xml:space="preserve">2.2_depuracion_etiquetado/reportes/09_etiquetado.md</w:t>
            </w:r>
            <w:r>
              <w:rPr>
                <w:sz w:val="20"/>
                <w:szCs w:val="20"/>
              </w:rPr>
              <w:t xml:space="preserve">, sección 4; </w:t>
            </w:r>
            <w:r>
              <w:rPr>
                <w:rFonts w:ascii="Consolas" w:cs="Consolas" w:eastAsia="Consolas" w:hAnsi="Consolas"/>
                <w:sz w:val="18"/>
                <w:szCs w:val="18"/>
                <w:shd w:fill="F2F2F2" w:color="auto" w:val="clear"/>
              </w:rPr>
              <w:t xml:space="preserve">2.2_depuracion_etiquetado/reportes/11_sensibilidad.md</w:t>
            </w:r>
            <w:r>
              <w:rPr>
                <w:sz w:val="20"/>
                <w:szCs w:val="20"/>
              </w:rPr>
              <w:t xml:space="preserve">, sección 4.</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Estado</w:t>
            </w:r>
          </w:p>
        </w:tc>
        <w:tc>
          <w:tcPr>
            <w:tcW w:type="dxa" w:w="7226"/>
            <w:tcMar>
              <w:top w:type="dxa" w:w="70"/>
              <w:left w:type="dxa" w:w="100"/>
              <w:bottom w:type="dxa" w:w="70"/>
              <w:right w:type="dxa" w:w="100"/>
            </w:tcMar>
          </w:tcPr>
          <w:p>
            <w:pPr>
              <w:keepNext w:val="false"/>
              <w:spacing w:after="0" w:before="0"/>
            </w:pPr>
            <w:r>
              <w:rPr>
                <w:sz w:val="20"/>
                <w:szCs w:val="20"/>
              </w:rPr>
              <w:t xml:space="preserve">Adoptada, por recomendación del profesor guía.</w:t>
            </w:r>
          </w:p>
        </w:tc>
      </w:tr>
    </w:tbl>
    <w:p>
      <w:pPr>
        <w:pStyle w:val="Heading2"/>
      </w:pPr>
      <w:bookmarkStart w:name="E_H21" w:id="21"/>
      <w:r>
        <w:rPr>
          <w:color w:val="2E75B6"/>
        </w:rPr>
        <w:t xml:space="preserve">H21</w:t>
      </w:r>
      <w:bookmarkEnd w:id="21"/>
      <w:r>
        <w:t xml:space="preserve"> · Identidad ambigua: qué cambia dentro de un identificador</w:t>
      </w:r>
    </w:p>
    <w:p>
      <w:pPr>
        <w:keepNext/>
        <w:spacing w:after="100"/>
      </w:pPr>
      <w:r>
        <w:rPr>
          <w:b/>
          <w:bCs/>
          <w:color w:val="2E75B6"/>
          <w:sz w:val="18"/>
          <w:szCs w:val="18"/>
        </w:rPr>
        <w:t xml:space="preserve">Hallazgo</w:t>
      </w:r>
      <w:r>
        <w:rPr>
          <w:color w:val="808080"/>
          <w:sz w:val="18"/>
          <w:szCs w:val="18"/>
        </w:rPr>
        <w:t xml:space="preserve">  ·  8 de octubre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2.2</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Hallazgo</w:t>
            </w:r>
          </w:p>
        </w:tc>
        <w:tc>
          <w:tcPr>
            <w:tcW w:type="dxa" w:w="7226"/>
            <w:tcMar>
              <w:top w:type="dxa" w:w="70"/>
              <w:left w:type="dxa" w:w="100"/>
              <w:bottom w:type="dxa" w:w="70"/>
              <w:right w:type="dxa" w:w="100"/>
            </w:tcMar>
          </w:tcPr>
          <w:p>
            <w:pPr>
              <w:keepNext/>
              <w:spacing w:after="80" w:before="0"/>
            </w:pPr>
            <w:r>
              <w:rPr>
                <w:sz w:val="20"/>
                <w:szCs w:val="20"/>
              </w:rPr>
              <w:t xml:space="preserve">30.616 identificadores (0,76 %) aparecen con más de un sexo o con más de una fecha de nacimiento, sin contar los datos faltantes. Reúnen 96.824 egresos y 63.278 casos de estudio (1,51 %).</w:t>
            </w:r>
          </w:p>
          <w:tbl>
            <w:tblPr>
              <w:tblW w:type="dxa" w:w="7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601"/>
              <w:gridCol w:w="1709"/>
              <w:gridCol w:w="1818"/>
              <w:gridCol w:w="948"/>
              <w:gridCol w:w="950"/>
            </w:tblGrid>
            <w:tr>
              <w:trPr>
                <w:cantSplit/>
                <w:tblHeader/>
              </w:trPr>
              <w:tc>
                <w:tcPr>
                  <w:tcW w:type="dxa" w:w="1601"/>
                  <w:shd w:fill="D9E2F3" w:color="auto" w:val="clear"/>
                  <w:tcMar>
                    <w:top w:type="dxa" w:w="70"/>
                    <w:left w:type="dxa" w:w="100"/>
                    <w:bottom w:type="dxa" w:w="70"/>
                    <w:right w:type="dxa" w:w="100"/>
                  </w:tcMar>
                  <w:vAlign w:val="center"/>
                </w:tcPr>
                <w:p>
                  <w:pPr>
                    <w:spacing w:after="0"/>
                  </w:pPr>
                  <w:r>
                    <w:rPr>
                      <w:b/>
                      <w:bCs/>
                      <w:sz w:val="18"/>
                      <w:szCs w:val="18"/>
                    </w:rPr>
                    <w:t xml:space="preserve">Qué cambia dentro del identificador</w:t>
                  </w:r>
                </w:p>
              </w:tc>
              <w:tc>
                <w:tcPr>
                  <w:tcW w:type="dxa" w:w="1709"/>
                  <w:shd w:fill="D9E2F3" w:color="auto" w:val="clear"/>
                  <w:tcMar>
                    <w:top w:type="dxa" w:w="70"/>
                    <w:left w:type="dxa" w:w="100"/>
                    <w:bottom w:type="dxa" w:w="70"/>
                    <w:right w:type="dxa" w:w="100"/>
                  </w:tcMar>
                  <w:vAlign w:val="center"/>
                </w:tcPr>
                <w:p>
                  <w:pPr>
                    <w:spacing w:after="0"/>
                  </w:pPr>
                  <w:r>
                    <w:rPr>
                      <w:b/>
                      <w:bCs/>
                      <w:sz w:val="18"/>
                      <w:szCs w:val="18"/>
                    </w:rPr>
                    <w:t xml:space="preserve">Resultado de la regla </w:t>
                  </w:r>
                  <w:hyperlink w:history="1" w:anchor="E_D18">
                    <w:r>
                      <w:rPr>
                        <w:b/>
                        <w:bCs/>
                        <w:color w:val="0563C1"/>
                        <w:sz w:val="18"/>
                        <w:szCs w:val="18"/>
                        <w:u w:val="single"/>
                      </w:rPr>
                      <w:t xml:space="preserve">D18</w:t>
                    </w:r>
                  </w:hyperlink>
                </w:p>
              </w:tc>
              <w:tc>
                <w:tcPr>
                  <w:tcW w:type="dxa" w:w="1818"/>
                  <w:shd w:fill="D9E2F3" w:color="auto" w:val="clear"/>
                  <w:tcMar>
                    <w:top w:type="dxa" w:w="70"/>
                    <w:left w:type="dxa" w:w="100"/>
                    <w:bottom w:type="dxa" w:w="70"/>
                    <w:right w:type="dxa" w:w="100"/>
                  </w:tcMar>
                  <w:vAlign w:val="center"/>
                </w:tcPr>
                <w:p>
                  <w:pPr>
                    <w:spacing w:after="0"/>
                  </w:pPr>
                  <w:r>
                    <w:rPr>
                      <w:b/>
                      <w:bCs/>
                      <w:sz w:val="18"/>
                      <w:szCs w:val="18"/>
                    </w:rPr>
                    <w:t xml:space="preserve">Identificadores</w:t>
                  </w:r>
                </w:p>
              </w:tc>
              <w:tc>
                <w:tcPr>
                  <w:tcW w:type="dxa" w:w="948"/>
                  <w:shd w:fill="D9E2F3" w:color="auto" w:val="clear"/>
                  <w:tcMar>
                    <w:top w:type="dxa" w:w="70"/>
                    <w:left w:type="dxa" w:w="100"/>
                    <w:bottom w:type="dxa" w:w="70"/>
                    <w:right w:type="dxa" w:w="100"/>
                  </w:tcMar>
                  <w:vAlign w:val="center"/>
                </w:tcPr>
                <w:p>
                  <w:pPr>
                    <w:spacing w:after="0"/>
                  </w:pPr>
                  <w:r>
                    <w:rPr>
                      <w:b/>
                      <w:bCs/>
                      <w:sz w:val="18"/>
                      <w:szCs w:val="18"/>
                    </w:rPr>
                    <w:t xml:space="preserve">Egresos</w:t>
                  </w:r>
                </w:p>
              </w:tc>
              <w:tc>
                <w:tcPr>
                  <w:tcW w:type="dxa" w:w="950"/>
                  <w:shd w:fill="D9E2F3" w:color="auto" w:val="clear"/>
                  <w:tcMar>
                    <w:top w:type="dxa" w:w="70"/>
                    <w:left w:type="dxa" w:w="100"/>
                    <w:bottom w:type="dxa" w:w="70"/>
                    <w:right w:type="dxa" w:w="100"/>
                  </w:tcMar>
                  <w:vAlign w:val="center"/>
                </w:tcPr>
                <w:p>
                  <w:pPr>
                    <w:spacing w:after="0"/>
                  </w:pPr>
                  <w:r>
                    <w:rPr>
                      <w:b/>
                      <w:bCs/>
                      <w:sz w:val="18"/>
                      <w:szCs w:val="18"/>
                    </w:rPr>
                    <w:t xml:space="preserve">Casos de estudio</w:t>
                  </w:r>
                </w:p>
              </w:tc>
            </w:tr>
            <w:tr>
              <w:trPr>
                <w:cantSplit/>
                <w:tblHeader w:val="off"/>
              </w:trPr>
              <w:tc>
                <w:tcPr>
                  <w:tcW w:type="dxa" w:w="1601"/>
                  <w:tcMar>
                    <w:top w:type="dxa" w:w="70"/>
                    <w:left w:type="dxa" w:w="100"/>
                    <w:bottom w:type="dxa" w:w="70"/>
                    <w:right w:type="dxa" w:w="100"/>
                  </w:tcMar>
                  <w:vAlign w:val="center"/>
                </w:tcPr>
                <w:p>
                  <w:pPr>
                    <w:spacing w:after="0"/>
                  </w:pPr>
                  <w:r>
                    <w:rPr>
                      <w:sz w:val="18"/>
                      <w:szCs w:val="18"/>
                    </w:rPr>
                    <w:t xml:space="preserve">Solo el sexo</w:t>
                  </w:r>
                </w:p>
              </w:tc>
              <w:tc>
                <w:tcPr>
                  <w:tcW w:type="dxa" w:w="1709"/>
                  <w:tcMar>
                    <w:top w:type="dxa" w:w="70"/>
                    <w:left w:type="dxa" w:w="100"/>
                    <w:bottom w:type="dxa" w:w="70"/>
                    <w:right w:type="dxa" w:w="100"/>
                  </w:tcMar>
                  <w:vAlign w:val="center"/>
                </w:tcPr>
                <w:p>
                  <w:pPr>
                    <w:spacing w:after="0"/>
                  </w:pPr>
                  <w:r>
                    <w:rPr>
                      <w:sz w:val="18"/>
                      <w:szCs w:val="18"/>
                    </w:rPr>
                    <w:t xml:space="preserve">Una persona</w:t>
                  </w:r>
                </w:p>
              </w:tc>
              <w:tc>
                <w:tcPr>
                  <w:tcW w:type="dxa" w:w="1818"/>
                  <w:tcMar>
                    <w:top w:type="dxa" w:w="70"/>
                    <w:left w:type="dxa" w:w="100"/>
                    <w:bottom w:type="dxa" w:w="70"/>
                    <w:right w:type="dxa" w:w="100"/>
                  </w:tcMar>
                  <w:vAlign w:val="center"/>
                </w:tcPr>
                <w:p>
                  <w:pPr>
                    <w:spacing w:after="0"/>
                  </w:pPr>
                  <w:r>
                    <w:rPr>
                      <w:sz w:val="18"/>
                      <w:szCs w:val="18"/>
                    </w:rPr>
                    <w:t xml:space="preserve">6.846</w:t>
                  </w:r>
                </w:p>
              </w:tc>
              <w:tc>
                <w:tcPr>
                  <w:tcW w:type="dxa" w:w="948"/>
                  <w:tcMar>
                    <w:top w:type="dxa" w:w="70"/>
                    <w:left w:type="dxa" w:w="100"/>
                    <w:bottom w:type="dxa" w:w="70"/>
                    <w:right w:type="dxa" w:w="100"/>
                  </w:tcMar>
                  <w:vAlign w:val="center"/>
                </w:tcPr>
                <w:p>
                  <w:pPr>
                    <w:spacing w:after="0"/>
                  </w:pPr>
                  <w:r>
                    <w:rPr>
                      <w:sz w:val="18"/>
                      <w:szCs w:val="18"/>
                    </w:rPr>
                    <w:t xml:space="preserve">22.760</w:t>
                  </w:r>
                </w:p>
              </w:tc>
              <w:tc>
                <w:tcPr>
                  <w:tcW w:type="dxa" w:w="950"/>
                  <w:tcMar>
                    <w:top w:type="dxa" w:w="70"/>
                    <w:left w:type="dxa" w:w="100"/>
                    <w:bottom w:type="dxa" w:w="70"/>
                    <w:right w:type="dxa" w:w="100"/>
                  </w:tcMar>
                  <w:vAlign w:val="center"/>
                </w:tcPr>
                <w:p>
                  <w:pPr>
                    <w:spacing w:after="0"/>
                  </w:pPr>
                  <w:r>
                    <w:rPr>
                      <w:sz w:val="18"/>
                      <w:szCs w:val="18"/>
                    </w:rPr>
                    <w:t xml:space="preserve">14.674</w:t>
                  </w:r>
                </w:p>
              </w:tc>
            </w:tr>
            <w:tr>
              <w:trPr>
                <w:cantSplit/>
                <w:tblHeader w:val="off"/>
              </w:trPr>
              <w:tc>
                <w:tcPr>
                  <w:tcW w:type="dxa" w:w="1601"/>
                  <w:tcMar>
                    <w:top w:type="dxa" w:w="70"/>
                    <w:left w:type="dxa" w:w="100"/>
                    <w:bottom w:type="dxa" w:w="70"/>
                    <w:right w:type="dxa" w:w="100"/>
                  </w:tcMar>
                  <w:vAlign w:val="center"/>
                </w:tcPr>
                <w:p>
                  <w:pPr>
                    <w:spacing w:after="0"/>
                  </w:pPr>
                  <w:r>
                    <w:rPr>
                      <w:sz w:val="18"/>
                      <w:szCs w:val="18"/>
                    </w:rPr>
                    <w:t xml:space="preserve">Solo la fecha de nacimiento</w:t>
                  </w:r>
                </w:p>
              </w:tc>
              <w:tc>
                <w:tcPr>
                  <w:tcW w:type="dxa" w:w="1709"/>
                  <w:tcMar>
                    <w:top w:type="dxa" w:w="70"/>
                    <w:left w:type="dxa" w:w="100"/>
                    <w:bottom w:type="dxa" w:w="70"/>
                    <w:right w:type="dxa" w:w="100"/>
                  </w:tcMar>
                  <w:vAlign w:val="center"/>
                </w:tcPr>
                <w:p>
                  <w:pPr>
                    <w:spacing w:after="0"/>
                  </w:pPr>
                  <w:r>
                    <w:rPr>
                      <w:sz w:val="18"/>
                      <w:szCs w:val="18"/>
                    </w:rPr>
                    <w:t xml:space="preserve">Una persona</w:t>
                  </w:r>
                </w:p>
              </w:tc>
              <w:tc>
                <w:tcPr>
                  <w:tcW w:type="dxa" w:w="1818"/>
                  <w:tcMar>
                    <w:top w:type="dxa" w:w="70"/>
                    <w:left w:type="dxa" w:w="100"/>
                    <w:bottom w:type="dxa" w:w="70"/>
                    <w:right w:type="dxa" w:w="100"/>
                  </w:tcMar>
                  <w:vAlign w:val="center"/>
                </w:tcPr>
                <w:p>
                  <w:pPr>
                    <w:spacing w:after="0"/>
                  </w:pPr>
                  <w:r>
                    <w:rPr>
                      <w:sz w:val="18"/>
                      <w:szCs w:val="18"/>
                    </w:rPr>
                    <w:t xml:space="preserve">19.454</w:t>
                  </w:r>
                </w:p>
              </w:tc>
              <w:tc>
                <w:tcPr>
                  <w:tcW w:type="dxa" w:w="948"/>
                  <w:tcMar>
                    <w:top w:type="dxa" w:w="70"/>
                    <w:left w:type="dxa" w:w="100"/>
                    <w:bottom w:type="dxa" w:w="70"/>
                    <w:right w:type="dxa" w:w="100"/>
                  </w:tcMar>
                  <w:vAlign w:val="center"/>
                </w:tcPr>
                <w:p>
                  <w:pPr>
                    <w:spacing w:after="0"/>
                  </w:pPr>
                  <w:r>
                    <w:rPr>
                      <w:sz w:val="18"/>
                      <w:szCs w:val="18"/>
                    </w:rPr>
                    <w:t xml:space="preserve">59.134</w:t>
                  </w:r>
                </w:p>
              </w:tc>
              <w:tc>
                <w:tcPr>
                  <w:tcW w:type="dxa" w:w="950"/>
                  <w:tcMar>
                    <w:top w:type="dxa" w:w="70"/>
                    <w:left w:type="dxa" w:w="100"/>
                    <w:bottom w:type="dxa" w:w="70"/>
                    <w:right w:type="dxa" w:w="100"/>
                  </w:tcMar>
                  <w:vAlign w:val="center"/>
                </w:tcPr>
                <w:p>
                  <w:pPr>
                    <w:spacing w:after="0"/>
                  </w:pPr>
                  <w:r>
                    <w:rPr>
                      <w:sz w:val="18"/>
                      <w:szCs w:val="18"/>
                    </w:rPr>
                    <w:t xml:space="preserve">39.318</w:t>
                  </w:r>
                </w:p>
              </w:tc>
            </w:tr>
            <w:tr>
              <w:trPr>
                <w:cantSplit/>
                <w:tblHeader w:val="off"/>
              </w:trPr>
              <w:tc>
                <w:tcPr>
                  <w:tcW w:type="dxa" w:w="1601"/>
                  <w:tcMar>
                    <w:top w:type="dxa" w:w="70"/>
                    <w:left w:type="dxa" w:w="100"/>
                    <w:bottom w:type="dxa" w:w="70"/>
                    <w:right w:type="dxa" w:w="100"/>
                  </w:tcMar>
                  <w:vAlign w:val="center"/>
                </w:tcPr>
                <w:p>
                  <w:pPr>
                    <w:spacing w:after="0"/>
                  </w:pPr>
                  <w:r>
                    <w:rPr>
                      <w:sz w:val="18"/>
                      <w:szCs w:val="18"/>
                    </w:rPr>
                    <w:t xml:space="preserve">Solo la fecha de nacimiento</w:t>
                  </w:r>
                </w:p>
              </w:tc>
              <w:tc>
                <w:tcPr>
                  <w:tcW w:type="dxa" w:w="1709"/>
                  <w:tcMar>
                    <w:top w:type="dxa" w:w="70"/>
                    <w:left w:type="dxa" w:w="100"/>
                    <w:bottom w:type="dxa" w:w="70"/>
                    <w:right w:type="dxa" w:w="100"/>
                  </w:tcMar>
                  <w:vAlign w:val="center"/>
                </w:tcPr>
                <w:p>
                  <w:pPr>
                    <w:spacing w:after="0"/>
                  </w:pPr>
                  <w:r>
                    <w:rPr>
                      <w:sz w:val="18"/>
                      <w:szCs w:val="18"/>
                    </w:rPr>
                    <w:t xml:space="preserve">Varias personas</w:t>
                  </w:r>
                </w:p>
              </w:tc>
              <w:tc>
                <w:tcPr>
                  <w:tcW w:type="dxa" w:w="1818"/>
                  <w:tcMar>
                    <w:top w:type="dxa" w:w="70"/>
                    <w:left w:type="dxa" w:w="100"/>
                    <w:bottom w:type="dxa" w:w="70"/>
                    <w:right w:type="dxa" w:w="100"/>
                  </w:tcMar>
                  <w:vAlign w:val="center"/>
                </w:tcPr>
                <w:p>
                  <w:pPr>
                    <w:spacing w:after="0"/>
                  </w:pPr>
                  <w:r>
                    <w:rPr>
                      <w:sz w:val="18"/>
                      <w:szCs w:val="18"/>
                    </w:rPr>
                    <w:t xml:space="preserve">2.800</w:t>
                  </w:r>
                </w:p>
              </w:tc>
              <w:tc>
                <w:tcPr>
                  <w:tcW w:type="dxa" w:w="948"/>
                  <w:tcMar>
                    <w:top w:type="dxa" w:w="70"/>
                    <w:left w:type="dxa" w:w="100"/>
                    <w:bottom w:type="dxa" w:w="70"/>
                    <w:right w:type="dxa" w:w="100"/>
                  </w:tcMar>
                  <w:vAlign w:val="center"/>
                </w:tcPr>
                <w:p>
                  <w:pPr>
                    <w:spacing w:after="0"/>
                  </w:pPr>
                  <w:r>
                    <w:rPr>
                      <w:sz w:val="18"/>
                      <w:szCs w:val="18"/>
                    </w:rPr>
                    <w:t xml:space="preserve">8.135</w:t>
                  </w:r>
                </w:p>
              </w:tc>
              <w:tc>
                <w:tcPr>
                  <w:tcW w:type="dxa" w:w="950"/>
                  <w:tcMar>
                    <w:top w:type="dxa" w:w="70"/>
                    <w:left w:type="dxa" w:w="100"/>
                    <w:bottom w:type="dxa" w:w="70"/>
                    <w:right w:type="dxa" w:w="100"/>
                  </w:tcMar>
                  <w:vAlign w:val="center"/>
                </w:tcPr>
                <w:p>
                  <w:pPr>
                    <w:spacing w:after="0"/>
                  </w:pPr>
                  <w:r>
                    <w:rPr>
                      <w:sz w:val="18"/>
                      <w:szCs w:val="18"/>
                    </w:rPr>
                    <w:t xml:space="preserve">5.918</w:t>
                  </w:r>
                </w:p>
              </w:tc>
            </w:tr>
            <w:tr>
              <w:trPr>
                <w:cantSplit/>
                <w:tblHeader w:val="off"/>
              </w:trPr>
              <w:tc>
                <w:tcPr>
                  <w:tcW w:type="dxa" w:w="1601"/>
                  <w:tcMar>
                    <w:top w:type="dxa" w:w="70"/>
                    <w:left w:type="dxa" w:w="100"/>
                    <w:bottom w:type="dxa" w:w="70"/>
                    <w:right w:type="dxa" w:w="100"/>
                  </w:tcMar>
                  <w:vAlign w:val="center"/>
                </w:tcPr>
                <w:p>
                  <w:pPr>
                    <w:spacing w:after="0"/>
                  </w:pPr>
                  <w:r>
                    <w:rPr>
                      <w:sz w:val="18"/>
                      <w:szCs w:val="18"/>
                    </w:rPr>
                    <w:t xml:space="preserve">El sexo y la fecha de nacimiento</w:t>
                  </w:r>
                </w:p>
              </w:tc>
              <w:tc>
                <w:tcPr>
                  <w:tcW w:type="dxa" w:w="1709"/>
                  <w:tcMar>
                    <w:top w:type="dxa" w:w="70"/>
                    <w:left w:type="dxa" w:w="100"/>
                    <w:bottom w:type="dxa" w:w="70"/>
                    <w:right w:type="dxa" w:w="100"/>
                  </w:tcMar>
                  <w:vAlign w:val="center"/>
                </w:tcPr>
                <w:p>
                  <w:pPr>
                    <w:spacing w:after="0"/>
                  </w:pPr>
                  <w:r>
                    <w:rPr>
                      <w:sz w:val="18"/>
                      <w:szCs w:val="18"/>
                    </w:rPr>
                    <w:t xml:space="preserve">Una persona</w:t>
                  </w:r>
                </w:p>
              </w:tc>
              <w:tc>
                <w:tcPr>
                  <w:tcW w:type="dxa" w:w="1818"/>
                  <w:tcMar>
                    <w:top w:type="dxa" w:w="70"/>
                    <w:left w:type="dxa" w:w="100"/>
                    <w:bottom w:type="dxa" w:w="70"/>
                    <w:right w:type="dxa" w:w="100"/>
                  </w:tcMar>
                  <w:vAlign w:val="center"/>
                </w:tcPr>
                <w:p>
                  <w:pPr>
                    <w:spacing w:after="0"/>
                  </w:pPr>
                  <w:r>
                    <w:rPr>
                      <w:sz w:val="18"/>
                      <w:szCs w:val="18"/>
                    </w:rPr>
                    <w:t xml:space="preserve">389</w:t>
                  </w:r>
                </w:p>
              </w:tc>
              <w:tc>
                <w:tcPr>
                  <w:tcW w:type="dxa" w:w="948"/>
                  <w:tcMar>
                    <w:top w:type="dxa" w:w="70"/>
                    <w:left w:type="dxa" w:w="100"/>
                    <w:bottom w:type="dxa" w:w="70"/>
                    <w:right w:type="dxa" w:w="100"/>
                  </w:tcMar>
                  <w:vAlign w:val="center"/>
                </w:tcPr>
                <w:p>
                  <w:pPr>
                    <w:spacing w:after="0"/>
                  </w:pPr>
                  <w:r>
                    <w:rPr>
                      <w:sz w:val="18"/>
                      <w:szCs w:val="18"/>
                    </w:rPr>
                    <w:t xml:space="preserve">1.333</w:t>
                  </w:r>
                </w:p>
              </w:tc>
              <w:tc>
                <w:tcPr>
                  <w:tcW w:type="dxa" w:w="950"/>
                  <w:tcMar>
                    <w:top w:type="dxa" w:w="70"/>
                    <w:left w:type="dxa" w:w="100"/>
                    <w:bottom w:type="dxa" w:w="70"/>
                    <w:right w:type="dxa" w:w="100"/>
                  </w:tcMar>
                  <w:vAlign w:val="center"/>
                </w:tcPr>
                <w:p>
                  <w:pPr>
                    <w:spacing w:after="0"/>
                  </w:pPr>
                  <w:r>
                    <w:rPr>
                      <w:sz w:val="18"/>
                      <w:szCs w:val="18"/>
                    </w:rPr>
                    <w:t xml:space="preserve">856</w:t>
                  </w:r>
                </w:p>
              </w:tc>
            </w:tr>
            <w:tr>
              <w:trPr>
                <w:cantSplit/>
                <w:tblHeader w:val="off"/>
              </w:trPr>
              <w:tc>
                <w:tcPr>
                  <w:tcW w:type="dxa" w:w="1601"/>
                  <w:tcMar>
                    <w:top w:type="dxa" w:w="70"/>
                    <w:left w:type="dxa" w:w="100"/>
                    <w:bottom w:type="dxa" w:w="70"/>
                    <w:right w:type="dxa" w:w="100"/>
                  </w:tcMar>
                  <w:vAlign w:val="center"/>
                </w:tcPr>
                <w:p>
                  <w:pPr>
                    <w:spacing w:after="0"/>
                  </w:pPr>
                  <w:r>
                    <w:rPr>
                      <w:sz w:val="18"/>
                      <w:szCs w:val="18"/>
                    </w:rPr>
                    <w:t xml:space="preserve">El sexo y la fecha de nacimiento</w:t>
                  </w:r>
                </w:p>
              </w:tc>
              <w:tc>
                <w:tcPr>
                  <w:tcW w:type="dxa" w:w="1709"/>
                  <w:tcMar>
                    <w:top w:type="dxa" w:w="70"/>
                    <w:left w:type="dxa" w:w="100"/>
                    <w:bottom w:type="dxa" w:w="70"/>
                    <w:right w:type="dxa" w:w="100"/>
                  </w:tcMar>
                  <w:vAlign w:val="center"/>
                </w:tcPr>
                <w:p>
                  <w:pPr>
                    <w:spacing w:after="0"/>
                  </w:pPr>
                  <w:r>
                    <w:rPr>
                      <w:sz w:val="18"/>
                      <w:szCs w:val="18"/>
                    </w:rPr>
                    <w:t xml:space="preserve">Varias personas</w:t>
                  </w:r>
                </w:p>
              </w:tc>
              <w:tc>
                <w:tcPr>
                  <w:tcW w:type="dxa" w:w="1818"/>
                  <w:tcMar>
                    <w:top w:type="dxa" w:w="70"/>
                    <w:left w:type="dxa" w:w="100"/>
                    <w:bottom w:type="dxa" w:w="70"/>
                    <w:right w:type="dxa" w:w="100"/>
                  </w:tcMar>
                  <w:vAlign w:val="center"/>
                </w:tcPr>
                <w:p>
                  <w:pPr>
                    <w:spacing w:after="0"/>
                  </w:pPr>
                  <w:r>
                    <w:rPr>
                      <w:sz w:val="18"/>
                      <w:szCs w:val="18"/>
                    </w:rPr>
                    <w:t xml:space="preserve">1.115</w:t>
                  </w:r>
                </w:p>
              </w:tc>
              <w:tc>
                <w:tcPr>
                  <w:tcW w:type="dxa" w:w="948"/>
                  <w:tcMar>
                    <w:top w:type="dxa" w:w="70"/>
                    <w:left w:type="dxa" w:w="100"/>
                    <w:bottom w:type="dxa" w:w="70"/>
                    <w:right w:type="dxa" w:w="100"/>
                  </w:tcMar>
                  <w:vAlign w:val="center"/>
                </w:tcPr>
                <w:p>
                  <w:pPr>
                    <w:spacing w:after="0"/>
                  </w:pPr>
                  <w:r>
                    <w:rPr>
                      <w:sz w:val="18"/>
                      <w:szCs w:val="18"/>
                    </w:rPr>
                    <w:t xml:space="preserve">2.981</w:t>
                  </w:r>
                </w:p>
              </w:tc>
              <w:tc>
                <w:tcPr>
                  <w:tcW w:type="dxa" w:w="950"/>
                  <w:tcMar>
                    <w:top w:type="dxa" w:w="70"/>
                    <w:left w:type="dxa" w:w="100"/>
                    <w:bottom w:type="dxa" w:w="70"/>
                    <w:right w:type="dxa" w:w="100"/>
                  </w:tcMar>
                  <w:vAlign w:val="center"/>
                </w:tcPr>
                <w:p>
                  <w:pPr>
                    <w:spacing w:after="0"/>
                  </w:pPr>
                  <w:r>
                    <w:rPr>
                      <w:sz w:val="18"/>
                      <w:szCs w:val="18"/>
                    </w:rPr>
                    <w:t xml:space="preserve">2.512</w:t>
                  </w:r>
                </w:p>
              </w:tc>
            </w:tr>
            <w:tr>
              <w:trPr>
                <w:cantSplit/>
                <w:tblHeader w:val="off"/>
              </w:trPr>
              <w:tc>
                <w:tcPr>
                  <w:tcW w:type="dxa" w:w="1601"/>
                  <w:tcMar>
                    <w:top w:type="dxa" w:w="70"/>
                    <w:left w:type="dxa" w:w="100"/>
                    <w:bottom w:type="dxa" w:w="70"/>
                    <w:right w:type="dxa" w:w="100"/>
                  </w:tcMar>
                  <w:vAlign w:val="center"/>
                </w:tcPr>
                <w:p>
                  <w:pPr>
                    <w:spacing w:after="0"/>
                  </w:pPr>
                  <w:r>
                    <w:rPr>
                      <w:sz w:val="18"/>
                      <w:szCs w:val="18"/>
                    </w:rPr>
                    <w:t xml:space="preserve">El sexo y la fecha de nacimiento</w:t>
                  </w:r>
                </w:p>
              </w:tc>
              <w:tc>
                <w:tcPr>
                  <w:tcW w:type="dxa" w:w="1709"/>
                  <w:tcMar>
                    <w:top w:type="dxa" w:w="70"/>
                    <w:left w:type="dxa" w:w="100"/>
                    <w:bottom w:type="dxa" w:w="70"/>
                    <w:right w:type="dxa" w:w="100"/>
                  </w:tcMar>
                  <w:vAlign w:val="center"/>
                </w:tcPr>
                <w:p>
                  <w:pPr>
                    <w:spacing w:after="0"/>
                  </w:pPr>
                  <w:r>
                    <w:rPr>
                      <w:sz w:val="18"/>
                      <w:szCs w:val="18"/>
                    </w:rPr>
                    <w:t xml:space="preserve">Sin persona (identificador genérico)</w:t>
                  </w:r>
                </w:p>
              </w:tc>
              <w:tc>
                <w:tcPr>
                  <w:tcW w:type="dxa" w:w="1818"/>
                  <w:tcMar>
                    <w:top w:type="dxa" w:w="70"/>
                    <w:left w:type="dxa" w:w="100"/>
                    <w:bottom w:type="dxa" w:w="70"/>
                    <w:right w:type="dxa" w:w="100"/>
                  </w:tcMar>
                  <w:vAlign w:val="center"/>
                </w:tcPr>
                <w:p>
                  <w:pPr>
                    <w:spacing w:after="0"/>
                  </w:pPr>
                  <w:r>
                    <w:rPr>
                      <w:sz w:val="18"/>
                      <w:szCs w:val="18"/>
                    </w:rPr>
                    <w:t xml:space="preserve">12</w:t>
                  </w:r>
                </w:p>
              </w:tc>
              <w:tc>
                <w:tcPr>
                  <w:tcW w:type="dxa" w:w="948"/>
                  <w:tcMar>
                    <w:top w:type="dxa" w:w="70"/>
                    <w:left w:type="dxa" w:w="100"/>
                    <w:bottom w:type="dxa" w:w="70"/>
                    <w:right w:type="dxa" w:w="100"/>
                  </w:tcMar>
                  <w:vAlign w:val="center"/>
                </w:tcPr>
                <w:p>
                  <w:pPr>
                    <w:spacing w:after="0"/>
                  </w:pPr>
                  <w:r>
                    <w:rPr>
                      <w:sz w:val="18"/>
                      <w:szCs w:val="18"/>
                    </w:rPr>
                    <w:t xml:space="preserve">2.481</w:t>
                  </w:r>
                </w:p>
              </w:tc>
              <w:tc>
                <w:tcPr>
                  <w:tcW w:type="dxa" w:w="950"/>
                  <w:tcMar>
                    <w:top w:type="dxa" w:w="70"/>
                    <w:left w:type="dxa" w:w="100"/>
                    <w:bottom w:type="dxa" w:w="70"/>
                    <w:right w:type="dxa" w:w="100"/>
                  </w:tcMar>
                  <w:vAlign w:val="center"/>
                </w:tcPr>
                <w:p>
                  <w:pPr>
                    <w:spacing w:after="0"/>
                  </w:pPr>
                  <w:r>
                    <w:rPr>
                      <w:sz w:val="18"/>
                      <w:szCs w:val="18"/>
                    </w:rPr>
                    <w:t xml:space="preserve">0</w:t>
                  </w:r>
                </w:p>
              </w:tc>
            </w:tr>
          </w:tbl>
          <w:p>
            <w:pPr>
              <w:spacing w:after="0"/>
            </w:pP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Cuántos cambian de persona</w:t>
            </w:r>
          </w:p>
        </w:tc>
        <w:tc>
          <w:tcPr>
            <w:tcW w:type="dxa" w:w="7226"/>
            <w:tcMar>
              <w:top w:type="dxa" w:w="70"/>
              <w:left w:type="dxa" w:w="100"/>
              <w:bottom w:type="dxa" w:w="70"/>
              <w:right w:type="dxa" w:w="100"/>
            </w:tcMar>
          </w:tcPr>
          <w:p>
            <w:pPr>
              <w:keepNext/>
              <w:spacing w:after="0" w:before="0"/>
            </w:pPr>
            <w:r>
              <w:rPr>
                <w:sz w:val="20"/>
                <w:szCs w:val="20"/>
              </w:rPr>
              <w:t xml:space="preserve">La regla separa en varias personas 3.915 identificadores (11.116 egresos y 8.430 casos de estudio); 4.964 de esos egresos (3.552 casos de estudio) quedan asignados a la segunda persona o a una posterior. En sentido contrario, 19.843 identificadores con más de una fecha de nacimiento se mantienen como una sola persona (60.467 egresos y 40.174 casos de estudio). Los más dudosos son los 389 identificadores con sexo y fecha de nacimiento distintos a la vez que quedan como una persona.</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Tasas</w:t>
            </w:r>
          </w:p>
        </w:tc>
        <w:tc>
          <w:tcPr>
            <w:tcW w:type="dxa" w:w="7226"/>
            <w:tcMar>
              <w:top w:type="dxa" w:w="70"/>
              <w:left w:type="dxa" w:w="100"/>
              <w:bottom w:type="dxa" w:w="70"/>
              <w:right w:type="dxa" w:w="100"/>
            </w:tcMar>
          </w:tcPr>
          <w:p>
            <w:pPr>
              <w:keepNext/>
              <w:spacing w:after="0" w:before="0"/>
            </w:pPr>
            <w:r>
              <w:rPr>
                <w:sz w:val="20"/>
                <w:szCs w:val="20"/>
              </w:rPr>
              <w:t xml:space="preserve">Los casos de estudio con identidad ambigua tienen cerca del doble de reingreso que el resto: 4,18 %, 2,17 %, 12,88 % y 6,61 %, frente a 2,03 %, 1,06 %, 5,79 % y 2,97 %. No prueba que haya reingresos falsos: un identificador con más egresos tiene más oportunidades de registrar un dato distinto, y también más reingresos.</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Precisa a</w:t>
            </w:r>
          </w:p>
        </w:tc>
        <w:tc>
          <w:tcPr>
            <w:tcW w:type="dxa" w:w="7226"/>
            <w:tcMar>
              <w:top w:type="dxa" w:w="70"/>
              <w:left w:type="dxa" w:w="100"/>
              <w:bottom w:type="dxa" w:w="70"/>
              <w:right w:type="dxa" w:w="100"/>
            </w:tcMar>
          </w:tcPr>
          <w:p>
            <w:pPr>
              <w:keepNext/>
              <w:spacing w:after="0" w:before="0"/>
            </w:pPr>
            <w:hyperlink w:history="1" w:anchor="E_H13">
              <w:r>
                <w:rPr>
                  <w:color w:val="0563C1"/>
                  <w:sz w:val="20"/>
                  <w:szCs w:val="20"/>
                  <w:u w:val="single"/>
                </w:rPr>
                <w:t xml:space="preserve">H13</w:t>
              </w:r>
            </w:hyperlink>
            <w:r>
              <w:rPr>
                <w:sz w:val="20"/>
                <w:szCs w:val="20"/>
              </w:rPr>
              <w:t xml:space="preserve">.</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Evidencia</w:t>
            </w:r>
          </w:p>
        </w:tc>
        <w:tc>
          <w:tcPr>
            <w:tcW w:type="dxa" w:w="7226"/>
            <w:tcMar>
              <w:top w:type="dxa" w:w="70"/>
              <w:left w:type="dxa" w:w="100"/>
              <w:bottom w:type="dxa" w:w="70"/>
              <w:right w:type="dxa" w:w="100"/>
            </w:tcMar>
          </w:tcPr>
          <w:p>
            <w:pPr>
              <w:keepNext w:val="false"/>
              <w:spacing w:after="0" w:before="0"/>
            </w:pPr>
            <w:r>
              <w:rPr>
                <w:rFonts w:ascii="Consolas" w:cs="Consolas" w:eastAsia="Consolas" w:hAnsi="Consolas"/>
                <w:sz w:val="18"/>
                <w:szCs w:val="18"/>
                <w:shd w:fill="F2F2F2" w:color="auto" w:val="clear"/>
              </w:rPr>
              <w:t xml:space="preserve">2.2_depuracion_etiquetado/reportes/08_depuracion.md</w:t>
            </w:r>
            <w:r>
              <w:rPr>
                <w:sz w:val="20"/>
                <w:szCs w:val="20"/>
              </w:rPr>
              <w:t xml:space="preserve">, sección 3; </w:t>
            </w:r>
            <w:r>
              <w:rPr>
                <w:rFonts w:ascii="Consolas" w:cs="Consolas" w:eastAsia="Consolas" w:hAnsi="Consolas"/>
                <w:sz w:val="18"/>
                <w:szCs w:val="18"/>
                <w:shd w:fill="F2F2F2" w:color="auto" w:val="clear"/>
              </w:rPr>
              <w:t xml:space="preserve">2.2_depuracion_etiquetado/reportes/11_sensibilidad.md</w:t>
            </w:r>
            <w:r>
              <w:rPr>
                <w:sz w:val="20"/>
                <w:szCs w:val="20"/>
              </w:rPr>
              <w:t xml:space="preserve">, sección 7.</w:t>
            </w:r>
          </w:p>
        </w:tc>
      </w:tr>
    </w:tbl>
    <w:p>
      <w:pPr>
        <w:pStyle w:val="Heading2"/>
      </w:pPr>
      <w:bookmarkStart w:name="E_D34" w:id="22"/>
      <w:r>
        <w:rPr>
          <w:color w:val="548235"/>
        </w:rPr>
        <w:t xml:space="preserve">D34</w:t>
      </w:r>
      <w:bookmarkEnd w:id="22"/>
      <w:r>
        <w:t xml:space="preserve"> · Se conserva una marca de identidad ambigua</w:t>
      </w:r>
    </w:p>
    <w:p>
      <w:pPr>
        <w:keepNext/>
        <w:spacing w:after="100"/>
      </w:pPr>
      <w:r>
        <w:rPr>
          <w:b/>
          <w:bCs/>
          <w:color w:val="548235"/>
          <w:sz w:val="18"/>
          <w:szCs w:val="18"/>
        </w:rPr>
        <w:t xml:space="preserve">Decisión</w:t>
      </w:r>
      <w:r>
        <w:rPr>
          <w:color w:val="808080"/>
          <w:sz w:val="18"/>
          <w:szCs w:val="18"/>
        </w:rPr>
        <w:t xml:space="preserve">  ·  8 de octubre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2.2</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Decisión</w:t>
            </w:r>
          </w:p>
        </w:tc>
        <w:tc>
          <w:tcPr>
            <w:tcW w:type="dxa" w:w="7226"/>
            <w:tcMar>
              <w:top w:type="dxa" w:w="70"/>
              <w:left w:type="dxa" w:w="100"/>
              <w:bottom w:type="dxa" w:w="70"/>
              <w:right w:type="dxa" w:w="100"/>
            </w:tcMar>
          </w:tcPr>
          <w:p>
            <w:pPr>
              <w:keepNext/>
              <w:spacing w:after="0" w:before="0"/>
            </w:pPr>
            <w:r>
              <w:rPr>
                <w:sz w:val="20"/>
                <w:szCs w:val="20"/>
              </w:rPr>
              <w:t xml:space="preserve">La tabla depurada tiene la columna </w:t>
            </w:r>
            <w:r>
              <w:rPr>
                <w:rFonts w:ascii="Consolas" w:cs="Consolas" w:eastAsia="Consolas" w:hAnsi="Consolas"/>
                <w:sz w:val="18"/>
                <w:szCs w:val="18"/>
                <w:shd w:fill="F2F2F2" w:color="auto" w:val="clear"/>
              </w:rPr>
              <w:t xml:space="preserve">IDENTIDAD_AMBIGUA</w:t>
            </w:r>
            <w:r>
              <w:rPr>
                <w:sz w:val="20"/>
                <w:szCs w:val="20"/>
              </w:rPr>
              <w:t xml:space="preserve">, verdadera en los egresos de los identificadores de </w:t>
            </w:r>
            <w:hyperlink w:history="1" w:anchor="E_H21">
              <w:r>
                <w:rPr>
                  <w:color w:val="0563C1"/>
                  <w:sz w:val="20"/>
                  <w:szCs w:val="20"/>
                  <w:u w:val="single"/>
                </w:rPr>
                <w:t xml:space="preserve">H21</w:t>
              </w:r>
            </w:hyperlink>
            <w:r>
              <w:rPr>
                <w:sz w:val="20"/>
                <w:szCs w:val="20"/>
              </w:rPr>
              <w:t xml:space="preserve">. La regla </w:t>
            </w:r>
            <w:hyperlink w:history="1" w:anchor="E_D18">
              <w:r>
                <w:rPr>
                  <w:color w:val="0563C1"/>
                  <w:sz w:val="20"/>
                  <w:szCs w:val="20"/>
                  <w:u w:val="single"/>
                </w:rPr>
                <w:t xml:space="preserve">D18</w:t>
              </w:r>
            </w:hyperlink>
            <w:r>
              <w:rPr>
                <w:sz w:val="20"/>
                <w:szCs w:val="20"/>
              </w:rPr>
              <w:t xml:space="preserve"> se mantiene como definición operativa, pero esos egresos no se tratan como identidades ciertas: quedan marcados para poder repetir cualquier análisis sin ellos. No se excluyen del análisis principal.</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Fundamento</w:t>
            </w:r>
          </w:p>
        </w:tc>
        <w:tc>
          <w:tcPr>
            <w:tcW w:type="dxa" w:w="7226"/>
            <w:tcMar>
              <w:top w:type="dxa" w:w="70"/>
              <w:left w:type="dxa" w:w="100"/>
              <w:bottom w:type="dxa" w:w="70"/>
              <w:right w:type="dxa" w:w="100"/>
            </w:tcMar>
          </w:tcPr>
          <w:p>
            <w:pPr>
              <w:keepNext/>
              <w:spacing w:after="0" w:before="0"/>
            </w:pPr>
            <w:r>
              <w:rPr>
                <w:sz w:val="20"/>
                <w:szCs w:val="20"/>
              </w:rPr>
              <w:t xml:space="preserve">Revisión del profesor guía del 7 de octubre de 2026: no conviene transformar una inconsistencia administrativa en una identidad individual con certeza aparente.</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Sensibilidad</w:t>
            </w:r>
          </w:p>
        </w:tc>
        <w:tc>
          <w:tcPr>
            <w:tcW w:type="dxa" w:w="7226"/>
            <w:tcMar>
              <w:top w:type="dxa" w:w="70"/>
              <w:left w:type="dxa" w:w="100"/>
              <w:bottom w:type="dxa" w:w="70"/>
              <w:right w:type="dxa" w:w="100"/>
            </w:tcMar>
          </w:tcPr>
          <w:p>
            <w:pPr>
              <w:keepNext/>
              <w:spacing w:after="0" w:before="0"/>
            </w:pPr>
            <w:r>
              <w:rPr>
                <w:sz w:val="20"/>
                <w:szCs w:val="20"/>
              </w:rPr>
              <w:t xml:space="preserve">Sin los casos con identidad ambigua quedarían 4.129.132 casos de estudio, con tasas de 2,03 %, 1,06 %, 5,79 % y 2,97 %.</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Completa a</w:t>
            </w:r>
          </w:p>
        </w:tc>
        <w:tc>
          <w:tcPr>
            <w:tcW w:type="dxa" w:w="7226"/>
            <w:tcMar>
              <w:top w:type="dxa" w:w="70"/>
              <w:left w:type="dxa" w:w="100"/>
              <w:bottom w:type="dxa" w:w="70"/>
              <w:right w:type="dxa" w:w="100"/>
            </w:tcMar>
          </w:tcPr>
          <w:p>
            <w:pPr>
              <w:keepNext/>
              <w:spacing w:after="0" w:before="0"/>
            </w:pPr>
            <w:hyperlink w:history="1" w:anchor="E_D18">
              <w:r>
                <w:rPr>
                  <w:color w:val="0563C1"/>
                  <w:sz w:val="20"/>
                  <w:szCs w:val="20"/>
                  <w:u w:val="single"/>
                </w:rPr>
                <w:t xml:space="preserve">D18</w:t>
              </w:r>
            </w:hyperlink>
            <w:r>
              <w:rPr>
                <w:sz w:val="20"/>
                <w:szCs w:val="20"/>
              </w:rPr>
              <w:t xml:space="preserve">.</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Estado</w:t>
            </w:r>
          </w:p>
        </w:tc>
        <w:tc>
          <w:tcPr>
            <w:tcW w:type="dxa" w:w="7226"/>
            <w:tcMar>
              <w:top w:type="dxa" w:w="70"/>
              <w:left w:type="dxa" w:w="100"/>
              <w:bottom w:type="dxa" w:w="70"/>
              <w:right w:type="dxa" w:w="100"/>
            </w:tcMar>
          </w:tcPr>
          <w:p>
            <w:pPr>
              <w:keepNext w:val="false"/>
              <w:spacing w:after="0" w:before="0"/>
            </w:pPr>
            <w:r>
              <w:rPr>
                <w:sz w:val="20"/>
                <w:szCs w:val="20"/>
              </w:rPr>
              <w:t xml:space="preserve">Adoptada. Aprobada por el profesor guía el 13 de octubre de 2026: excluir esos casos casi no cambia las tasas (a 30 días, de 5,90 % a 5,79 %) y la marca permite repetir el análisis sin ellos.</w:t>
            </w:r>
          </w:p>
        </w:tc>
      </w:tr>
    </w:tbl>
    <w:p>
      <w:pPr>
        <w:pStyle w:val="Heading2"/>
      </w:pPr>
      <w:bookmarkStart w:name="E_H22" w:id="23"/>
      <w:r>
        <w:rPr>
          <w:color w:val="2E75B6"/>
        </w:rPr>
        <w:t xml:space="preserve">H22</w:t>
      </w:r>
      <w:bookmarkEnd w:id="23"/>
      <w:r>
        <w:t xml:space="preserve"> · La regla de traslado coincide con las marcas explícitas</w:t>
      </w:r>
    </w:p>
    <w:p>
      <w:pPr>
        <w:keepNext/>
        <w:spacing w:after="100"/>
      </w:pPr>
      <w:r>
        <w:rPr>
          <w:b/>
          <w:bCs/>
          <w:color w:val="2E75B6"/>
          <w:sz w:val="18"/>
          <w:szCs w:val="18"/>
        </w:rPr>
        <w:t xml:space="preserve">Hallazgo</w:t>
      </w:r>
      <w:r>
        <w:rPr>
          <w:color w:val="808080"/>
          <w:sz w:val="18"/>
          <w:szCs w:val="18"/>
        </w:rPr>
        <w:t xml:space="preserve">  ·  8 de octubre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2.2</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Hallazgo</w:t>
            </w:r>
          </w:p>
        </w:tc>
        <w:tc>
          <w:tcPr>
            <w:tcW w:type="dxa" w:w="7226"/>
            <w:tcMar>
              <w:top w:type="dxa" w:w="70"/>
              <w:left w:type="dxa" w:w="100"/>
              <w:bottom w:type="dxa" w:w="70"/>
              <w:right w:type="dxa" w:w="100"/>
            </w:tcMar>
          </w:tcPr>
          <w:p>
            <w:pPr>
              <w:keepNext/>
              <w:spacing w:after="80" w:before="0"/>
            </w:pPr>
            <w:r>
              <w:rPr>
                <w:sz w:val="20"/>
                <w:szCs w:val="20"/>
              </w:rPr>
              <w:t xml:space="preserve">La regla </w:t>
            </w:r>
            <w:hyperlink w:history="1" w:anchor="E_D19">
              <w:r>
                <w:rPr>
                  <w:color w:val="0563C1"/>
                  <w:sz w:val="20"/>
                  <w:szCs w:val="20"/>
                  <w:u w:val="single"/>
                </w:rPr>
                <w:t xml:space="preserve">D19</w:t>
              </w:r>
            </w:hyperlink>
            <w:r>
              <w:rPr>
                <w:sz w:val="20"/>
                <w:szCs w:val="20"/>
              </w:rPr>
              <w:t xml:space="preserve"> se comparó con las dos marcas de traslado que trae la base: que el alta anterior sea por derivación, o que el ingreso declare que procede de otro hospital. Ingresos en un hospital distinto del que dio el alta anterior, según los días transcurridos:</w:t>
            </w:r>
          </w:p>
          <w:tbl>
            <w:tblPr>
              <w:tblW w:type="dxa" w:w="7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132"/>
              <w:gridCol w:w="1016"/>
              <w:gridCol w:w="1620"/>
              <w:gridCol w:w="1258"/>
            </w:tblGrid>
            <w:tr>
              <w:trPr>
                <w:cantSplit/>
                <w:tblHeader/>
              </w:trPr>
              <w:tc>
                <w:tcPr>
                  <w:tcW w:type="dxa" w:w="3132"/>
                  <w:shd w:fill="D9E2F3" w:color="auto" w:val="clear"/>
                  <w:tcMar>
                    <w:top w:type="dxa" w:w="70"/>
                    <w:left w:type="dxa" w:w="100"/>
                    <w:bottom w:type="dxa" w:w="70"/>
                    <w:right w:type="dxa" w:w="100"/>
                  </w:tcMar>
                  <w:vAlign w:val="center"/>
                </w:tcPr>
                <w:p>
                  <w:pPr>
                    <w:spacing w:after="0"/>
                  </w:pPr>
                  <w:r>
                    <w:rPr>
                      <w:b/>
                      <w:bCs/>
                      <w:sz w:val="18"/>
                      <w:szCs w:val="18"/>
                    </w:rPr>
                    <w:t xml:space="preserve">Ingreso en otro hospital</w:t>
                  </w:r>
                </w:p>
              </w:tc>
              <w:tc>
                <w:tcPr>
                  <w:tcW w:type="dxa" w:w="1016"/>
                  <w:shd w:fill="D9E2F3" w:color="auto" w:val="clear"/>
                  <w:tcMar>
                    <w:top w:type="dxa" w:w="70"/>
                    <w:left w:type="dxa" w:w="100"/>
                    <w:bottom w:type="dxa" w:w="70"/>
                    <w:right w:type="dxa" w:w="100"/>
                  </w:tcMar>
                  <w:vAlign w:val="center"/>
                </w:tcPr>
                <w:p>
                  <w:pPr>
                    <w:spacing w:after="0"/>
                  </w:pPr>
                  <w:r>
                    <w:rPr>
                      <w:b/>
                      <w:bCs/>
                      <w:sz w:val="18"/>
                      <w:szCs w:val="18"/>
                    </w:rPr>
                    <w:t xml:space="preserve">Egresos</w:t>
                  </w:r>
                </w:p>
              </w:tc>
              <w:tc>
                <w:tcPr>
                  <w:tcW w:type="dxa" w:w="1620"/>
                  <w:shd w:fill="D9E2F3" w:color="auto" w:val="clear"/>
                  <w:tcMar>
                    <w:top w:type="dxa" w:w="70"/>
                    <w:left w:type="dxa" w:w="100"/>
                    <w:bottom w:type="dxa" w:w="70"/>
                    <w:right w:type="dxa" w:w="100"/>
                  </w:tcMar>
                  <w:vAlign w:val="center"/>
                </w:tcPr>
                <w:p>
                  <w:pPr>
                    <w:spacing w:after="0"/>
                  </w:pPr>
                  <w:r>
                    <w:rPr>
                      <w:b/>
                      <w:bCs/>
                      <w:sz w:val="18"/>
                      <w:szCs w:val="18"/>
                    </w:rPr>
                    <w:t xml:space="preserve">Con marca de traslado</w:t>
                  </w:r>
                </w:p>
              </w:tc>
              <w:tc>
                <w:tcPr>
                  <w:tcW w:type="dxa" w:w="1258"/>
                  <w:shd w:fill="D9E2F3" w:color="auto" w:val="clear"/>
                  <w:tcMar>
                    <w:top w:type="dxa" w:w="70"/>
                    <w:left w:type="dxa" w:w="100"/>
                    <w:bottom w:type="dxa" w:w="70"/>
                    <w:right w:type="dxa" w:w="100"/>
                  </w:tcMar>
                  <w:vAlign w:val="center"/>
                </w:tcPr>
                <w:p>
                  <w:pPr>
                    <w:spacing w:after="0"/>
                  </w:pPr>
                  <w:r>
                    <w:rPr>
                      <w:b/>
                      <w:bCs/>
                      <w:sz w:val="18"/>
                      <w:szCs w:val="18"/>
                    </w:rPr>
                    <w:t xml:space="preserve">Los une la regla</w:t>
                  </w:r>
                </w:p>
              </w:tc>
            </w:tr>
            <w:tr>
              <w:trPr>
                <w:cantSplit/>
                <w:tblHeader w:val="off"/>
              </w:trPr>
              <w:tc>
                <w:tcPr>
                  <w:tcW w:type="dxa" w:w="3132"/>
                  <w:tcMar>
                    <w:top w:type="dxa" w:w="70"/>
                    <w:left w:type="dxa" w:w="100"/>
                    <w:bottom w:type="dxa" w:w="70"/>
                    <w:right w:type="dxa" w:w="100"/>
                  </w:tcMar>
                  <w:vAlign w:val="center"/>
                </w:tcPr>
                <w:p>
                  <w:pPr>
                    <w:spacing w:after="0"/>
                  </w:pPr>
                  <w:r>
                    <w:rPr>
                      <w:sz w:val="18"/>
                      <w:szCs w:val="18"/>
                    </w:rPr>
                    <w:t xml:space="preserve">Antes del alta anterior (estadías solapadas)</w:t>
                  </w:r>
                </w:p>
              </w:tc>
              <w:tc>
                <w:tcPr>
                  <w:tcW w:type="dxa" w:w="1016"/>
                  <w:tcMar>
                    <w:top w:type="dxa" w:w="70"/>
                    <w:left w:type="dxa" w:w="100"/>
                    <w:bottom w:type="dxa" w:w="70"/>
                    <w:right w:type="dxa" w:w="100"/>
                  </w:tcMar>
                  <w:vAlign w:val="center"/>
                </w:tcPr>
                <w:p>
                  <w:pPr>
                    <w:spacing w:after="0"/>
                  </w:pPr>
                  <w:r>
                    <w:rPr>
                      <w:sz w:val="18"/>
                      <w:szCs w:val="18"/>
                    </w:rPr>
                    <w:t xml:space="preserve">9.939</w:t>
                  </w:r>
                </w:p>
              </w:tc>
              <w:tc>
                <w:tcPr>
                  <w:tcW w:type="dxa" w:w="1620"/>
                  <w:tcMar>
                    <w:top w:type="dxa" w:w="70"/>
                    <w:left w:type="dxa" w:w="100"/>
                    <w:bottom w:type="dxa" w:w="70"/>
                    <w:right w:type="dxa" w:w="100"/>
                  </w:tcMar>
                  <w:vAlign w:val="center"/>
                </w:tcPr>
                <w:p>
                  <w:pPr>
                    <w:spacing w:after="0"/>
                  </w:pPr>
                  <w:r>
                    <w:rPr>
                      <w:sz w:val="18"/>
                      <w:szCs w:val="18"/>
                    </w:rPr>
                    <w:t xml:space="preserve">68,2 %</w:t>
                  </w:r>
                </w:p>
              </w:tc>
              <w:tc>
                <w:tcPr>
                  <w:tcW w:type="dxa" w:w="1258"/>
                  <w:tcMar>
                    <w:top w:type="dxa" w:w="70"/>
                    <w:left w:type="dxa" w:w="100"/>
                    <w:bottom w:type="dxa" w:w="70"/>
                    <w:right w:type="dxa" w:w="100"/>
                  </w:tcMar>
                  <w:vAlign w:val="center"/>
                </w:tcPr>
                <w:p>
                  <w:pPr>
                    <w:spacing w:after="0"/>
                  </w:pPr>
                  <w:r>
                    <w:rPr>
                      <w:sz w:val="18"/>
                      <w:szCs w:val="18"/>
                    </w:rPr>
                    <w:t xml:space="preserve">Sí</w:t>
                  </w:r>
                </w:p>
              </w:tc>
            </w:tr>
            <w:tr>
              <w:trPr>
                <w:cantSplit/>
                <w:tblHeader w:val="off"/>
              </w:trPr>
              <w:tc>
                <w:tcPr>
                  <w:tcW w:type="dxa" w:w="3132"/>
                  <w:tcMar>
                    <w:top w:type="dxa" w:w="70"/>
                    <w:left w:type="dxa" w:w="100"/>
                    <w:bottom w:type="dxa" w:w="70"/>
                    <w:right w:type="dxa" w:w="100"/>
                  </w:tcMar>
                  <w:vAlign w:val="center"/>
                </w:tcPr>
                <w:p>
                  <w:pPr>
                    <w:spacing w:after="0"/>
                  </w:pPr>
                  <w:r>
                    <w:rPr>
                      <w:sz w:val="18"/>
                      <w:szCs w:val="18"/>
                    </w:rPr>
                    <w:t xml:space="preserve">El mismo día del alta</w:t>
                  </w:r>
                </w:p>
              </w:tc>
              <w:tc>
                <w:tcPr>
                  <w:tcW w:type="dxa" w:w="1016"/>
                  <w:tcMar>
                    <w:top w:type="dxa" w:w="70"/>
                    <w:left w:type="dxa" w:w="100"/>
                    <w:bottom w:type="dxa" w:w="70"/>
                    <w:right w:type="dxa" w:w="100"/>
                  </w:tcMar>
                  <w:vAlign w:val="center"/>
                </w:tcPr>
                <w:p>
                  <w:pPr>
                    <w:spacing w:after="0"/>
                  </w:pPr>
                  <w:r>
                    <w:rPr>
                      <w:sz w:val="18"/>
                      <w:szCs w:val="18"/>
                    </w:rPr>
                    <w:t xml:space="preserve">70.933</w:t>
                  </w:r>
                </w:p>
              </w:tc>
              <w:tc>
                <w:tcPr>
                  <w:tcW w:type="dxa" w:w="1620"/>
                  <w:tcMar>
                    <w:top w:type="dxa" w:w="70"/>
                    <w:left w:type="dxa" w:w="100"/>
                    <w:bottom w:type="dxa" w:w="70"/>
                    <w:right w:type="dxa" w:w="100"/>
                  </w:tcMar>
                  <w:vAlign w:val="center"/>
                </w:tcPr>
                <w:p>
                  <w:pPr>
                    <w:spacing w:after="0"/>
                  </w:pPr>
                  <w:r>
                    <w:rPr>
                      <w:sz w:val="18"/>
                      <w:szCs w:val="18"/>
                    </w:rPr>
                    <w:t xml:space="preserve">96,8 %</w:t>
                  </w:r>
                </w:p>
              </w:tc>
              <w:tc>
                <w:tcPr>
                  <w:tcW w:type="dxa" w:w="1258"/>
                  <w:tcMar>
                    <w:top w:type="dxa" w:w="70"/>
                    <w:left w:type="dxa" w:w="100"/>
                    <w:bottom w:type="dxa" w:w="70"/>
                    <w:right w:type="dxa" w:w="100"/>
                  </w:tcMar>
                  <w:vAlign w:val="center"/>
                </w:tcPr>
                <w:p>
                  <w:pPr>
                    <w:spacing w:after="0"/>
                  </w:pPr>
                  <w:r>
                    <w:rPr>
                      <w:sz w:val="18"/>
                      <w:szCs w:val="18"/>
                    </w:rPr>
                    <w:t xml:space="preserve">Sí</w:t>
                  </w:r>
                </w:p>
              </w:tc>
            </w:tr>
            <w:tr>
              <w:trPr>
                <w:cantSplit/>
                <w:tblHeader w:val="off"/>
              </w:trPr>
              <w:tc>
                <w:tcPr>
                  <w:tcW w:type="dxa" w:w="3132"/>
                  <w:tcMar>
                    <w:top w:type="dxa" w:w="70"/>
                    <w:left w:type="dxa" w:w="100"/>
                    <w:bottom w:type="dxa" w:w="70"/>
                    <w:right w:type="dxa" w:w="100"/>
                  </w:tcMar>
                  <w:vAlign w:val="center"/>
                </w:tcPr>
                <w:p>
                  <w:pPr>
                    <w:spacing w:after="0"/>
                  </w:pPr>
                  <w:r>
                    <w:rPr>
                      <w:sz w:val="18"/>
                      <w:szCs w:val="18"/>
                    </w:rPr>
                    <w:t xml:space="preserve">Al día siguiente</w:t>
                  </w:r>
                </w:p>
              </w:tc>
              <w:tc>
                <w:tcPr>
                  <w:tcW w:type="dxa" w:w="1016"/>
                  <w:tcMar>
                    <w:top w:type="dxa" w:w="70"/>
                    <w:left w:type="dxa" w:w="100"/>
                    <w:bottom w:type="dxa" w:w="70"/>
                    <w:right w:type="dxa" w:w="100"/>
                  </w:tcMar>
                  <w:vAlign w:val="center"/>
                </w:tcPr>
                <w:p>
                  <w:pPr>
                    <w:spacing w:after="0"/>
                  </w:pPr>
                  <w:r>
                    <w:rPr>
                      <w:sz w:val="18"/>
                      <w:szCs w:val="18"/>
                    </w:rPr>
                    <w:t xml:space="preserve">16.126</w:t>
                  </w:r>
                </w:p>
              </w:tc>
              <w:tc>
                <w:tcPr>
                  <w:tcW w:type="dxa" w:w="1620"/>
                  <w:tcMar>
                    <w:top w:type="dxa" w:w="70"/>
                    <w:left w:type="dxa" w:w="100"/>
                    <w:bottom w:type="dxa" w:w="70"/>
                    <w:right w:type="dxa" w:w="100"/>
                  </w:tcMar>
                  <w:vAlign w:val="center"/>
                </w:tcPr>
                <w:p>
                  <w:pPr>
                    <w:spacing w:after="0"/>
                  </w:pPr>
                  <w:r>
                    <w:rPr>
                      <w:sz w:val="18"/>
                      <w:szCs w:val="18"/>
                    </w:rPr>
                    <w:t xml:space="preserve">90,6 %</w:t>
                  </w:r>
                </w:p>
              </w:tc>
              <w:tc>
                <w:tcPr>
                  <w:tcW w:type="dxa" w:w="1258"/>
                  <w:tcMar>
                    <w:top w:type="dxa" w:w="70"/>
                    <w:left w:type="dxa" w:w="100"/>
                    <w:bottom w:type="dxa" w:w="70"/>
                    <w:right w:type="dxa" w:w="100"/>
                  </w:tcMar>
                  <w:vAlign w:val="center"/>
                </w:tcPr>
                <w:p>
                  <w:pPr>
                    <w:spacing w:after="0"/>
                  </w:pPr>
                  <w:r>
                    <w:rPr>
                      <w:sz w:val="18"/>
                      <w:szCs w:val="18"/>
                    </w:rPr>
                    <w:t xml:space="preserve">Sí</w:t>
                  </w:r>
                </w:p>
              </w:tc>
            </w:tr>
            <w:tr>
              <w:trPr>
                <w:cantSplit/>
                <w:tblHeader w:val="off"/>
              </w:trPr>
              <w:tc>
                <w:tcPr>
                  <w:tcW w:type="dxa" w:w="3132"/>
                  <w:tcMar>
                    <w:top w:type="dxa" w:w="70"/>
                    <w:left w:type="dxa" w:w="100"/>
                    <w:bottom w:type="dxa" w:w="70"/>
                    <w:right w:type="dxa" w:w="100"/>
                  </w:tcMar>
                  <w:vAlign w:val="center"/>
                </w:tcPr>
                <w:p>
                  <w:pPr>
                    <w:spacing w:after="0"/>
                  </w:pPr>
                  <w:r>
                    <w:rPr>
                      <w:sz w:val="18"/>
                      <w:szCs w:val="18"/>
                    </w:rPr>
                    <w:t xml:space="preserve">2 días después</w:t>
                  </w:r>
                </w:p>
              </w:tc>
              <w:tc>
                <w:tcPr>
                  <w:tcW w:type="dxa" w:w="1016"/>
                  <w:tcMar>
                    <w:top w:type="dxa" w:w="70"/>
                    <w:left w:type="dxa" w:w="100"/>
                    <w:bottom w:type="dxa" w:w="70"/>
                    <w:right w:type="dxa" w:w="100"/>
                  </w:tcMar>
                  <w:vAlign w:val="center"/>
                </w:tcPr>
                <w:p>
                  <w:pPr>
                    <w:spacing w:after="0"/>
                  </w:pPr>
                  <w:r>
                    <w:rPr>
                      <w:sz w:val="18"/>
                      <w:szCs w:val="18"/>
                    </w:rPr>
                    <w:t xml:space="preserve">2.600</w:t>
                  </w:r>
                </w:p>
              </w:tc>
              <w:tc>
                <w:tcPr>
                  <w:tcW w:type="dxa" w:w="1620"/>
                  <w:tcMar>
                    <w:top w:type="dxa" w:w="70"/>
                    <w:left w:type="dxa" w:w="100"/>
                    <w:bottom w:type="dxa" w:w="70"/>
                    <w:right w:type="dxa" w:w="100"/>
                  </w:tcMar>
                  <w:vAlign w:val="center"/>
                </w:tcPr>
                <w:p>
                  <w:pPr>
                    <w:spacing w:after="0"/>
                  </w:pPr>
                  <w:r>
                    <w:rPr>
                      <w:sz w:val="18"/>
                      <w:szCs w:val="18"/>
                    </w:rPr>
                    <w:t xml:space="preserve">47,0 %</w:t>
                  </w:r>
                </w:p>
              </w:tc>
              <w:tc>
                <w:tcPr>
                  <w:tcW w:type="dxa" w:w="1258"/>
                  <w:tcMar>
                    <w:top w:type="dxa" w:w="70"/>
                    <w:left w:type="dxa" w:w="100"/>
                    <w:bottom w:type="dxa" w:w="70"/>
                    <w:right w:type="dxa" w:w="100"/>
                  </w:tcMar>
                  <w:vAlign w:val="center"/>
                </w:tcPr>
                <w:p>
                  <w:pPr>
                    <w:spacing w:after="0"/>
                  </w:pPr>
                  <w:r>
                    <w:rPr>
                      <w:sz w:val="18"/>
                      <w:szCs w:val="18"/>
                    </w:rPr>
                    <w:t xml:space="preserve">No</w:t>
                  </w:r>
                </w:p>
              </w:tc>
            </w:tr>
            <w:tr>
              <w:trPr>
                <w:cantSplit/>
                <w:tblHeader w:val="off"/>
              </w:trPr>
              <w:tc>
                <w:tcPr>
                  <w:tcW w:type="dxa" w:w="3132"/>
                  <w:tcMar>
                    <w:top w:type="dxa" w:w="70"/>
                    <w:left w:type="dxa" w:w="100"/>
                    <w:bottom w:type="dxa" w:w="70"/>
                    <w:right w:type="dxa" w:w="100"/>
                  </w:tcMar>
                  <w:vAlign w:val="center"/>
                </w:tcPr>
                <w:p>
                  <w:pPr>
                    <w:spacing w:after="0"/>
                  </w:pPr>
                  <w:r>
                    <w:rPr>
                      <w:sz w:val="18"/>
                      <w:szCs w:val="18"/>
                    </w:rPr>
                    <w:t xml:space="preserve">3 días después</w:t>
                  </w:r>
                </w:p>
              </w:tc>
              <w:tc>
                <w:tcPr>
                  <w:tcW w:type="dxa" w:w="1016"/>
                  <w:tcMar>
                    <w:top w:type="dxa" w:w="70"/>
                    <w:left w:type="dxa" w:w="100"/>
                    <w:bottom w:type="dxa" w:w="70"/>
                    <w:right w:type="dxa" w:w="100"/>
                  </w:tcMar>
                  <w:vAlign w:val="center"/>
                </w:tcPr>
                <w:p>
                  <w:pPr>
                    <w:spacing w:after="0"/>
                  </w:pPr>
                  <w:r>
                    <w:rPr>
                      <w:sz w:val="18"/>
                      <w:szCs w:val="18"/>
                    </w:rPr>
                    <w:t xml:space="preserve">2.073</w:t>
                  </w:r>
                </w:p>
              </w:tc>
              <w:tc>
                <w:tcPr>
                  <w:tcW w:type="dxa" w:w="1620"/>
                  <w:tcMar>
                    <w:top w:type="dxa" w:w="70"/>
                    <w:left w:type="dxa" w:w="100"/>
                    <w:bottom w:type="dxa" w:w="70"/>
                    <w:right w:type="dxa" w:w="100"/>
                  </w:tcMar>
                  <w:vAlign w:val="center"/>
                </w:tcPr>
                <w:p>
                  <w:pPr>
                    <w:spacing w:after="0"/>
                  </w:pPr>
                  <w:r>
                    <w:rPr>
                      <w:sz w:val="18"/>
                      <w:szCs w:val="18"/>
                    </w:rPr>
                    <w:t xml:space="preserve">36,2 %</w:t>
                  </w:r>
                </w:p>
              </w:tc>
              <w:tc>
                <w:tcPr>
                  <w:tcW w:type="dxa" w:w="1258"/>
                  <w:tcMar>
                    <w:top w:type="dxa" w:w="70"/>
                    <w:left w:type="dxa" w:w="100"/>
                    <w:bottom w:type="dxa" w:w="70"/>
                    <w:right w:type="dxa" w:w="100"/>
                  </w:tcMar>
                  <w:vAlign w:val="center"/>
                </w:tcPr>
                <w:p>
                  <w:pPr>
                    <w:spacing w:after="0"/>
                  </w:pPr>
                  <w:r>
                    <w:rPr>
                      <w:sz w:val="18"/>
                      <w:szCs w:val="18"/>
                    </w:rPr>
                    <w:t xml:space="preserve">No</w:t>
                  </w:r>
                </w:p>
              </w:tc>
            </w:tr>
            <w:tr>
              <w:trPr>
                <w:cantSplit/>
                <w:tblHeader w:val="off"/>
              </w:trPr>
              <w:tc>
                <w:tcPr>
                  <w:tcW w:type="dxa" w:w="3132"/>
                  <w:tcMar>
                    <w:top w:type="dxa" w:w="70"/>
                    <w:left w:type="dxa" w:w="100"/>
                    <w:bottom w:type="dxa" w:w="70"/>
                    <w:right w:type="dxa" w:w="100"/>
                  </w:tcMar>
                  <w:vAlign w:val="center"/>
                </w:tcPr>
                <w:p>
                  <w:pPr>
                    <w:spacing w:after="0"/>
                  </w:pPr>
                  <w:r>
                    <w:rPr>
                      <w:sz w:val="18"/>
                      <w:szCs w:val="18"/>
                    </w:rPr>
                    <w:t xml:space="preserve">4 a 7 días después</w:t>
                  </w:r>
                </w:p>
              </w:tc>
              <w:tc>
                <w:tcPr>
                  <w:tcW w:type="dxa" w:w="1016"/>
                  <w:tcMar>
                    <w:top w:type="dxa" w:w="70"/>
                    <w:left w:type="dxa" w:w="100"/>
                    <w:bottom w:type="dxa" w:w="70"/>
                    <w:right w:type="dxa" w:w="100"/>
                  </w:tcMar>
                  <w:vAlign w:val="center"/>
                </w:tcPr>
                <w:p>
                  <w:pPr>
                    <w:spacing w:after="0"/>
                  </w:pPr>
                  <w:r>
                    <w:rPr>
                      <w:sz w:val="18"/>
                      <w:szCs w:val="18"/>
                    </w:rPr>
                    <w:t xml:space="preserve">7.818</w:t>
                  </w:r>
                </w:p>
              </w:tc>
              <w:tc>
                <w:tcPr>
                  <w:tcW w:type="dxa" w:w="1620"/>
                  <w:tcMar>
                    <w:top w:type="dxa" w:w="70"/>
                    <w:left w:type="dxa" w:w="100"/>
                    <w:bottom w:type="dxa" w:w="70"/>
                    <w:right w:type="dxa" w:w="100"/>
                  </w:tcMar>
                  <w:vAlign w:val="center"/>
                </w:tcPr>
                <w:p>
                  <w:pPr>
                    <w:spacing w:after="0"/>
                  </w:pPr>
                  <w:r>
                    <w:rPr>
                      <w:sz w:val="18"/>
                      <w:szCs w:val="18"/>
                    </w:rPr>
                    <w:t xml:space="preserve">26,7 %</w:t>
                  </w:r>
                </w:p>
              </w:tc>
              <w:tc>
                <w:tcPr>
                  <w:tcW w:type="dxa" w:w="1258"/>
                  <w:tcMar>
                    <w:top w:type="dxa" w:w="70"/>
                    <w:left w:type="dxa" w:w="100"/>
                    <w:bottom w:type="dxa" w:w="70"/>
                    <w:right w:type="dxa" w:w="100"/>
                  </w:tcMar>
                  <w:vAlign w:val="center"/>
                </w:tcPr>
                <w:p>
                  <w:pPr>
                    <w:spacing w:after="0"/>
                  </w:pPr>
                  <w:r>
                    <w:rPr>
                      <w:sz w:val="18"/>
                      <w:szCs w:val="18"/>
                    </w:rPr>
                    <w:t xml:space="preserve">No</w:t>
                  </w:r>
                </w:p>
              </w:tc>
            </w:tr>
            <w:tr>
              <w:trPr>
                <w:cantSplit/>
                <w:tblHeader w:val="off"/>
              </w:trPr>
              <w:tc>
                <w:tcPr>
                  <w:tcW w:type="dxa" w:w="3132"/>
                  <w:tcMar>
                    <w:top w:type="dxa" w:w="70"/>
                    <w:left w:type="dxa" w:w="100"/>
                    <w:bottom w:type="dxa" w:w="70"/>
                    <w:right w:type="dxa" w:w="100"/>
                  </w:tcMar>
                  <w:vAlign w:val="center"/>
                </w:tcPr>
                <w:p>
                  <w:pPr>
                    <w:spacing w:after="0"/>
                  </w:pPr>
                  <w:r>
                    <w:rPr>
                      <w:sz w:val="18"/>
                      <w:szCs w:val="18"/>
                    </w:rPr>
                    <w:t xml:space="preserve">8 a 30 días después</w:t>
                  </w:r>
                </w:p>
              </w:tc>
              <w:tc>
                <w:tcPr>
                  <w:tcW w:type="dxa" w:w="1016"/>
                  <w:tcMar>
                    <w:top w:type="dxa" w:w="70"/>
                    <w:left w:type="dxa" w:w="100"/>
                    <w:bottom w:type="dxa" w:w="70"/>
                    <w:right w:type="dxa" w:w="100"/>
                  </w:tcMar>
                  <w:vAlign w:val="center"/>
                </w:tcPr>
                <w:p>
                  <w:pPr>
                    <w:spacing w:after="0"/>
                  </w:pPr>
                  <w:r>
                    <w:rPr>
                      <w:sz w:val="18"/>
                      <w:szCs w:val="18"/>
                    </w:rPr>
                    <w:t xml:space="preserve">27.826</w:t>
                  </w:r>
                </w:p>
              </w:tc>
              <w:tc>
                <w:tcPr>
                  <w:tcW w:type="dxa" w:w="1620"/>
                  <w:tcMar>
                    <w:top w:type="dxa" w:w="70"/>
                    <w:left w:type="dxa" w:w="100"/>
                    <w:bottom w:type="dxa" w:w="70"/>
                    <w:right w:type="dxa" w:w="100"/>
                  </w:tcMar>
                  <w:vAlign w:val="center"/>
                </w:tcPr>
                <w:p>
                  <w:pPr>
                    <w:spacing w:after="0"/>
                  </w:pPr>
                  <w:r>
                    <w:rPr>
                      <w:sz w:val="18"/>
                      <w:szCs w:val="18"/>
                    </w:rPr>
                    <w:t xml:space="preserve">22,3 %</w:t>
                  </w:r>
                </w:p>
              </w:tc>
              <w:tc>
                <w:tcPr>
                  <w:tcW w:type="dxa" w:w="1258"/>
                  <w:tcMar>
                    <w:top w:type="dxa" w:w="70"/>
                    <w:left w:type="dxa" w:w="100"/>
                    <w:bottom w:type="dxa" w:w="70"/>
                    <w:right w:type="dxa" w:w="100"/>
                  </w:tcMar>
                  <w:vAlign w:val="center"/>
                </w:tcPr>
                <w:p>
                  <w:pPr>
                    <w:spacing w:after="0"/>
                  </w:pPr>
                  <w:r>
                    <w:rPr>
                      <w:sz w:val="18"/>
                      <w:szCs w:val="18"/>
                    </w:rPr>
                    <w:t xml:space="preserve">No</w:t>
                  </w:r>
                </w:p>
              </w:tc>
            </w:tr>
          </w:tbl>
          <w:p>
            <w:pPr>
              <w:spacing w:after="0"/>
            </w:pP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Concordancia</w:t>
            </w:r>
          </w:p>
        </w:tc>
        <w:tc>
          <w:tcPr>
            <w:tcW w:type="dxa" w:w="7226"/>
            <w:tcMar>
              <w:top w:type="dxa" w:w="70"/>
              <w:left w:type="dxa" w:w="100"/>
              <w:bottom w:type="dxa" w:w="70"/>
              <w:right w:type="dxa" w:w="100"/>
            </w:tcMar>
          </w:tcPr>
          <w:p>
            <w:pPr>
              <w:keepNext/>
              <w:spacing w:after="0" w:before="0"/>
            </w:pPr>
            <w:r>
              <w:rPr>
                <w:sz w:val="20"/>
                <w:szCs w:val="20"/>
              </w:rPr>
              <w:t xml:space="preserve">Dentro de los primeros 7 días, la regla une 96.998 ingresos, de los que el 92,9 % tiene marca, y no une 12.491, de los que el 67,5 % no la tiene. Las marcas tampoco son exactas: tiene marca el 6,1 % de los ingresos al mismo hospital dentro de 7 días, que no son traslados.</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Consecuencia</w:t>
            </w:r>
          </w:p>
        </w:tc>
        <w:tc>
          <w:tcPr>
            <w:tcW w:type="dxa" w:w="7226"/>
            <w:tcMar>
              <w:top w:type="dxa" w:w="70"/>
              <w:left w:type="dxa" w:w="100"/>
              <w:bottom w:type="dxa" w:w="70"/>
              <w:right w:type="dxa" w:w="100"/>
            </w:tcMar>
          </w:tcPr>
          <w:p>
            <w:pPr>
              <w:keepNext/>
              <w:spacing w:after="0" w:before="0"/>
            </w:pPr>
            <w:r>
              <w:rPr>
                <w:sz w:val="20"/>
                <w:szCs w:val="20"/>
              </w:rPr>
              <w:t xml:space="preserve">La proporción con marca cae de 90,6 % a 47,0 % entre el día siguiente y el segundo día, lo que respalda el corte de la regla (</w:t>
            </w:r>
            <w:r>
              <w:rPr>
                <w:rFonts w:ascii="Consolas" w:cs="Consolas" w:eastAsia="Consolas" w:hAnsi="Consolas"/>
                <w:sz w:val="18"/>
                <w:szCs w:val="18"/>
                <w:shd w:fill="F2F2F2" w:color="auto" w:val="clear"/>
              </w:rPr>
              <w:t xml:space="preserve">traslado_dias_max</w:t>
            </w:r>
            <w:r>
              <w:rPr>
                <w:sz w:val="20"/>
                <w:szCs w:val="20"/>
              </w:rPr>
              <w:t xml:space="preserve"> = 1). La regla se presenta como una definición operacional.</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Completa a</w:t>
            </w:r>
          </w:p>
        </w:tc>
        <w:tc>
          <w:tcPr>
            <w:tcW w:type="dxa" w:w="7226"/>
            <w:tcMar>
              <w:top w:type="dxa" w:w="70"/>
              <w:left w:type="dxa" w:w="100"/>
              <w:bottom w:type="dxa" w:w="70"/>
              <w:right w:type="dxa" w:w="100"/>
            </w:tcMar>
          </w:tcPr>
          <w:p>
            <w:pPr>
              <w:keepNext/>
              <w:spacing w:after="0" w:before="0"/>
            </w:pPr>
            <w:hyperlink w:history="1" w:anchor="E_H14">
              <w:r>
                <w:rPr>
                  <w:color w:val="0563C1"/>
                  <w:sz w:val="20"/>
                  <w:szCs w:val="20"/>
                  <w:u w:val="single"/>
                </w:rPr>
                <w:t xml:space="preserve">H14</w:t>
              </w:r>
            </w:hyperlink>
            <w:r>
              <w:rPr>
                <w:sz w:val="20"/>
                <w:szCs w:val="20"/>
              </w:rPr>
              <w:t xml:space="preserve"> y </w:t>
            </w:r>
            <w:hyperlink w:history="1" w:anchor="E_D19">
              <w:r>
                <w:rPr>
                  <w:color w:val="0563C1"/>
                  <w:sz w:val="20"/>
                  <w:szCs w:val="20"/>
                  <w:u w:val="single"/>
                </w:rPr>
                <w:t xml:space="preserve">D19</w:t>
              </w:r>
            </w:hyperlink>
            <w:r>
              <w:rPr>
                <w:sz w:val="20"/>
                <w:szCs w:val="20"/>
              </w:rPr>
              <w:t xml:space="preserve">.</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Evidencia</w:t>
            </w:r>
          </w:p>
        </w:tc>
        <w:tc>
          <w:tcPr>
            <w:tcW w:type="dxa" w:w="7226"/>
            <w:tcMar>
              <w:top w:type="dxa" w:w="70"/>
              <w:left w:type="dxa" w:w="100"/>
              <w:bottom w:type="dxa" w:w="70"/>
              <w:right w:type="dxa" w:w="100"/>
            </w:tcMar>
          </w:tcPr>
          <w:p>
            <w:pPr>
              <w:keepNext w:val="false"/>
              <w:spacing w:after="0" w:before="0"/>
            </w:pPr>
            <w:r>
              <w:rPr>
                <w:rFonts w:ascii="Consolas" w:cs="Consolas" w:eastAsia="Consolas" w:hAnsi="Consolas"/>
                <w:sz w:val="18"/>
                <w:szCs w:val="18"/>
                <w:shd w:fill="F2F2F2" w:color="auto" w:val="clear"/>
              </w:rPr>
              <w:t xml:space="preserve">2.2_depuracion_etiquetado/reportes/08_depuracion.md</w:t>
            </w:r>
            <w:r>
              <w:rPr>
                <w:sz w:val="20"/>
                <w:szCs w:val="20"/>
              </w:rPr>
              <w:t xml:space="preserve">, sección 4.</w:t>
            </w:r>
          </w:p>
        </w:tc>
      </w:tr>
    </w:tbl>
    <w:p>
      <w:pPr>
        <w:pStyle w:val="Heading2"/>
      </w:pPr>
      <w:bookmarkStart w:name="E_H23" w:id="24"/>
      <w:r>
        <w:rPr>
          <w:color w:val="2E75B6"/>
        </w:rPr>
        <w:t xml:space="preserve">H23</w:t>
      </w:r>
      <w:bookmarkEnd w:id="24"/>
      <w:r>
        <w:t xml:space="preserve"> · Derivados sin continuación observable, por año y por hospital</w:t>
      </w:r>
    </w:p>
    <w:p>
      <w:pPr>
        <w:keepNext/>
        <w:spacing w:after="100"/>
      </w:pPr>
      <w:r>
        <w:rPr>
          <w:b/>
          <w:bCs/>
          <w:color w:val="2E75B6"/>
          <w:sz w:val="18"/>
          <w:szCs w:val="18"/>
        </w:rPr>
        <w:t xml:space="preserve">Hallazgo</w:t>
      </w:r>
      <w:r>
        <w:rPr>
          <w:color w:val="808080"/>
          <w:sz w:val="18"/>
          <w:szCs w:val="18"/>
        </w:rPr>
        <w:t xml:space="preserve">  ·  8 de octubre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2.2</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Hallazgo</w:t>
            </w:r>
          </w:p>
        </w:tc>
        <w:tc>
          <w:tcPr>
            <w:tcW w:type="dxa" w:w="7226"/>
            <w:tcMar>
              <w:top w:type="dxa" w:w="70"/>
              <w:left w:type="dxa" w:w="100"/>
              <w:bottom w:type="dxa" w:w="70"/>
              <w:right w:type="dxa" w:w="100"/>
            </w:tcMar>
          </w:tcPr>
          <w:p>
            <w:pPr>
              <w:keepNext/>
              <w:spacing w:after="80" w:before="0"/>
            </w:pPr>
            <w:r>
              <w:rPr>
                <w:sz w:val="20"/>
                <w:szCs w:val="20"/>
              </w:rPr>
              <w:t xml:space="preserve">Los criterios E07 y E08 dejan fuera 99.573 egresos derivados cuya continuación no se ve (76.605 a otro hospital y 22.968 a una institución privada). Es una censura administrativa del seguimiento, no una característica clínica del paciente.</w:t>
            </w:r>
          </w:p>
          <w:tbl>
            <w:tblPr>
              <w:tblW w:type="dxa" w:w="7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626"/>
              <w:gridCol w:w="899"/>
              <w:gridCol w:w="899"/>
              <w:gridCol w:w="899"/>
              <w:gridCol w:w="899"/>
              <w:gridCol w:w="899"/>
              <w:gridCol w:w="905"/>
            </w:tblGrid>
            <w:tr>
              <w:trPr>
                <w:cantSplit/>
                <w:tblHeader/>
              </w:trPr>
              <w:tc>
                <w:tcPr>
                  <w:tcW w:type="dxa" w:w="1626"/>
                  <w:shd w:fill="D9E2F3" w:color="auto" w:val="clear"/>
                  <w:tcMar>
                    <w:top w:type="dxa" w:w="70"/>
                    <w:left w:type="dxa" w:w="100"/>
                    <w:bottom w:type="dxa" w:w="70"/>
                    <w:right w:type="dxa" w:w="100"/>
                  </w:tcMar>
                  <w:vAlign w:val="center"/>
                </w:tcPr>
                <w:p>
                  <w:pPr>
                    <w:spacing w:after="0"/>
                  </w:pPr>
                </w:p>
              </w:tc>
              <w:tc>
                <w:tcPr>
                  <w:tcW w:type="dxa" w:w="899"/>
                  <w:shd w:fill="D9E2F3" w:color="auto" w:val="clear"/>
                  <w:tcMar>
                    <w:top w:type="dxa" w:w="70"/>
                    <w:left w:type="dxa" w:w="100"/>
                    <w:bottom w:type="dxa" w:w="70"/>
                    <w:right w:type="dxa" w:w="100"/>
                  </w:tcMar>
                  <w:vAlign w:val="center"/>
                </w:tcPr>
                <w:p>
                  <w:pPr>
                    <w:spacing w:after="0"/>
                  </w:pPr>
                  <w:r>
                    <w:rPr>
                      <w:b/>
                      <w:bCs/>
                      <w:sz w:val="18"/>
                      <w:szCs w:val="18"/>
                    </w:rPr>
                    <w:t xml:space="preserve">2019</w:t>
                  </w:r>
                </w:p>
              </w:tc>
              <w:tc>
                <w:tcPr>
                  <w:tcW w:type="dxa" w:w="899"/>
                  <w:shd w:fill="D9E2F3" w:color="auto" w:val="clear"/>
                  <w:tcMar>
                    <w:top w:type="dxa" w:w="70"/>
                    <w:left w:type="dxa" w:w="100"/>
                    <w:bottom w:type="dxa" w:w="70"/>
                    <w:right w:type="dxa" w:w="100"/>
                  </w:tcMar>
                  <w:vAlign w:val="center"/>
                </w:tcPr>
                <w:p>
                  <w:pPr>
                    <w:spacing w:after="0"/>
                  </w:pPr>
                  <w:r>
                    <w:rPr>
                      <w:b/>
                      <w:bCs/>
                      <w:sz w:val="18"/>
                      <w:szCs w:val="18"/>
                    </w:rPr>
                    <w:t xml:space="preserve">2020</w:t>
                  </w:r>
                </w:p>
              </w:tc>
              <w:tc>
                <w:tcPr>
                  <w:tcW w:type="dxa" w:w="899"/>
                  <w:shd w:fill="D9E2F3" w:color="auto" w:val="clear"/>
                  <w:tcMar>
                    <w:top w:type="dxa" w:w="70"/>
                    <w:left w:type="dxa" w:w="100"/>
                    <w:bottom w:type="dxa" w:w="70"/>
                    <w:right w:type="dxa" w:w="100"/>
                  </w:tcMar>
                  <w:vAlign w:val="center"/>
                </w:tcPr>
                <w:p>
                  <w:pPr>
                    <w:spacing w:after="0"/>
                  </w:pPr>
                  <w:r>
                    <w:rPr>
                      <w:b/>
                      <w:bCs/>
                      <w:sz w:val="18"/>
                      <w:szCs w:val="18"/>
                    </w:rPr>
                    <w:t xml:space="preserve">2021</w:t>
                  </w:r>
                </w:p>
              </w:tc>
              <w:tc>
                <w:tcPr>
                  <w:tcW w:type="dxa" w:w="899"/>
                  <w:shd w:fill="D9E2F3" w:color="auto" w:val="clear"/>
                  <w:tcMar>
                    <w:top w:type="dxa" w:w="70"/>
                    <w:left w:type="dxa" w:w="100"/>
                    <w:bottom w:type="dxa" w:w="70"/>
                    <w:right w:type="dxa" w:w="100"/>
                  </w:tcMar>
                  <w:vAlign w:val="center"/>
                </w:tcPr>
                <w:p>
                  <w:pPr>
                    <w:spacing w:after="0"/>
                  </w:pPr>
                  <w:r>
                    <w:rPr>
                      <w:b/>
                      <w:bCs/>
                      <w:sz w:val="18"/>
                      <w:szCs w:val="18"/>
                    </w:rPr>
                    <w:t xml:space="preserve">2022</w:t>
                  </w:r>
                </w:p>
              </w:tc>
              <w:tc>
                <w:tcPr>
                  <w:tcW w:type="dxa" w:w="899"/>
                  <w:shd w:fill="D9E2F3" w:color="auto" w:val="clear"/>
                  <w:tcMar>
                    <w:top w:type="dxa" w:w="70"/>
                    <w:left w:type="dxa" w:w="100"/>
                    <w:bottom w:type="dxa" w:w="70"/>
                    <w:right w:type="dxa" w:w="100"/>
                  </w:tcMar>
                  <w:vAlign w:val="center"/>
                </w:tcPr>
                <w:p>
                  <w:pPr>
                    <w:spacing w:after="0"/>
                  </w:pPr>
                  <w:r>
                    <w:rPr>
                      <w:b/>
                      <w:bCs/>
                      <w:sz w:val="18"/>
                      <w:szCs w:val="18"/>
                    </w:rPr>
                    <w:t xml:space="preserve">2023</w:t>
                  </w:r>
                </w:p>
              </w:tc>
              <w:tc>
                <w:tcPr>
                  <w:tcW w:type="dxa" w:w="905"/>
                  <w:shd w:fill="D9E2F3" w:color="auto" w:val="clear"/>
                  <w:tcMar>
                    <w:top w:type="dxa" w:w="70"/>
                    <w:left w:type="dxa" w:w="100"/>
                    <w:bottom w:type="dxa" w:w="70"/>
                    <w:right w:type="dxa" w:w="100"/>
                  </w:tcMar>
                  <w:vAlign w:val="center"/>
                </w:tcPr>
                <w:p>
                  <w:pPr>
                    <w:spacing w:after="0"/>
                  </w:pPr>
                  <w:r>
                    <w:rPr>
                      <w:b/>
                      <w:bCs/>
                      <w:sz w:val="18"/>
                      <w:szCs w:val="18"/>
                    </w:rPr>
                    <w:t xml:space="preserve">2024</w:t>
                  </w:r>
                </w:p>
              </w:tc>
            </w:tr>
            <w:tr>
              <w:trPr>
                <w:cantSplit/>
                <w:tblHeader w:val="off"/>
              </w:trPr>
              <w:tc>
                <w:tcPr>
                  <w:tcW w:type="dxa" w:w="1626"/>
                  <w:tcMar>
                    <w:top w:type="dxa" w:w="70"/>
                    <w:left w:type="dxa" w:w="100"/>
                    <w:bottom w:type="dxa" w:w="70"/>
                    <w:right w:type="dxa" w:w="100"/>
                  </w:tcMar>
                  <w:vAlign w:val="center"/>
                </w:tcPr>
                <w:p>
                  <w:pPr>
                    <w:spacing w:after="0"/>
                  </w:pPr>
                  <w:r>
                    <w:rPr>
                      <w:sz w:val="18"/>
                      <w:szCs w:val="18"/>
                    </w:rPr>
                    <w:t xml:space="preserve">Excluidos por E07 y E08</w:t>
                  </w:r>
                </w:p>
              </w:tc>
              <w:tc>
                <w:tcPr>
                  <w:tcW w:type="dxa" w:w="899"/>
                  <w:tcMar>
                    <w:top w:type="dxa" w:w="70"/>
                    <w:left w:type="dxa" w:w="100"/>
                    <w:bottom w:type="dxa" w:w="70"/>
                    <w:right w:type="dxa" w:w="100"/>
                  </w:tcMar>
                  <w:vAlign w:val="center"/>
                </w:tcPr>
                <w:p>
                  <w:pPr>
                    <w:spacing w:after="0"/>
                  </w:pPr>
                  <w:r>
                    <w:rPr>
                      <w:sz w:val="18"/>
                      <w:szCs w:val="18"/>
                    </w:rPr>
                    <w:t xml:space="preserve">14.302</w:t>
                  </w:r>
                </w:p>
              </w:tc>
              <w:tc>
                <w:tcPr>
                  <w:tcW w:type="dxa" w:w="899"/>
                  <w:tcMar>
                    <w:top w:type="dxa" w:w="70"/>
                    <w:left w:type="dxa" w:w="100"/>
                    <w:bottom w:type="dxa" w:w="70"/>
                    <w:right w:type="dxa" w:w="100"/>
                  </w:tcMar>
                  <w:vAlign w:val="center"/>
                </w:tcPr>
                <w:p>
                  <w:pPr>
                    <w:spacing w:after="0"/>
                  </w:pPr>
                  <w:r>
                    <w:rPr>
                      <w:sz w:val="18"/>
                      <w:szCs w:val="18"/>
                    </w:rPr>
                    <w:t xml:space="preserve">17.122</w:t>
                  </w:r>
                </w:p>
              </w:tc>
              <w:tc>
                <w:tcPr>
                  <w:tcW w:type="dxa" w:w="899"/>
                  <w:tcMar>
                    <w:top w:type="dxa" w:w="70"/>
                    <w:left w:type="dxa" w:w="100"/>
                    <w:bottom w:type="dxa" w:w="70"/>
                    <w:right w:type="dxa" w:w="100"/>
                  </w:tcMar>
                  <w:vAlign w:val="center"/>
                </w:tcPr>
                <w:p>
                  <w:pPr>
                    <w:spacing w:after="0"/>
                  </w:pPr>
                  <w:r>
                    <w:rPr>
                      <w:sz w:val="18"/>
                      <w:szCs w:val="18"/>
                    </w:rPr>
                    <w:t xml:space="preserve">18.201</w:t>
                  </w:r>
                </w:p>
              </w:tc>
              <w:tc>
                <w:tcPr>
                  <w:tcW w:type="dxa" w:w="899"/>
                  <w:tcMar>
                    <w:top w:type="dxa" w:w="70"/>
                    <w:left w:type="dxa" w:w="100"/>
                    <w:bottom w:type="dxa" w:w="70"/>
                    <w:right w:type="dxa" w:w="100"/>
                  </w:tcMar>
                  <w:vAlign w:val="center"/>
                </w:tcPr>
                <w:p>
                  <w:pPr>
                    <w:spacing w:after="0"/>
                  </w:pPr>
                  <w:r>
                    <w:rPr>
                      <w:sz w:val="18"/>
                      <w:szCs w:val="18"/>
                    </w:rPr>
                    <w:t xml:space="preserve">14.507</w:t>
                  </w:r>
                </w:p>
              </w:tc>
              <w:tc>
                <w:tcPr>
                  <w:tcW w:type="dxa" w:w="899"/>
                  <w:tcMar>
                    <w:top w:type="dxa" w:w="70"/>
                    <w:left w:type="dxa" w:w="100"/>
                    <w:bottom w:type="dxa" w:w="70"/>
                    <w:right w:type="dxa" w:w="100"/>
                  </w:tcMar>
                  <w:vAlign w:val="center"/>
                </w:tcPr>
                <w:p>
                  <w:pPr>
                    <w:spacing w:after="0"/>
                  </w:pPr>
                  <w:r>
                    <w:rPr>
                      <w:sz w:val="18"/>
                      <w:szCs w:val="18"/>
                    </w:rPr>
                    <w:t xml:space="preserve">16.545</w:t>
                  </w:r>
                </w:p>
              </w:tc>
              <w:tc>
                <w:tcPr>
                  <w:tcW w:type="dxa" w:w="905"/>
                  <w:tcMar>
                    <w:top w:type="dxa" w:w="70"/>
                    <w:left w:type="dxa" w:w="100"/>
                    <w:bottom w:type="dxa" w:w="70"/>
                    <w:right w:type="dxa" w:w="100"/>
                  </w:tcMar>
                  <w:vAlign w:val="center"/>
                </w:tcPr>
                <w:p>
                  <w:pPr>
                    <w:spacing w:after="0"/>
                  </w:pPr>
                  <w:r>
                    <w:rPr>
                      <w:sz w:val="18"/>
                      <w:szCs w:val="18"/>
                    </w:rPr>
                    <w:t xml:space="preserve">18.896</w:t>
                  </w:r>
                </w:p>
              </w:tc>
            </w:tr>
            <w:tr>
              <w:trPr>
                <w:cantSplit/>
                <w:tblHeader w:val="off"/>
              </w:trPr>
              <w:tc>
                <w:tcPr>
                  <w:tcW w:type="dxa" w:w="1626"/>
                  <w:tcMar>
                    <w:top w:type="dxa" w:w="70"/>
                    <w:left w:type="dxa" w:w="100"/>
                    <w:bottom w:type="dxa" w:w="70"/>
                    <w:right w:type="dxa" w:w="100"/>
                  </w:tcMar>
                  <w:vAlign w:val="center"/>
                </w:tcPr>
                <w:p>
                  <w:pPr>
                    <w:spacing w:after="0"/>
                  </w:pPr>
                  <w:r>
                    <w:rPr>
                      <w:sz w:val="18"/>
                      <w:szCs w:val="18"/>
                    </w:rPr>
                    <w:t xml:space="preserve">% de los egresos del año</w:t>
                  </w:r>
                </w:p>
              </w:tc>
              <w:tc>
                <w:tcPr>
                  <w:tcW w:type="dxa" w:w="899"/>
                  <w:tcMar>
                    <w:top w:type="dxa" w:w="70"/>
                    <w:left w:type="dxa" w:w="100"/>
                    <w:bottom w:type="dxa" w:w="70"/>
                    <w:right w:type="dxa" w:w="100"/>
                  </w:tcMar>
                  <w:vAlign w:val="center"/>
                </w:tcPr>
                <w:p>
                  <w:pPr>
                    <w:spacing w:after="0"/>
                  </w:pPr>
                  <w:r>
                    <w:rPr>
                      <w:sz w:val="18"/>
                      <w:szCs w:val="18"/>
                    </w:rPr>
                    <w:t xml:space="preserve">1,2 %</w:t>
                  </w:r>
                </w:p>
              </w:tc>
              <w:tc>
                <w:tcPr>
                  <w:tcW w:type="dxa" w:w="899"/>
                  <w:tcMar>
                    <w:top w:type="dxa" w:w="70"/>
                    <w:left w:type="dxa" w:w="100"/>
                    <w:bottom w:type="dxa" w:w="70"/>
                    <w:right w:type="dxa" w:w="100"/>
                  </w:tcMar>
                  <w:vAlign w:val="center"/>
                </w:tcPr>
                <w:p>
                  <w:pPr>
                    <w:spacing w:after="0"/>
                  </w:pPr>
                  <w:r>
                    <w:rPr>
                      <w:sz w:val="18"/>
                      <w:szCs w:val="18"/>
                    </w:rPr>
                    <w:t xml:space="preserve">2,2 %</w:t>
                  </w:r>
                </w:p>
              </w:tc>
              <w:tc>
                <w:tcPr>
                  <w:tcW w:type="dxa" w:w="899"/>
                  <w:tcMar>
                    <w:top w:type="dxa" w:w="70"/>
                    <w:left w:type="dxa" w:w="100"/>
                    <w:bottom w:type="dxa" w:w="70"/>
                    <w:right w:type="dxa" w:w="100"/>
                  </w:tcMar>
                  <w:vAlign w:val="center"/>
                </w:tcPr>
                <w:p>
                  <w:pPr>
                    <w:spacing w:after="0"/>
                  </w:pPr>
                  <w:r>
                    <w:rPr>
                      <w:sz w:val="18"/>
                      <w:szCs w:val="18"/>
                    </w:rPr>
                    <w:t xml:space="preserve">2,2 %</w:t>
                  </w:r>
                </w:p>
              </w:tc>
              <w:tc>
                <w:tcPr>
                  <w:tcW w:type="dxa" w:w="899"/>
                  <w:tcMar>
                    <w:top w:type="dxa" w:w="70"/>
                    <w:left w:type="dxa" w:w="100"/>
                    <w:bottom w:type="dxa" w:w="70"/>
                    <w:right w:type="dxa" w:w="100"/>
                  </w:tcMar>
                  <w:vAlign w:val="center"/>
                </w:tcPr>
                <w:p>
                  <w:pPr>
                    <w:spacing w:after="0"/>
                  </w:pPr>
                  <w:r>
                    <w:rPr>
                      <w:sz w:val="18"/>
                      <w:szCs w:val="18"/>
                    </w:rPr>
                    <w:t xml:space="preserve">1,6 %</w:t>
                  </w:r>
                </w:p>
              </w:tc>
              <w:tc>
                <w:tcPr>
                  <w:tcW w:type="dxa" w:w="899"/>
                  <w:tcMar>
                    <w:top w:type="dxa" w:w="70"/>
                    <w:left w:type="dxa" w:w="100"/>
                    <w:bottom w:type="dxa" w:w="70"/>
                    <w:right w:type="dxa" w:w="100"/>
                  </w:tcMar>
                  <w:vAlign w:val="center"/>
                </w:tcPr>
                <w:p>
                  <w:pPr>
                    <w:spacing w:after="0"/>
                  </w:pPr>
                  <w:r>
                    <w:rPr>
                      <w:sz w:val="18"/>
                      <w:szCs w:val="18"/>
                    </w:rPr>
                    <w:t xml:space="preserve">1,6 %</w:t>
                  </w:r>
                </w:p>
              </w:tc>
              <w:tc>
                <w:tcPr>
                  <w:tcW w:type="dxa" w:w="905"/>
                  <w:tcMar>
                    <w:top w:type="dxa" w:w="70"/>
                    <w:left w:type="dxa" w:w="100"/>
                    <w:bottom w:type="dxa" w:w="70"/>
                    <w:right w:type="dxa" w:w="100"/>
                  </w:tcMar>
                  <w:vAlign w:val="center"/>
                </w:tcPr>
                <w:p>
                  <w:pPr>
                    <w:spacing w:after="0"/>
                  </w:pPr>
                  <w:r>
                    <w:rPr>
                      <w:sz w:val="18"/>
                      <w:szCs w:val="18"/>
                    </w:rPr>
                    <w:t xml:space="preserve">1,7 %</w:t>
                  </w:r>
                </w:p>
              </w:tc>
            </w:tr>
            <w:tr>
              <w:trPr>
                <w:cantSplit/>
                <w:tblHeader w:val="off"/>
              </w:trPr>
              <w:tc>
                <w:tcPr>
                  <w:tcW w:type="dxa" w:w="1626"/>
                  <w:tcMar>
                    <w:top w:type="dxa" w:w="70"/>
                    <w:left w:type="dxa" w:w="100"/>
                    <w:bottom w:type="dxa" w:w="70"/>
                    <w:right w:type="dxa" w:w="100"/>
                  </w:tcMar>
                  <w:vAlign w:val="center"/>
                </w:tcPr>
                <w:p>
                  <w:pPr>
                    <w:spacing w:after="0"/>
                  </w:pPr>
                  <w:r>
                    <w:rPr>
                      <w:sz w:val="18"/>
                      <w:szCs w:val="18"/>
                    </w:rPr>
                    <w:t xml:space="preserve">Derivados a otro hospital con continuación visible</w:t>
                  </w:r>
                </w:p>
              </w:tc>
              <w:tc>
                <w:tcPr>
                  <w:tcW w:type="dxa" w:w="899"/>
                  <w:tcMar>
                    <w:top w:type="dxa" w:w="70"/>
                    <w:left w:type="dxa" w:w="100"/>
                    <w:bottom w:type="dxa" w:w="70"/>
                    <w:right w:type="dxa" w:w="100"/>
                  </w:tcMar>
                  <w:vAlign w:val="center"/>
                </w:tcPr>
                <w:p>
                  <w:pPr>
                    <w:spacing w:after="0"/>
                  </w:pPr>
                  <w:r>
                    <w:rPr>
                      <w:sz w:val="18"/>
                      <w:szCs w:val="18"/>
                    </w:rPr>
                    <w:t xml:space="preserve">47,7 %</w:t>
                  </w:r>
                </w:p>
              </w:tc>
              <w:tc>
                <w:tcPr>
                  <w:tcW w:type="dxa" w:w="899"/>
                  <w:tcMar>
                    <w:top w:type="dxa" w:w="70"/>
                    <w:left w:type="dxa" w:w="100"/>
                    <w:bottom w:type="dxa" w:w="70"/>
                    <w:right w:type="dxa" w:w="100"/>
                  </w:tcMar>
                  <w:vAlign w:val="center"/>
                </w:tcPr>
                <w:p>
                  <w:pPr>
                    <w:spacing w:after="0"/>
                  </w:pPr>
                  <w:r>
                    <w:rPr>
                      <w:sz w:val="18"/>
                      <w:szCs w:val="18"/>
                    </w:rPr>
                    <w:t xml:space="preserve">44,0 %</w:t>
                  </w:r>
                </w:p>
              </w:tc>
              <w:tc>
                <w:tcPr>
                  <w:tcW w:type="dxa" w:w="899"/>
                  <w:tcMar>
                    <w:top w:type="dxa" w:w="70"/>
                    <w:left w:type="dxa" w:w="100"/>
                    <w:bottom w:type="dxa" w:w="70"/>
                    <w:right w:type="dxa" w:w="100"/>
                  </w:tcMar>
                  <w:vAlign w:val="center"/>
                </w:tcPr>
                <w:p>
                  <w:pPr>
                    <w:spacing w:after="0"/>
                  </w:pPr>
                  <w:r>
                    <w:rPr>
                      <w:sz w:val="18"/>
                      <w:szCs w:val="18"/>
                    </w:rPr>
                    <w:t xml:space="preserve">48,0 %</w:t>
                  </w:r>
                </w:p>
              </w:tc>
              <w:tc>
                <w:tcPr>
                  <w:tcW w:type="dxa" w:w="899"/>
                  <w:tcMar>
                    <w:top w:type="dxa" w:w="70"/>
                    <w:left w:type="dxa" w:w="100"/>
                    <w:bottom w:type="dxa" w:w="70"/>
                    <w:right w:type="dxa" w:w="100"/>
                  </w:tcMar>
                  <w:vAlign w:val="center"/>
                </w:tcPr>
                <w:p>
                  <w:pPr>
                    <w:spacing w:after="0"/>
                  </w:pPr>
                  <w:r>
                    <w:rPr>
                      <w:sz w:val="18"/>
                      <w:szCs w:val="18"/>
                    </w:rPr>
                    <w:t xml:space="preserve">51,6 %</w:t>
                  </w:r>
                </w:p>
              </w:tc>
              <w:tc>
                <w:tcPr>
                  <w:tcW w:type="dxa" w:w="899"/>
                  <w:tcMar>
                    <w:top w:type="dxa" w:w="70"/>
                    <w:left w:type="dxa" w:w="100"/>
                    <w:bottom w:type="dxa" w:w="70"/>
                    <w:right w:type="dxa" w:w="100"/>
                  </w:tcMar>
                  <w:vAlign w:val="center"/>
                </w:tcPr>
                <w:p>
                  <w:pPr>
                    <w:spacing w:after="0"/>
                  </w:pPr>
                  <w:r>
                    <w:rPr>
                      <w:sz w:val="18"/>
                      <w:szCs w:val="18"/>
                    </w:rPr>
                    <w:t xml:space="preserve">54,6 %</w:t>
                  </w:r>
                </w:p>
              </w:tc>
              <w:tc>
                <w:tcPr>
                  <w:tcW w:type="dxa" w:w="905"/>
                  <w:tcMar>
                    <w:top w:type="dxa" w:w="70"/>
                    <w:left w:type="dxa" w:w="100"/>
                    <w:bottom w:type="dxa" w:w="70"/>
                    <w:right w:type="dxa" w:w="100"/>
                  </w:tcMar>
                  <w:vAlign w:val="center"/>
                </w:tcPr>
                <w:p>
                  <w:pPr>
                    <w:spacing w:after="0"/>
                  </w:pPr>
                  <w:r>
                    <w:rPr>
                      <w:sz w:val="18"/>
                      <w:szCs w:val="18"/>
                    </w:rPr>
                    <w:t xml:space="preserve">54,3 %</w:t>
                  </w:r>
                </w:p>
              </w:tc>
            </w:tr>
            <w:tr>
              <w:trPr>
                <w:cantSplit/>
                <w:tblHeader w:val="off"/>
              </w:trPr>
              <w:tc>
                <w:tcPr>
                  <w:tcW w:type="dxa" w:w="1626"/>
                  <w:tcMar>
                    <w:top w:type="dxa" w:w="70"/>
                    <w:left w:type="dxa" w:w="100"/>
                    <w:bottom w:type="dxa" w:w="70"/>
                    <w:right w:type="dxa" w:w="100"/>
                  </w:tcMar>
                  <w:vAlign w:val="center"/>
                </w:tcPr>
                <w:p>
                  <w:pPr>
                    <w:spacing w:after="0"/>
                  </w:pPr>
                  <w:r>
                    <w:rPr>
                      <w:sz w:val="18"/>
                      <w:szCs w:val="18"/>
                    </w:rPr>
                    <w:t xml:space="preserve">Lo mismo, en los 65 hospitales presentes todos los años</w:t>
                  </w:r>
                </w:p>
              </w:tc>
              <w:tc>
                <w:tcPr>
                  <w:tcW w:type="dxa" w:w="899"/>
                  <w:tcMar>
                    <w:top w:type="dxa" w:w="70"/>
                    <w:left w:type="dxa" w:w="100"/>
                    <w:bottom w:type="dxa" w:w="70"/>
                    <w:right w:type="dxa" w:w="100"/>
                  </w:tcMar>
                  <w:vAlign w:val="center"/>
                </w:tcPr>
                <w:p>
                  <w:pPr>
                    <w:spacing w:after="0"/>
                  </w:pPr>
                  <w:r>
                    <w:rPr>
                      <w:sz w:val="18"/>
                      <w:szCs w:val="18"/>
                    </w:rPr>
                    <w:t xml:space="preserve">47,7 %</w:t>
                  </w:r>
                </w:p>
              </w:tc>
              <w:tc>
                <w:tcPr>
                  <w:tcW w:type="dxa" w:w="899"/>
                  <w:tcMar>
                    <w:top w:type="dxa" w:w="70"/>
                    <w:left w:type="dxa" w:w="100"/>
                    <w:bottom w:type="dxa" w:w="70"/>
                    <w:right w:type="dxa" w:w="100"/>
                  </w:tcMar>
                  <w:vAlign w:val="center"/>
                </w:tcPr>
                <w:p>
                  <w:pPr>
                    <w:spacing w:after="0"/>
                  </w:pPr>
                  <w:r>
                    <w:rPr>
                      <w:sz w:val="18"/>
                      <w:szCs w:val="18"/>
                    </w:rPr>
                    <w:t xml:space="preserve">44,0 %</w:t>
                  </w:r>
                </w:p>
              </w:tc>
              <w:tc>
                <w:tcPr>
                  <w:tcW w:type="dxa" w:w="899"/>
                  <w:tcMar>
                    <w:top w:type="dxa" w:w="70"/>
                    <w:left w:type="dxa" w:w="100"/>
                    <w:bottom w:type="dxa" w:w="70"/>
                    <w:right w:type="dxa" w:w="100"/>
                  </w:tcMar>
                  <w:vAlign w:val="center"/>
                </w:tcPr>
                <w:p>
                  <w:pPr>
                    <w:spacing w:after="0"/>
                  </w:pPr>
                  <w:r>
                    <w:rPr>
                      <w:sz w:val="18"/>
                      <w:szCs w:val="18"/>
                    </w:rPr>
                    <w:t xml:space="preserve">48,0 %</w:t>
                  </w:r>
                </w:p>
              </w:tc>
              <w:tc>
                <w:tcPr>
                  <w:tcW w:type="dxa" w:w="899"/>
                  <w:tcMar>
                    <w:top w:type="dxa" w:w="70"/>
                    <w:left w:type="dxa" w:w="100"/>
                    <w:bottom w:type="dxa" w:w="70"/>
                    <w:right w:type="dxa" w:w="100"/>
                  </w:tcMar>
                  <w:vAlign w:val="center"/>
                </w:tcPr>
                <w:p>
                  <w:pPr>
                    <w:spacing w:after="0"/>
                  </w:pPr>
                  <w:r>
                    <w:rPr>
                      <w:sz w:val="18"/>
                      <w:szCs w:val="18"/>
                    </w:rPr>
                    <w:t xml:space="preserve">51,6 %</w:t>
                  </w:r>
                </w:p>
              </w:tc>
              <w:tc>
                <w:tcPr>
                  <w:tcW w:type="dxa" w:w="899"/>
                  <w:tcMar>
                    <w:top w:type="dxa" w:w="70"/>
                    <w:left w:type="dxa" w:w="100"/>
                    <w:bottom w:type="dxa" w:w="70"/>
                    <w:right w:type="dxa" w:w="100"/>
                  </w:tcMar>
                  <w:vAlign w:val="center"/>
                </w:tcPr>
                <w:p>
                  <w:pPr>
                    <w:spacing w:after="0"/>
                  </w:pPr>
                  <w:r>
                    <w:rPr>
                      <w:sz w:val="18"/>
                      <w:szCs w:val="18"/>
                    </w:rPr>
                    <w:t xml:space="preserve">54,2 %</w:t>
                  </w:r>
                </w:p>
              </w:tc>
              <w:tc>
                <w:tcPr>
                  <w:tcW w:type="dxa" w:w="905"/>
                  <w:tcMar>
                    <w:top w:type="dxa" w:w="70"/>
                    <w:left w:type="dxa" w:w="100"/>
                    <w:bottom w:type="dxa" w:w="70"/>
                    <w:right w:type="dxa" w:w="100"/>
                  </w:tcMar>
                  <w:vAlign w:val="center"/>
                </w:tcPr>
                <w:p>
                  <w:pPr>
                    <w:spacing w:after="0"/>
                  </w:pPr>
                  <w:r>
                    <w:rPr>
                      <w:sz w:val="18"/>
                      <w:szCs w:val="18"/>
                    </w:rPr>
                    <w:t xml:space="preserve">52,8 %</w:t>
                  </w:r>
                </w:p>
              </w:tc>
            </w:tr>
          </w:tbl>
          <w:p>
            <w:pPr>
              <w:spacing w:after="0"/>
            </w:pP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Por hospital</w:t>
            </w:r>
          </w:p>
        </w:tc>
        <w:tc>
          <w:tcPr>
            <w:tcW w:type="dxa" w:w="7226"/>
            <w:tcMar>
              <w:top w:type="dxa" w:w="70"/>
              <w:left w:type="dxa" w:w="100"/>
              <w:bottom w:type="dxa" w:w="70"/>
              <w:right w:type="dxa" w:w="100"/>
            </w:tcMar>
          </w:tcPr>
          <w:p>
            <w:pPr>
              <w:keepNext/>
              <w:spacing w:after="0" w:before="0"/>
            </w:pPr>
            <w:r>
              <w:rPr>
                <w:sz w:val="20"/>
                <w:szCs w:val="20"/>
              </w:rPr>
              <w:t xml:space="preserve">La proporción de derivados con continuación visible va de 15,9 % a 92,9 % según el hospital (mediana 60,0 %): depende de si el hospital de destino informa a la base.</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Cobertura</w:t>
            </w:r>
          </w:p>
        </w:tc>
        <w:tc>
          <w:tcPr>
            <w:tcW w:type="dxa" w:w="7226"/>
            <w:tcMar>
              <w:top w:type="dxa" w:w="70"/>
              <w:left w:type="dxa" w:w="100"/>
              <w:bottom w:type="dxa" w:w="70"/>
              <w:right w:type="dxa" w:w="100"/>
            </w:tcMar>
          </w:tcPr>
          <w:p>
            <w:pPr>
              <w:keepNext/>
              <w:spacing w:after="0" w:before="0"/>
            </w:pPr>
            <w:r>
              <w:rPr>
                <w:sz w:val="20"/>
                <w:szCs w:val="20"/>
              </w:rPr>
              <w:t xml:space="preserve">La continuación visible sube desde 2022, también en los 65 hospitales presentes todos los años. Hay un cambio de cobertura moderado, que debe declararse.</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Evidencia</w:t>
            </w:r>
          </w:p>
        </w:tc>
        <w:tc>
          <w:tcPr>
            <w:tcW w:type="dxa" w:w="7226"/>
            <w:tcMar>
              <w:top w:type="dxa" w:w="70"/>
              <w:left w:type="dxa" w:w="100"/>
              <w:bottom w:type="dxa" w:w="70"/>
              <w:right w:type="dxa" w:w="100"/>
            </w:tcMar>
          </w:tcPr>
          <w:p>
            <w:pPr>
              <w:keepNext w:val="false"/>
              <w:spacing w:after="0" w:before="0"/>
            </w:pPr>
            <w:r>
              <w:rPr>
                <w:rFonts w:ascii="Consolas" w:cs="Consolas" w:eastAsia="Consolas" w:hAnsi="Consolas"/>
                <w:sz w:val="18"/>
                <w:szCs w:val="18"/>
                <w:shd w:fill="F2F2F2" w:color="auto" w:val="clear"/>
              </w:rPr>
              <w:t xml:space="preserve">2.2_depuracion_etiquetado/reportes/08_depuracion.md</w:t>
            </w:r>
            <w:r>
              <w:rPr>
                <w:sz w:val="20"/>
                <w:szCs w:val="20"/>
              </w:rPr>
              <w:t xml:space="preserve">, sección 4 y anexo; </w:t>
            </w:r>
            <w:r>
              <w:rPr>
                <w:rFonts w:ascii="Consolas" w:cs="Consolas" w:eastAsia="Consolas" w:hAnsi="Consolas"/>
                <w:sz w:val="18"/>
                <w:szCs w:val="18"/>
                <w:shd w:fill="F2F2F2" w:color="auto" w:val="clear"/>
              </w:rPr>
              <w:t xml:space="preserve">2.2_depuracion_etiquetado/reportes/08_derivaciones_por_hospital.csv</w:t>
            </w:r>
            <w:r>
              <w:rPr>
                <w:sz w:val="20"/>
                <w:szCs w:val="20"/>
              </w:rPr>
              <w:t xml:space="preserve">.</w:t>
            </w:r>
          </w:p>
        </w:tc>
      </w:tr>
    </w:tbl>
    <w:p>
      <w:pPr>
        <w:pStyle w:val="Heading2"/>
      </w:pPr>
      <w:bookmarkStart w:name="E_H24" w:id="25"/>
      <w:r>
        <w:rPr>
          <w:color w:val="2E75B6"/>
        </w:rPr>
        <w:t xml:space="preserve">H24</w:t>
      </w:r>
      <w:bookmarkEnd w:id="25"/>
      <w:r>
        <w:t xml:space="preserve"> · Tasas por hospital y aumento de la tasa en 2023 y 2024</w:t>
      </w:r>
    </w:p>
    <w:p>
      <w:pPr>
        <w:keepNext/>
        <w:spacing w:after="100"/>
      </w:pPr>
      <w:r>
        <w:rPr>
          <w:b/>
          <w:bCs/>
          <w:color w:val="2E75B6"/>
          <w:sz w:val="18"/>
          <w:szCs w:val="18"/>
        </w:rPr>
        <w:t xml:space="preserve">Hallazgo</w:t>
      </w:r>
      <w:r>
        <w:rPr>
          <w:color w:val="808080"/>
          <w:sz w:val="18"/>
          <w:szCs w:val="18"/>
        </w:rPr>
        <w:t xml:space="preserve">  ·  8 de octubre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2.2</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Hallazgo</w:t>
            </w:r>
          </w:p>
        </w:tc>
        <w:tc>
          <w:tcPr>
            <w:tcW w:type="dxa" w:w="7226"/>
            <w:tcMar>
              <w:top w:type="dxa" w:w="70"/>
              <w:left w:type="dxa" w:w="100"/>
              <w:bottom w:type="dxa" w:w="70"/>
              <w:right w:type="dxa" w:w="100"/>
            </w:tcMar>
          </w:tcPr>
          <w:p>
            <w:pPr>
              <w:keepNext/>
              <w:spacing w:after="0" w:before="0"/>
            </w:pPr>
            <w:r>
              <w:rPr>
                <w:sz w:val="20"/>
                <w:szCs w:val="20"/>
              </w:rPr>
              <w:t xml:space="preserve">La tasa de reingreso a 30 días por cualquier causa va de 3,01 % a 14,28 % entre los 72 hospitales (mediana 5,95 %; la mitad central, entre 5,27 % y 6,73 %). Por año es 5,70 %, 5,66 %, 5,62 %, 5,77 %, 6,14 % y 6,45 %: sube en 2023 y 2024.</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No se debe a los hospitales incorporados</w:t>
            </w:r>
          </w:p>
        </w:tc>
        <w:tc>
          <w:tcPr>
            <w:tcW w:type="dxa" w:w="7226"/>
            <w:tcMar>
              <w:top w:type="dxa" w:w="70"/>
              <w:left w:type="dxa" w:w="100"/>
              <w:bottom w:type="dxa" w:w="70"/>
              <w:right w:type="dxa" w:w="100"/>
            </w:tcMar>
          </w:tcPr>
          <w:p>
            <w:pPr>
              <w:keepNext/>
              <w:spacing w:after="0" w:before="0"/>
            </w:pPr>
            <w:r>
              <w:rPr>
                <w:sz w:val="20"/>
                <w:szCs w:val="20"/>
              </w:rPr>
              <w:t xml:space="preserve">En los 65 hospitales presentes todos los años, la tasa también sube (6,13 % en 2023 y 6,36 % en 2024), y sin contar los reingresos que ocurren en un hospital incorporado después queda en 6,11 % y 6,31 %. La incorporación de hospitales (H05) explica entre 0,02 y 0,05 puntos. Los 7 hospitales incorporados tienen tasas más altas (7,71 % y 9,31 %), pero pocos casos de estudio (8.915 en 2023 y 21.206 en 2024).</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Composición</w:t>
            </w:r>
          </w:p>
        </w:tc>
        <w:tc>
          <w:tcPr>
            <w:tcW w:type="dxa" w:w="7226"/>
            <w:tcMar>
              <w:top w:type="dxa" w:w="70"/>
              <w:left w:type="dxa" w:w="100"/>
              <w:bottom w:type="dxa" w:w="70"/>
              <w:right w:type="dxa" w:w="100"/>
            </w:tcMar>
          </w:tcPr>
          <w:p>
            <w:pPr>
              <w:keepNext/>
              <w:spacing w:after="0" w:before="0"/>
            </w:pPr>
            <w:r>
              <w:rPr>
                <w:sz w:val="20"/>
                <w:szCs w:val="20"/>
              </w:rPr>
              <w:t xml:space="preserve">Entre 2019 y 2024, los casos de estudio de 65 años o más pasan de 22,1 % a 25,8 % y los de ingreso obstétrico, de 21,7 % a 18,2 %. La tasa sube además dentro de cada tipo de ingreso: en urgencia, de 7,39 % a 7,85 % (exploración del 8 de octubre de 2026).</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Consecuencia</w:t>
            </w:r>
          </w:p>
        </w:tc>
        <w:tc>
          <w:tcPr>
            <w:tcW w:type="dxa" w:w="7226"/>
            <w:tcMar>
              <w:top w:type="dxa" w:w="70"/>
              <w:left w:type="dxa" w:w="100"/>
              <w:bottom w:type="dxa" w:w="70"/>
              <w:right w:type="dxa" w:w="100"/>
            </w:tcMar>
          </w:tcPr>
          <w:p>
            <w:pPr>
              <w:keepNext/>
              <w:spacing w:after="0" w:before="0"/>
            </w:pPr>
            <w:r>
              <w:rPr>
                <w:sz w:val="20"/>
                <w:szCs w:val="20"/>
              </w:rPr>
              <w:t xml:space="preserve">Es un cambio real en el tiempo. Una partición aleatoria no mide por sí sola cómo generaliza un modelo frente a ese cambio: respalda la evaluación temporal complementaria que pide el profesor guía.</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Completa a</w:t>
            </w:r>
          </w:p>
        </w:tc>
        <w:tc>
          <w:tcPr>
            <w:tcW w:type="dxa" w:w="7226"/>
            <w:tcMar>
              <w:top w:type="dxa" w:w="70"/>
              <w:left w:type="dxa" w:w="100"/>
              <w:bottom w:type="dxa" w:w="70"/>
              <w:right w:type="dxa" w:w="100"/>
            </w:tcMar>
          </w:tcPr>
          <w:p>
            <w:pPr>
              <w:keepNext/>
              <w:spacing w:after="0" w:before="0"/>
            </w:pPr>
            <w:r>
              <w:rPr>
                <w:sz w:val="20"/>
                <w:szCs w:val="20"/>
              </w:rPr>
              <w:t xml:space="preserve">H05 de </w:t>
            </w:r>
            <w:r>
              <w:rPr>
                <w:rFonts w:ascii="Consolas" w:cs="Consolas" w:eastAsia="Consolas" w:hAnsi="Consolas"/>
                <w:sz w:val="18"/>
                <w:szCs w:val="18"/>
                <w:shd w:fill="F2F2F2" w:color="auto" w:val="clear"/>
              </w:rPr>
              <w:t xml:space="preserve">docs/bitacora.md</w:t>
            </w:r>
            <w:r>
              <w:rPr>
                <w:sz w:val="20"/>
                <w:szCs w:val="20"/>
              </w:rPr>
              <w:t xml:space="preserve">.</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Completado por</w:t>
            </w:r>
          </w:p>
        </w:tc>
        <w:tc>
          <w:tcPr>
            <w:tcW w:type="dxa" w:w="7226"/>
            <w:tcMar>
              <w:top w:type="dxa" w:w="70"/>
              <w:left w:type="dxa" w:w="100"/>
              <w:bottom w:type="dxa" w:w="70"/>
              <w:right w:type="dxa" w:w="100"/>
            </w:tcMar>
          </w:tcPr>
          <w:p>
            <w:pPr>
              <w:keepNext/>
              <w:spacing w:after="0" w:before="0"/>
            </w:pPr>
            <w:hyperlink w:history="1" w:anchor="E_H28">
              <w:r>
                <w:rPr>
                  <w:color w:val="0563C1"/>
                  <w:sz w:val="20"/>
                  <w:szCs w:val="20"/>
                  <w:u w:val="single"/>
                </w:rPr>
                <w:t xml:space="preserve">H28</w:t>
              </w:r>
            </w:hyperlink>
            <w:r>
              <w:rPr>
                <w:sz w:val="20"/>
                <w:szCs w:val="20"/>
              </w:rPr>
              <w:t xml:space="preserve">, del 20 de octubre de 2026: la calidad del identificador tampoco explica el aumento.</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Evidencia</w:t>
            </w:r>
          </w:p>
        </w:tc>
        <w:tc>
          <w:tcPr>
            <w:tcW w:type="dxa" w:w="7226"/>
            <w:tcMar>
              <w:top w:type="dxa" w:w="70"/>
              <w:left w:type="dxa" w:w="100"/>
              <w:bottom w:type="dxa" w:w="70"/>
              <w:right w:type="dxa" w:w="100"/>
            </w:tcMar>
          </w:tcPr>
          <w:p>
            <w:pPr>
              <w:keepNext w:val="false"/>
              <w:spacing w:after="0" w:before="0"/>
            </w:pPr>
            <w:r>
              <w:rPr>
                <w:rFonts w:ascii="Consolas" w:cs="Consolas" w:eastAsia="Consolas" w:hAnsi="Consolas"/>
                <w:sz w:val="18"/>
                <w:szCs w:val="18"/>
                <w:shd w:fill="F2F2F2" w:color="auto" w:val="clear"/>
              </w:rPr>
              <w:t xml:space="preserve">2.2_depuracion_etiquetado/reportes/09_etiquetado.md</w:t>
            </w:r>
            <w:r>
              <w:rPr>
                <w:sz w:val="20"/>
                <w:szCs w:val="20"/>
              </w:rPr>
              <w:t xml:space="preserve">, secciones 2 y 7 y anexo; </w:t>
            </w:r>
            <w:r>
              <w:rPr>
                <w:rFonts w:ascii="Consolas" w:cs="Consolas" w:eastAsia="Consolas" w:hAnsi="Consolas"/>
                <w:sz w:val="18"/>
                <w:szCs w:val="18"/>
                <w:shd w:fill="F2F2F2" w:color="auto" w:val="clear"/>
              </w:rPr>
              <w:t xml:space="preserve">2.2_depuracion_etiquetado/reportes/09_tasas_por_hospital.csv</w:t>
            </w:r>
            <w:r>
              <w:rPr>
                <w:sz w:val="20"/>
                <w:szCs w:val="20"/>
              </w:rPr>
              <w:t xml:space="preserve">.</w:t>
            </w:r>
          </w:p>
        </w:tc>
      </w:tr>
    </w:tbl>
    <w:p>
      <w:pPr>
        <w:pStyle w:val="Heading2"/>
      </w:pPr>
      <w:bookmarkStart w:name="E_H25" w:id="26"/>
      <w:r>
        <w:rPr>
          <w:color w:val="2E75B6"/>
        </w:rPr>
        <w:t xml:space="preserve">H25</w:t>
      </w:r>
      <w:bookmarkEnd w:id="26"/>
      <w:r>
        <w:t xml:space="preserve"> · Análisis de sensibilidad de las decisiones</w:t>
      </w:r>
    </w:p>
    <w:p>
      <w:pPr>
        <w:keepNext/>
        <w:spacing w:after="100"/>
      </w:pPr>
      <w:r>
        <w:rPr>
          <w:b/>
          <w:bCs/>
          <w:color w:val="2E75B6"/>
          <w:sz w:val="18"/>
          <w:szCs w:val="18"/>
        </w:rPr>
        <w:t xml:space="preserve">Hallazgo</w:t>
      </w:r>
      <w:r>
        <w:rPr>
          <w:color w:val="808080"/>
          <w:sz w:val="18"/>
          <w:szCs w:val="18"/>
        </w:rPr>
        <w:t xml:space="preserve">  ·  8 de octubre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2.2</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Hallazgo</w:t>
            </w:r>
          </w:p>
        </w:tc>
        <w:tc>
          <w:tcPr>
            <w:tcW w:type="dxa" w:w="7226"/>
            <w:tcMar>
              <w:top w:type="dxa" w:w="70"/>
              <w:left w:type="dxa" w:w="100"/>
              <w:bottom w:type="dxa" w:w="70"/>
              <w:right w:type="dxa" w:w="100"/>
            </w:tcMar>
          </w:tcPr>
          <w:p>
            <w:pPr>
              <w:keepNext/>
              <w:spacing w:after="80" w:before="0"/>
            </w:pPr>
            <w:r>
              <w:rPr>
                <w:sz w:val="20"/>
                <w:szCs w:val="20"/>
              </w:rPr>
              <w:t xml:space="preserve">Cada fila cambia una sola decisión y vuelve a calcular las cuatro variables con las mismas funciones de los scripts 08 y 09.</w:t>
            </w:r>
          </w:p>
          <w:tbl>
            <w:tblPr>
              <w:tblW w:type="dxa" w:w="7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235"/>
              <w:gridCol w:w="1041"/>
              <w:gridCol w:w="944"/>
              <w:gridCol w:w="1332"/>
              <w:gridCol w:w="1041"/>
              <w:gridCol w:w="1433"/>
            </w:tblGrid>
            <w:tr>
              <w:trPr>
                <w:cantSplit/>
                <w:tblHeader/>
              </w:trPr>
              <w:tc>
                <w:tcPr>
                  <w:tcW w:type="dxa" w:w="1235"/>
                  <w:shd w:fill="D9E2F3" w:color="auto" w:val="clear"/>
                  <w:tcMar>
                    <w:top w:type="dxa" w:w="70"/>
                    <w:left w:type="dxa" w:w="100"/>
                    <w:bottom w:type="dxa" w:w="70"/>
                    <w:right w:type="dxa" w:w="100"/>
                  </w:tcMar>
                  <w:vAlign w:val="center"/>
                </w:tcPr>
                <w:p>
                  <w:pPr>
                    <w:spacing w:after="0"/>
                  </w:pPr>
                  <w:r>
                    <w:rPr>
                      <w:b/>
                      <w:bCs/>
                      <w:sz w:val="18"/>
                      <w:szCs w:val="18"/>
                    </w:rPr>
                    <w:t xml:space="preserve">Escenario</w:t>
                  </w:r>
                </w:p>
              </w:tc>
              <w:tc>
                <w:tcPr>
                  <w:tcW w:type="dxa" w:w="1041"/>
                  <w:shd w:fill="D9E2F3" w:color="auto" w:val="clear"/>
                  <w:tcMar>
                    <w:top w:type="dxa" w:w="70"/>
                    <w:left w:type="dxa" w:w="100"/>
                    <w:bottom w:type="dxa" w:w="70"/>
                    <w:right w:type="dxa" w:w="100"/>
                  </w:tcMar>
                  <w:vAlign w:val="center"/>
                </w:tcPr>
                <w:p>
                  <w:pPr>
                    <w:spacing w:after="0"/>
                  </w:pPr>
                  <w:r>
                    <w:rPr>
                      <w:b/>
                      <w:bCs/>
                      <w:sz w:val="18"/>
                      <w:szCs w:val="18"/>
                    </w:rPr>
                    <w:t xml:space="preserve">Casos de estudio</w:t>
                  </w:r>
                </w:p>
              </w:tc>
              <w:tc>
                <w:tcPr>
                  <w:tcW w:type="dxa" w:w="944"/>
                  <w:shd w:fill="D9E2F3" w:color="auto" w:val="clear"/>
                  <w:tcMar>
                    <w:top w:type="dxa" w:w="70"/>
                    <w:left w:type="dxa" w:w="100"/>
                    <w:bottom w:type="dxa" w:w="70"/>
                    <w:right w:type="dxa" w:w="100"/>
                  </w:tcMar>
                  <w:vAlign w:val="center"/>
                </w:tcPr>
                <w:p>
                  <w:pPr>
                    <w:spacing w:after="0"/>
                  </w:pPr>
                  <w:r>
                    <w:rPr>
                      <w:rFonts w:ascii="Consolas" w:cs="Consolas" w:eastAsia="Consolas" w:hAnsi="Consolas"/>
                      <w:b/>
                      <w:bCs/>
                      <w:sz w:val="16"/>
                      <w:szCs w:val="16"/>
                      <w:shd w:fill="F2F2F2" w:color="auto" w:val="clear"/>
                    </w:rPr>
                    <w:t xml:space="preserve">REING_7D</w:t>
                  </w:r>
                </w:p>
              </w:tc>
              <w:tc>
                <w:tcPr>
                  <w:tcW w:type="dxa" w:w="1332"/>
                  <w:shd w:fill="D9E2F3" w:color="auto" w:val="clear"/>
                  <w:tcMar>
                    <w:top w:type="dxa" w:w="70"/>
                    <w:left w:type="dxa" w:w="100"/>
                    <w:bottom w:type="dxa" w:w="70"/>
                    <w:right w:type="dxa" w:w="100"/>
                  </w:tcMar>
                  <w:vAlign w:val="center"/>
                </w:tcPr>
                <w:p>
                  <w:pPr>
                    <w:spacing w:after="0"/>
                  </w:pPr>
                  <w:r>
                    <w:rPr>
                      <w:rFonts w:ascii="Consolas" w:cs="Consolas" w:eastAsia="Consolas" w:hAnsi="Consolas"/>
                      <w:b/>
                      <w:bCs/>
                      <w:sz w:val="16"/>
                      <w:szCs w:val="16"/>
                      <w:shd w:fill="F2F2F2" w:color="auto" w:val="clear"/>
                    </w:rPr>
                    <w:t xml:space="preserve">REING_7D_CDM</w:t>
                  </w:r>
                </w:p>
              </w:tc>
              <w:tc>
                <w:tcPr>
                  <w:tcW w:type="dxa" w:w="1041"/>
                  <w:shd w:fill="D9E2F3" w:color="auto" w:val="clear"/>
                  <w:tcMar>
                    <w:top w:type="dxa" w:w="70"/>
                    <w:left w:type="dxa" w:w="100"/>
                    <w:bottom w:type="dxa" w:w="70"/>
                    <w:right w:type="dxa" w:w="100"/>
                  </w:tcMar>
                  <w:vAlign w:val="center"/>
                </w:tcPr>
                <w:p>
                  <w:pPr>
                    <w:spacing w:after="0"/>
                  </w:pPr>
                  <w:r>
                    <w:rPr>
                      <w:rFonts w:ascii="Consolas" w:cs="Consolas" w:eastAsia="Consolas" w:hAnsi="Consolas"/>
                      <w:b/>
                      <w:bCs/>
                      <w:sz w:val="16"/>
                      <w:szCs w:val="16"/>
                      <w:shd w:fill="F2F2F2" w:color="auto" w:val="clear"/>
                    </w:rPr>
                    <w:t xml:space="preserve">REING_30D</w:t>
                  </w:r>
                </w:p>
              </w:tc>
              <w:tc>
                <w:tcPr>
                  <w:tcW w:type="dxa" w:w="1433"/>
                  <w:shd w:fill="D9E2F3" w:color="auto" w:val="clear"/>
                  <w:tcMar>
                    <w:top w:type="dxa" w:w="70"/>
                    <w:left w:type="dxa" w:w="100"/>
                    <w:bottom w:type="dxa" w:w="70"/>
                    <w:right w:type="dxa" w:w="100"/>
                  </w:tcMar>
                  <w:vAlign w:val="center"/>
                </w:tcPr>
                <w:p>
                  <w:pPr>
                    <w:spacing w:after="0"/>
                  </w:pPr>
                  <w:r>
                    <w:rPr>
                      <w:rFonts w:ascii="Consolas" w:cs="Consolas" w:eastAsia="Consolas" w:hAnsi="Consolas"/>
                      <w:b/>
                      <w:bCs/>
                      <w:sz w:val="16"/>
                      <w:szCs w:val="16"/>
                      <w:shd w:fill="F2F2F2" w:color="auto" w:val="clear"/>
                    </w:rPr>
                    <w:t xml:space="preserve">REING_30D_CDM</w:t>
                  </w:r>
                </w:p>
              </w:tc>
            </w:tr>
            <w:tr>
              <w:trPr>
                <w:cantSplit/>
                <w:tblHeader w:val="off"/>
              </w:trPr>
              <w:tc>
                <w:tcPr>
                  <w:tcW w:type="dxa" w:w="1235"/>
                  <w:tcMar>
                    <w:top w:type="dxa" w:w="70"/>
                    <w:left w:type="dxa" w:w="100"/>
                    <w:bottom w:type="dxa" w:w="70"/>
                    <w:right w:type="dxa" w:w="100"/>
                  </w:tcMar>
                  <w:vAlign w:val="center"/>
                </w:tcPr>
                <w:p>
                  <w:pPr>
                    <w:spacing w:after="0"/>
                  </w:pPr>
                  <w:r>
                    <w:rPr>
                      <w:sz w:val="18"/>
                      <w:szCs w:val="18"/>
                    </w:rPr>
                    <w:t xml:space="preserve">Análisis principal</w:t>
                  </w:r>
                </w:p>
              </w:tc>
              <w:tc>
                <w:tcPr>
                  <w:tcW w:type="dxa" w:w="1041"/>
                  <w:tcMar>
                    <w:top w:type="dxa" w:w="70"/>
                    <w:left w:type="dxa" w:w="100"/>
                    <w:bottom w:type="dxa" w:w="70"/>
                    <w:right w:type="dxa" w:w="100"/>
                  </w:tcMar>
                  <w:vAlign w:val="center"/>
                </w:tcPr>
                <w:p>
                  <w:pPr>
                    <w:spacing w:after="0"/>
                  </w:pPr>
                  <w:r>
                    <w:rPr>
                      <w:sz w:val="18"/>
                      <w:szCs w:val="18"/>
                    </w:rPr>
                    <w:t xml:space="preserve">4.192.410</w:t>
                  </w:r>
                </w:p>
              </w:tc>
              <w:tc>
                <w:tcPr>
                  <w:tcW w:type="dxa" w:w="944"/>
                  <w:tcMar>
                    <w:top w:type="dxa" w:w="70"/>
                    <w:left w:type="dxa" w:w="100"/>
                    <w:bottom w:type="dxa" w:w="70"/>
                    <w:right w:type="dxa" w:w="100"/>
                  </w:tcMar>
                  <w:vAlign w:val="center"/>
                </w:tcPr>
                <w:p>
                  <w:pPr>
                    <w:spacing w:after="0"/>
                  </w:pPr>
                  <w:r>
                    <w:rPr>
                      <w:sz w:val="18"/>
                      <w:szCs w:val="18"/>
                    </w:rPr>
                    <w:t xml:space="preserve">2,07 %</w:t>
                  </w:r>
                </w:p>
              </w:tc>
              <w:tc>
                <w:tcPr>
                  <w:tcW w:type="dxa" w:w="1332"/>
                  <w:tcMar>
                    <w:top w:type="dxa" w:w="70"/>
                    <w:left w:type="dxa" w:w="100"/>
                    <w:bottom w:type="dxa" w:w="70"/>
                    <w:right w:type="dxa" w:w="100"/>
                  </w:tcMar>
                  <w:vAlign w:val="center"/>
                </w:tcPr>
                <w:p>
                  <w:pPr>
                    <w:spacing w:after="0"/>
                  </w:pPr>
                  <w:r>
                    <w:rPr>
                      <w:sz w:val="18"/>
                      <w:szCs w:val="18"/>
                    </w:rPr>
                    <w:t xml:space="preserve">1,08 %</w:t>
                  </w:r>
                </w:p>
              </w:tc>
              <w:tc>
                <w:tcPr>
                  <w:tcW w:type="dxa" w:w="1041"/>
                  <w:tcMar>
                    <w:top w:type="dxa" w:w="70"/>
                    <w:left w:type="dxa" w:w="100"/>
                    <w:bottom w:type="dxa" w:w="70"/>
                    <w:right w:type="dxa" w:w="100"/>
                  </w:tcMar>
                  <w:vAlign w:val="center"/>
                </w:tcPr>
                <w:p>
                  <w:pPr>
                    <w:spacing w:after="0"/>
                  </w:pPr>
                  <w:r>
                    <w:rPr>
                      <w:sz w:val="18"/>
                      <w:szCs w:val="18"/>
                    </w:rPr>
                    <w:t xml:space="preserve">5,90 %</w:t>
                  </w:r>
                </w:p>
              </w:tc>
              <w:tc>
                <w:tcPr>
                  <w:tcW w:type="dxa" w:w="1433"/>
                  <w:tcMar>
                    <w:top w:type="dxa" w:w="70"/>
                    <w:left w:type="dxa" w:w="100"/>
                    <w:bottom w:type="dxa" w:w="70"/>
                    <w:right w:type="dxa" w:w="100"/>
                  </w:tcMar>
                  <w:vAlign w:val="center"/>
                </w:tcPr>
                <w:p>
                  <w:pPr>
                    <w:spacing w:after="0"/>
                  </w:pPr>
                  <w:r>
                    <w:rPr>
                      <w:sz w:val="18"/>
                      <w:szCs w:val="18"/>
                    </w:rPr>
                    <w:t xml:space="preserve">3,03 %</w:t>
                  </w:r>
                </w:p>
              </w:tc>
            </w:tr>
            <w:tr>
              <w:trPr>
                <w:cantSplit/>
                <w:tblHeader w:val="off"/>
              </w:trPr>
              <w:tc>
                <w:tcPr>
                  <w:tcW w:type="dxa" w:w="1235"/>
                  <w:tcMar>
                    <w:top w:type="dxa" w:w="70"/>
                    <w:left w:type="dxa" w:w="100"/>
                    <w:bottom w:type="dxa" w:w="70"/>
                    <w:right w:type="dxa" w:w="100"/>
                  </w:tcMar>
                  <w:vAlign w:val="center"/>
                </w:tcPr>
                <w:p>
                  <w:pPr>
                    <w:spacing w:after="0"/>
                  </w:pPr>
                  <w:r>
                    <w:rPr>
                      <w:sz w:val="18"/>
                      <w:szCs w:val="18"/>
                    </w:rPr>
                    <w:t xml:space="preserve">Con las actividades que solo existen en 2019 (E04)</w:t>
                  </w:r>
                </w:p>
              </w:tc>
              <w:tc>
                <w:tcPr>
                  <w:tcW w:type="dxa" w:w="1041"/>
                  <w:tcMar>
                    <w:top w:type="dxa" w:w="70"/>
                    <w:left w:type="dxa" w:w="100"/>
                    <w:bottom w:type="dxa" w:w="70"/>
                    <w:right w:type="dxa" w:w="100"/>
                  </w:tcMar>
                  <w:vAlign w:val="center"/>
                </w:tcPr>
                <w:p>
                  <w:pPr>
                    <w:spacing w:after="0"/>
                  </w:pPr>
                  <w:r>
                    <w:rPr>
                      <w:sz w:val="18"/>
                      <w:szCs w:val="18"/>
                    </w:rPr>
                    <w:t xml:space="preserve">4.275.385</w:t>
                  </w:r>
                </w:p>
              </w:tc>
              <w:tc>
                <w:tcPr>
                  <w:tcW w:type="dxa" w:w="944"/>
                  <w:tcMar>
                    <w:top w:type="dxa" w:w="70"/>
                    <w:left w:type="dxa" w:w="100"/>
                    <w:bottom w:type="dxa" w:w="70"/>
                    <w:right w:type="dxa" w:w="100"/>
                  </w:tcMar>
                  <w:vAlign w:val="center"/>
                </w:tcPr>
                <w:p>
                  <w:pPr>
                    <w:spacing w:after="0"/>
                  </w:pPr>
                  <w:r>
                    <w:rPr>
                      <w:sz w:val="18"/>
                      <w:szCs w:val="18"/>
                    </w:rPr>
                    <w:t xml:space="preserve">2,11 %</w:t>
                  </w:r>
                </w:p>
              </w:tc>
              <w:tc>
                <w:tcPr>
                  <w:tcW w:type="dxa" w:w="1332"/>
                  <w:tcMar>
                    <w:top w:type="dxa" w:w="70"/>
                    <w:left w:type="dxa" w:w="100"/>
                    <w:bottom w:type="dxa" w:w="70"/>
                    <w:right w:type="dxa" w:w="100"/>
                  </w:tcMar>
                  <w:vAlign w:val="center"/>
                </w:tcPr>
                <w:p>
                  <w:pPr>
                    <w:spacing w:after="0"/>
                  </w:pPr>
                  <w:r>
                    <w:rPr>
                      <w:sz w:val="18"/>
                      <w:szCs w:val="18"/>
                    </w:rPr>
                    <w:t xml:space="preserve">1,10 %</w:t>
                  </w:r>
                </w:p>
              </w:tc>
              <w:tc>
                <w:tcPr>
                  <w:tcW w:type="dxa" w:w="1041"/>
                  <w:tcMar>
                    <w:top w:type="dxa" w:w="70"/>
                    <w:left w:type="dxa" w:w="100"/>
                    <w:bottom w:type="dxa" w:w="70"/>
                    <w:right w:type="dxa" w:w="100"/>
                  </w:tcMar>
                  <w:vAlign w:val="center"/>
                </w:tcPr>
                <w:p>
                  <w:pPr>
                    <w:spacing w:after="0"/>
                  </w:pPr>
                  <w:r>
                    <w:rPr>
                      <w:sz w:val="18"/>
                      <w:szCs w:val="18"/>
                    </w:rPr>
                    <w:t xml:space="preserve">5,99 %</w:t>
                  </w:r>
                </w:p>
              </w:tc>
              <w:tc>
                <w:tcPr>
                  <w:tcW w:type="dxa" w:w="1433"/>
                  <w:tcMar>
                    <w:top w:type="dxa" w:w="70"/>
                    <w:left w:type="dxa" w:w="100"/>
                    <w:bottom w:type="dxa" w:w="70"/>
                    <w:right w:type="dxa" w:w="100"/>
                  </w:tcMar>
                  <w:vAlign w:val="center"/>
                </w:tcPr>
                <w:p>
                  <w:pPr>
                    <w:spacing w:after="0"/>
                  </w:pPr>
                  <w:r>
                    <w:rPr>
                      <w:sz w:val="18"/>
                      <w:szCs w:val="18"/>
                    </w:rPr>
                    <w:t xml:space="preserve">3,07 %</w:t>
                  </w:r>
                </w:p>
              </w:tc>
            </w:tr>
            <w:tr>
              <w:trPr>
                <w:cantSplit/>
                <w:tblHeader w:val="off"/>
              </w:trPr>
              <w:tc>
                <w:tcPr>
                  <w:tcW w:type="dxa" w:w="1235"/>
                  <w:tcMar>
                    <w:top w:type="dxa" w:w="70"/>
                    <w:left w:type="dxa" w:w="100"/>
                    <w:bottom w:type="dxa" w:w="70"/>
                    <w:right w:type="dxa" w:w="100"/>
                  </w:tcMar>
                  <w:vAlign w:val="center"/>
                </w:tcPr>
                <w:p>
                  <w:pPr>
                    <w:spacing w:after="0"/>
                  </w:pPr>
                  <w:r>
                    <w:rPr>
                      <w:sz w:val="18"/>
                      <w:szCs w:val="18"/>
                    </w:rPr>
                    <w:t xml:space="preserve">Con la cirugía mayor ambulatoria (E13)</w:t>
                  </w:r>
                </w:p>
              </w:tc>
              <w:tc>
                <w:tcPr>
                  <w:tcW w:type="dxa" w:w="1041"/>
                  <w:tcMar>
                    <w:top w:type="dxa" w:w="70"/>
                    <w:left w:type="dxa" w:w="100"/>
                    <w:bottom w:type="dxa" w:w="70"/>
                    <w:right w:type="dxa" w:w="100"/>
                  </w:tcMar>
                  <w:vAlign w:val="center"/>
                </w:tcPr>
                <w:p>
                  <w:pPr>
                    <w:spacing w:after="0"/>
                  </w:pPr>
                  <w:r>
                    <w:rPr>
                      <w:sz w:val="18"/>
                      <w:szCs w:val="18"/>
                    </w:rPr>
                    <w:t xml:space="preserve">5.036.703</w:t>
                  </w:r>
                </w:p>
              </w:tc>
              <w:tc>
                <w:tcPr>
                  <w:tcW w:type="dxa" w:w="944"/>
                  <w:tcMar>
                    <w:top w:type="dxa" w:w="70"/>
                    <w:left w:type="dxa" w:w="100"/>
                    <w:bottom w:type="dxa" w:w="70"/>
                    <w:right w:type="dxa" w:w="100"/>
                  </w:tcMar>
                  <w:vAlign w:val="center"/>
                </w:tcPr>
                <w:p>
                  <w:pPr>
                    <w:spacing w:after="0"/>
                  </w:pPr>
                  <w:r>
                    <w:rPr>
                      <w:sz w:val="18"/>
                      <w:szCs w:val="18"/>
                    </w:rPr>
                    <w:t xml:space="preserve">1,79 %</w:t>
                  </w:r>
                </w:p>
              </w:tc>
              <w:tc>
                <w:tcPr>
                  <w:tcW w:type="dxa" w:w="1332"/>
                  <w:tcMar>
                    <w:top w:type="dxa" w:w="70"/>
                    <w:left w:type="dxa" w:w="100"/>
                    <w:bottom w:type="dxa" w:w="70"/>
                    <w:right w:type="dxa" w:w="100"/>
                  </w:tcMar>
                  <w:vAlign w:val="center"/>
                </w:tcPr>
                <w:p>
                  <w:pPr>
                    <w:spacing w:after="0"/>
                  </w:pPr>
                  <w:r>
                    <w:rPr>
                      <w:sz w:val="18"/>
                      <w:szCs w:val="18"/>
                    </w:rPr>
                    <w:t xml:space="preserve">0,92 %</w:t>
                  </w:r>
                </w:p>
              </w:tc>
              <w:tc>
                <w:tcPr>
                  <w:tcW w:type="dxa" w:w="1041"/>
                  <w:tcMar>
                    <w:top w:type="dxa" w:w="70"/>
                    <w:left w:type="dxa" w:w="100"/>
                    <w:bottom w:type="dxa" w:w="70"/>
                    <w:right w:type="dxa" w:w="100"/>
                  </w:tcMar>
                  <w:vAlign w:val="center"/>
                </w:tcPr>
                <w:p>
                  <w:pPr>
                    <w:spacing w:after="0"/>
                  </w:pPr>
                  <w:r>
                    <w:rPr>
                      <w:sz w:val="18"/>
                      <w:szCs w:val="18"/>
                    </w:rPr>
                    <w:t xml:space="preserve">5,10 %</w:t>
                  </w:r>
                </w:p>
              </w:tc>
              <w:tc>
                <w:tcPr>
                  <w:tcW w:type="dxa" w:w="1433"/>
                  <w:tcMar>
                    <w:top w:type="dxa" w:w="70"/>
                    <w:left w:type="dxa" w:w="100"/>
                    <w:bottom w:type="dxa" w:w="70"/>
                    <w:right w:type="dxa" w:w="100"/>
                  </w:tcMar>
                  <w:vAlign w:val="center"/>
                </w:tcPr>
                <w:p>
                  <w:pPr>
                    <w:spacing w:after="0"/>
                  </w:pPr>
                  <w:r>
                    <w:rPr>
                      <w:sz w:val="18"/>
                      <w:szCs w:val="18"/>
                    </w:rPr>
                    <w:t xml:space="preserve">2,58 %</w:t>
                  </w:r>
                </w:p>
              </w:tc>
            </w:tr>
            <w:tr>
              <w:trPr>
                <w:cantSplit/>
                <w:tblHeader w:val="off"/>
              </w:trPr>
              <w:tc>
                <w:tcPr>
                  <w:tcW w:type="dxa" w:w="1235"/>
                  <w:tcMar>
                    <w:top w:type="dxa" w:w="70"/>
                    <w:left w:type="dxa" w:w="100"/>
                    <w:bottom w:type="dxa" w:w="70"/>
                    <w:right w:type="dxa" w:w="100"/>
                  </w:tcMar>
                  <w:vAlign w:val="center"/>
                </w:tcPr>
                <w:p>
                  <w:pPr>
                    <w:spacing w:after="0"/>
                  </w:pPr>
                  <w:r>
                    <w:rPr>
                      <w:sz w:val="18"/>
                      <w:szCs w:val="18"/>
                    </w:rPr>
                    <w:t xml:space="preserve">Con las sesiones de tratamiento (E14)</w:t>
                  </w:r>
                </w:p>
              </w:tc>
              <w:tc>
                <w:tcPr>
                  <w:tcW w:type="dxa" w:w="1041"/>
                  <w:tcMar>
                    <w:top w:type="dxa" w:w="70"/>
                    <w:left w:type="dxa" w:w="100"/>
                    <w:bottom w:type="dxa" w:w="70"/>
                    <w:right w:type="dxa" w:w="100"/>
                  </w:tcMar>
                  <w:vAlign w:val="center"/>
                </w:tcPr>
                <w:p>
                  <w:pPr>
                    <w:spacing w:after="0"/>
                  </w:pPr>
                  <w:r>
                    <w:rPr>
                      <w:sz w:val="18"/>
                      <w:szCs w:val="18"/>
                    </w:rPr>
                    <w:t xml:space="preserve">4.274.335</w:t>
                  </w:r>
                </w:p>
              </w:tc>
              <w:tc>
                <w:tcPr>
                  <w:tcW w:type="dxa" w:w="944"/>
                  <w:tcMar>
                    <w:top w:type="dxa" w:w="70"/>
                    <w:left w:type="dxa" w:w="100"/>
                    <w:bottom w:type="dxa" w:w="70"/>
                    <w:right w:type="dxa" w:w="100"/>
                  </w:tcMar>
                  <w:vAlign w:val="center"/>
                </w:tcPr>
                <w:p>
                  <w:pPr>
                    <w:spacing w:after="0"/>
                  </w:pPr>
                  <w:r>
                    <w:rPr>
                      <w:sz w:val="18"/>
                      <w:szCs w:val="18"/>
                    </w:rPr>
                    <w:t xml:space="preserve">2,08 %</w:t>
                  </w:r>
                </w:p>
              </w:tc>
              <w:tc>
                <w:tcPr>
                  <w:tcW w:type="dxa" w:w="1332"/>
                  <w:tcMar>
                    <w:top w:type="dxa" w:w="70"/>
                    <w:left w:type="dxa" w:w="100"/>
                    <w:bottom w:type="dxa" w:w="70"/>
                    <w:right w:type="dxa" w:w="100"/>
                  </w:tcMar>
                  <w:vAlign w:val="center"/>
                </w:tcPr>
                <w:p>
                  <w:pPr>
                    <w:spacing w:after="0"/>
                  </w:pPr>
                  <w:r>
                    <w:rPr>
                      <w:sz w:val="18"/>
                      <w:szCs w:val="18"/>
                    </w:rPr>
                    <w:t xml:space="preserve">1,06 %</w:t>
                  </w:r>
                </w:p>
              </w:tc>
              <w:tc>
                <w:tcPr>
                  <w:tcW w:type="dxa" w:w="1041"/>
                  <w:tcMar>
                    <w:top w:type="dxa" w:w="70"/>
                    <w:left w:type="dxa" w:w="100"/>
                    <w:bottom w:type="dxa" w:w="70"/>
                    <w:right w:type="dxa" w:w="100"/>
                  </w:tcMar>
                  <w:vAlign w:val="center"/>
                </w:tcPr>
                <w:p>
                  <w:pPr>
                    <w:spacing w:after="0"/>
                  </w:pPr>
                  <w:r>
                    <w:rPr>
                      <w:sz w:val="18"/>
                      <w:szCs w:val="18"/>
                    </w:rPr>
                    <w:t xml:space="preserve">5,94 %</w:t>
                  </w:r>
                </w:p>
              </w:tc>
              <w:tc>
                <w:tcPr>
                  <w:tcW w:type="dxa" w:w="1433"/>
                  <w:tcMar>
                    <w:top w:type="dxa" w:w="70"/>
                    <w:left w:type="dxa" w:w="100"/>
                    <w:bottom w:type="dxa" w:w="70"/>
                    <w:right w:type="dxa" w:w="100"/>
                  </w:tcMar>
                  <w:vAlign w:val="center"/>
                </w:tcPr>
                <w:p>
                  <w:pPr>
                    <w:spacing w:after="0"/>
                  </w:pPr>
                  <w:r>
                    <w:rPr>
                      <w:sz w:val="18"/>
                      <w:szCs w:val="18"/>
                    </w:rPr>
                    <w:t xml:space="preserve">2,99 %</w:t>
                  </w:r>
                </w:p>
              </w:tc>
            </w:tr>
            <w:tr>
              <w:trPr>
                <w:cantSplit/>
                <w:tblHeader w:val="off"/>
              </w:trPr>
              <w:tc>
                <w:tcPr>
                  <w:tcW w:type="dxa" w:w="1235"/>
                  <w:tcMar>
                    <w:top w:type="dxa" w:w="70"/>
                    <w:left w:type="dxa" w:w="100"/>
                    <w:bottom w:type="dxa" w:w="70"/>
                    <w:right w:type="dxa" w:w="100"/>
                  </w:tcMar>
                  <w:vAlign w:val="center"/>
                </w:tcPr>
                <w:p>
                  <w:pPr>
                    <w:spacing w:after="0"/>
                  </w:pPr>
                  <w:r>
                    <w:rPr>
                      <w:sz w:val="18"/>
                      <w:szCs w:val="18"/>
                    </w:rPr>
                    <w:t xml:space="preserve">Con las CDM 13 y 14 como una sola</w:t>
                  </w:r>
                </w:p>
              </w:tc>
              <w:tc>
                <w:tcPr>
                  <w:tcW w:type="dxa" w:w="1041"/>
                  <w:tcMar>
                    <w:top w:type="dxa" w:w="70"/>
                    <w:left w:type="dxa" w:w="100"/>
                    <w:bottom w:type="dxa" w:w="70"/>
                    <w:right w:type="dxa" w:w="100"/>
                  </w:tcMar>
                  <w:vAlign w:val="center"/>
                </w:tcPr>
                <w:p>
                  <w:pPr>
                    <w:spacing w:after="0"/>
                  </w:pPr>
                  <w:r>
                    <w:rPr>
                      <w:sz w:val="18"/>
                      <w:szCs w:val="18"/>
                    </w:rPr>
                    <w:t xml:space="preserve">4.192.410</w:t>
                  </w:r>
                </w:p>
              </w:tc>
              <w:tc>
                <w:tcPr>
                  <w:tcW w:type="dxa" w:w="944"/>
                  <w:tcMar>
                    <w:top w:type="dxa" w:w="70"/>
                    <w:left w:type="dxa" w:w="100"/>
                    <w:bottom w:type="dxa" w:w="70"/>
                    <w:right w:type="dxa" w:w="100"/>
                  </w:tcMar>
                  <w:vAlign w:val="center"/>
                </w:tcPr>
                <w:p>
                  <w:pPr>
                    <w:spacing w:after="0"/>
                  </w:pPr>
                  <w:r>
                    <w:rPr>
                      <w:sz w:val="18"/>
                      <w:szCs w:val="18"/>
                    </w:rPr>
                    <w:t xml:space="preserve">2,07 %</w:t>
                  </w:r>
                </w:p>
              </w:tc>
              <w:tc>
                <w:tcPr>
                  <w:tcW w:type="dxa" w:w="1332"/>
                  <w:tcMar>
                    <w:top w:type="dxa" w:w="70"/>
                    <w:left w:type="dxa" w:w="100"/>
                    <w:bottom w:type="dxa" w:w="70"/>
                    <w:right w:type="dxa" w:w="100"/>
                  </w:tcMar>
                  <w:vAlign w:val="center"/>
                </w:tcPr>
                <w:p>
                  <w:pPr>
                    <w:spacing w:after="0"/>
                  </w:pPr>
                  <w:r>
                    <w:rPr>
                      <w:sz w:val="18"/>
                      <w:szCs w:val="18"/>
                    </w:rPr>
                    <w:t xml:space="preserve">1,17 %</w:t>
                  </w:r>
                </w:p>
              </w:tc>
              <w:tc>
                <w:tcPr>
                  <w:tcW w:type="dxa" w:w="1041"/>
                  <w:tcMar>
                    <w:top w:type="dxa" w:w="70"/>
                    <w:left w:type="dxa" w:w="100"/>
                    <w:bottom w:type="dxa" w:w="70"/>
                    <w:right w:type="dxa" w:w="100"/>
                  </w:tcMar>
                  <w:vAlign w:val="center"/>
                </w:tcPr>
                <w:p>
                  <w:pPr>
                    <w:spacing w:after="0"/>
                  </w:pPr>
                  <w:r>
                    <w:rPr>
                      <w:sz w:val="18"/>
                      <w:szCs w:val="18"/>
                    </w:rPr>
                    <w:t xml:space="preserve">5,90 %</w:t>
                  </w:r>
                </w:p>
              </w:tc>
              <w:tc>
                <w:tcPr>
                  <w:tcW w:type="dxa" w:w="1433"/>
                  <w:tcMar>
                    <w:top w:type="dxa" w:w="70"/>
                    <w:left w:type="dxa" w:w="100"/>
                    <w:bottom w:type="dxa" w:w="70"/>
                    <w:right w:type="dxa" w:w="100"/>
                  </w:tcMar>
                  <w:vAlign w:val="center"/>
                </w:tcPr>
                <w:p>
                  <w:pPr>
                    <w:spacing w:after="0"/>
                  </w:pPr>
                  <w:r>
                    <w:rPr>
                      <w:sz w:val="18"/>
                      <w:szCs w:val="18"/>
                    </w:rPr>
                    <w:t xml:space="preserve">3,19 %</w:t>
                  </w:r>
                </w:p>
              </w:tc>
            </w:tr>
            <w:tr>
              <w:trPr>
                <w:cantSplit/>
                <w:tblHeader w:val="off"/>
              </w:trPr>
              <w:tc>
                <w:tcPr>
                  <w:tcW w:type="dxa" w:w="1235"/>
                  <w:tcMar>
                    <w:top w:type="dxa" w:w="70"/>
                    <w:left w:type="dxa" w:w="100"/>
                    <w:bottom w:type="dxa" w:w="70"/>
                    <w:right w:type="dxa" w:w="100"/>
                  </w:tcMar>
                  <w:vAlign w:val="center"/>
                </w:tcPr>
                <w:p>
                  <w:pPr>
                    <w:spacing w:after="0"/>
                  </w:pPr>
                  <w:r>
                    <w:rPr>
                      <w:sz w:val="18"/>
                      <w:szCs w:val="18"/>
                    </w:rPr>
                    <w:t xml:space="preserve">Censura sin margen</w:t>
                  </w:r>
                </w:p>
              </w:tc>
              <w:tc>
                <w:tcPr>
                  <w:tcW w:type="dxa" w:w="1041"/>
                  <w:tcMar>
                    <w:top w:type="dxa" w:w="70"/>
                    <w:left w:type="dxa" w:w="100"/>
                    <w:bottom w:type="dxa" w:w="70"/>
                    <w:right w:type="dxa" w:w="100"/>
                  </w:tcMar>
                  <w:vAlign w:val="center"/>
                </w:tcPr>
                <w:p>
                  <w:pPr>
                    <w:spacing w:after="0"/>
                  </w:pPr>
                  <w:r>
                    <w:rPr>
                      <w:sz w:val="18"/>
                      <w:szCs w:val="18"/>
                    </w:rPr>
                    <w:t xml:space="preserve">4.313.289</w:t>
                  </w:r>
                </w:p>
              </w:tc>
              <w:tc>
                <w:tcPr>
                  <w:tcW w:type="dxa" w:w="944"/>
                  <w:tcMar>
                    <w:top w:type="dxa" w:w="70"/>
                    <w:left w:type="dxa" w:w="100"/>
                    <w:bottom w:type="dxa" w:w="70"/>
                    <w:right w:type="dxa" w:w="100"/>
                  </w:tcMar>
                  <w:vAlign w:val="center"/>
                </w:tcPr>
                <w:p>
                  <w:pPr>
                    <w:spacing w:after="0"/>
                  </w:pPr>
                  <w:r>
                    <w:rPr>
                      <w:sz w:val="18"/>
                      <w:szCs w:val="18"/>
                    </w:rPr>
                    <w:t xml:space="preserve">2,06 %</w:t>
                  </w:r>
                </w:p>
              </w:tc>
              <w:tc>
                <w:tcPr>
                  <w:tcW w:type="dxa" w:w="1332"/>
                  <w:tcMar>
                    <w:top w:type="dxa" w:w="70"/>
                    <w:left w:type="dxa" w:w="100"/>
                    <w:bottom w:type="dxa" w:w="70"/>
                    <w:right w:type="dxa" w:w="100"/>
                  </w:tcMar>
                  <w:vAlign w:val="center"/>
                </w:tcPr>
                <w:p>
                  <w:pPr>
                    <w:spacing w:after="0"/>
                  </w:pPr>
                  <w:r>
                    <w:rPr>
                      <w:sz w:val="18"/>
                      <w:szCs w:val="18"/>
                    </w:rPr>
                    <w:t xml:space="preserve">1,07 %</w:t>
                  </w:r>
                </w:p>
              </w:tc>
              <w:tc>
                <w:tcPr>
                  <w:tcW w:type="dxa" w:w="1041"/>
                  <w:tcMar>
                    <w:top w:type="dxa" w:w="70"/>
                    <w:left w:type="dxa" w:w="100"/>
                    <w:bottom w:type="dxa" w:w="70"/>
                    <w:right w:type="dxa" w:w="100"/>
                  </w:tcMar>
                  <w:vAlign w:val="center"/>
                </w:tcPr>
                <w:p>
                  <w:pPr>
                    <w:spacing w:after="0"/>
                  </w:pPr>
                  <w:r>
                    <w:rPr>
                      <w:sz w:val="18"/>
                      <w:szCs w:val="18"/>
                    </w:rPr>
                    <w:t xml:space="preserve">5,89 %</w:t>
                  </w:r>
                </w:p>
              </w:tc>
              <w:tc>
                <w:tcPr>
                  <w:tcW w:type="dxa" w:w="1433"/>
                  <w:tcMar>
                    <w:top w:type="dxa" w:w="70"/>
                    <w:left w:type="dxa" w:w="100"/>
                    <w:bottom w:type="dxa" w:w="70"/>
                    <w:right w:type="dxa" w:w="100"/>
                  </w:tcMar>
                  <w:vAlign w:val="center"/>
                </w:tcPr>
                <w:p>
                  <w:pPr>
                    <w:spacing w:after="0"/>
                  </w:pPr>
                  <w:r>
                    <w:rPr>
                      <w:sz w:val="18"/>
                      <w:szCs w:val="18"/>
                    </w:rPr>
                    <w:t xml:space="preserve">3,02 %</w:t>
                  </w:r>
                </w:p>
              </w:tc>
            </w:tr>
            <w:tr>
              <w:trPr>
                <w:cantSplit/>
                <w:tblHeader w:val="off"/>
              </w:trPr>
              <w:tc>
                <w:tcPr>
                  <w:tcW w:type="dxa" w:w="1235"/>
                  <w:tcMar>
                    <w:top w:type="dxa" w:w="70"/>
                    <w:left w:type="dxa" w:w="100"/>
                    <w:bottom w:type="dxa" w:w="70"/>
                    <w:right w:type="dxa" w:w="100"/>
                  </w:tcMar>
                  <w:vAlign w:val="center"/>
                </w:tcPr>
                <w:p>
                  <w:pPr>
                    <w:spacing w:after="0"/>
                  </w:pPr>
                  <w:r>
                    <w:rPr>
                      <w:sz w:val="18"/>
                      <w:szCs w:val="18"/>
                    </w:rPr>
                    <w:t xml:space="preserve">Sin los casos con identidad ambigua</w:t>
                  </w:r>
                </w:p>
              </w:tc>
              <w:tc>
                <w:tcPr>
                  <w:tcW w:type="dxa" w:w="1041"/>
                  <w:tcMar>
                    <w:top w:type="dxa" w:w="70"/>
                    <w:left w:type="dxa" w:w="100"/>
                    <w:bottom w:type="dxa" w:w="70"/>
                    <w:right w:type="dxa" w:w="100"/>
                  </w:tcMar>
                  <w:vAlign w:val="center"/>
                </w:tcPr>
                <w:p>
                  <w:pPr>
                    <w:spacing w:after="0"/>
                  </w:pPr>
                  <w:r>
                    <w:rPr>
                      <w:sz w:val="18"/>
                      <w:szCs w:val="18"/>
                    </w:rPr>
                    <w:t xml:space="preserve">4.129.132</w:t>
                  </w:r>
                </w:p>
              </w:tc>
              <w:tc>
                <w:tcPr>
                  <w:tcW w:type="dxa" w:w="944"/>
                  <w:tcMar>
                    <w:top w:type="dxa" w:w="70"/>
                    <w:left w:type="dxa" w:w="100"/>
                    <w:bottom w:type="dxa" w:w="70"/>
                    <w:right w:type="dxa" w:w="100"/>
                  </w:tcMar>
                  <w:vAlign w:val="center"/>
                </w:tcPr>
                <w:p>
                  <w:pPr>
                    <w:spacing w:after="0"/>
                  </w:pPr>
                  <w:r>
                    <w:rPr>
                      <w:sz w:val="18"/>
                      <w:szCs w:val="18"/>
                    </w:rPr>
                    <w:t xml:space="preserve">2,03 %</w:t>
                  </w:r>
                </w:p>
              </w:tc>
              <w:tc>
                <w:tcPr>
                  <w:tcW w:type="dxa" w:w="1332"/>
                  <w:tcMar>
                    <w:top w:type="dxa" w:w="70"/>
                    <w:left w:type="dxa" w:w="100"/>
                    <w:bottom w:type="dxa" w:w="70"/>
                    <w:right w:type="dxa" w:w="100"/>
                  </w:tcMar>
                  <w:vAlign w:val="center"/>
                </w:tcPr>
                <w:p>
                  <w:pPr>
                    <w:spacing w:after="0"/>
                  </w:pPr>
                  <w:r>
                    <w:rPr>
                      <w:sz w:val="18"/>
                      <w:szCs w:val="18"/>
                    </w:rPr>
                    <w:t xml:space="preserve">1,06 %</w:t>
                  </w:r>
                </w:p>
              </w:tc>
              <w:tc>
                <w:tcPr>
                  <w:tcW w:type="dxa" w:w="1041"/>
                  <w:tcMar>
                    <w:top w:type="dxa" w:w="70"/>
                    <w:left w:type="dxa" w:w="100"/>
                    <w:bottom w:type="dxa" w:w="70"/>
                    <w:right w:type="dxa" w:w="100"/>
                  </w:tcMar>
                  <w:vAlign w:val="center"/>
                </w:tcPr>
                <w:p>
                  <w:pPr>
                    <w:spacing w:after="0"/>
                  </w:pPr>
                  <w:r>
                    <w:rPr>
                      <w:sz w:val="18"/>
                      <w:szCs w:val="18"/>
                    </w:rPr>
                    <w:t xml:space="preserve">5,79 %</w:t>
                  </w:r>
                </w:p>
              </w:tc>
              <w:tc>
                <w:tcPr>
                  <w:tcW w:type="dxa" w:w="1433"/>
                  <w:tcMar>
                    <w:top w:type="dxa" w:w="70"/>
                    <w:left w:type="dxa" w:w="100"/>
                    <w:bottom w:type="dxa" w:w="70"/>
                    <w:right w:type="dxa" w:w="100"/>
                  </w:tcMar>
                  <w:vAlign w:val="center"/>
                </w:tcPr>
                <w:p>
                  <w:pPr>
                    <w:spacing w:after="0"/>
                  </w:pPr>
                  <w:r>
                    <w:rPr>
                      <w:sz w:val="18"/>
                      <w:szCs w:val="18"/>
                    </w:rPr>
                    <w:t xml:space="preserve">2,97 %</w:t>
                  </w:r>
                </w:p>
              </w:tc>
            </w:tr>
          </w:tbl>
          <w:p>
            <w:pPr>
              <w:spacing w:after="0"/>
            </w:pP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Actividades de 2019</w:t>
            </w:r>
          </w:p>
        </w:tc>
        <w:tc>
          <w:tcPr>
            <w:tcW w:type="dxa" w:w="7226"/>
            <w:tcMar>
              <w:top w:type="dxa" w:w="70"/>
              <w:left w:type="dxa" w:w="100"/>
              <w:bottom w:type="dxa" w:w="70"/>
              <w:right w:type="dxa" w:w="100"/>
            </w:tcMar>
          </w:tcPr>
          <w:p>
            <w:pPr>
              <w:keepNext/>
              <w:spacing w:after="0" w:before="0"/>
            </w:pPr>
            <w:r>
              <w:rPr>
                <w:sz w:val="20"/>
                <w:szCs w:val="20"/>
              </w:rPr>
              <w:t xml:space="preserve">Al incluirlas, la tasa a 30 días de 2019 pasaría de 5,70 % a 6,15 % y ese año dejaría de ser comparable con los demás. Se agregarían 43.217 casos de hospitalización en urgencia (10,06 % de reingreso a 30 días) y 39.855 de hospitalización diurna (4,02 %), y cambiaría la composición clínica: la CDM 14 bajaría de 15,4 % a 14,0 % de los casos de 2019 y la CDM 11 subiría de 4,8 % a 5,9 %. Respalda mantener E04 (H09).</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Conclusión</w:t>
            </w:r>
          </w:p>
        </w:tc>
        <w:tc>
          <w:tcPr>
            <w:tcW w:type="dxa" w:w="7226"/>
            <w:tcMar>
              <w:top w:type="dxa" w:w="70"/>
              <w:left w:type="dxa" w:w="100"/>
              <w:bottom w:type="dxa" w:w="70"/>
              <w:right w:type="dxa" w:w="100"/>
            </w:tcMar>
          </w:tcPr>
          <w:p>
            <w:pPr>
              <w:keepNext/>
              <w:spacing w:after="0" w:before="0"/>
            </w:pPr>
            <w:r>
              <w:rPr>
                <w:sz w:val="20"/>
                <w:szCs w:val="20"/>
              </w:rPr>
              <w:t xml:space="preserve">La única decisión que cambia mucho las tasas es la cirugía mayor ambulatoria. Las demás las mueven menos de 0,2 puntos.</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Evidencia</w:t>
            </w:r>
          </w:p>
        </w:tc>
        <w:tc>
          <w:tcPr>
            <w:tcW w:type="dxa" w:w="7226"/>
            <w:tcMar>
              <w:top w:type="dxa" w:w="70"/>
              <w:left w:type="dxa" w:w="100"/>
              <w:bottom w:type="dxa" w:w="70"/>
              <w:right w:type="dxa" w:w="100"/>
            </w:tcMar>
          </w:tcPr>
          <w:p>
            <w:pPr>
              <w:keepNext/>
              <w:spacing w:after="0" w:before="0"/>
            </w:pPr>
            <w:r>
              <w:rPr>
                <w:rFonts w:ascii="Consolas" w:cs="Consolas" w:eastAsia="Consolas" w:hAnsi="Consolas"/>
                <w:sz w:val="18"/>
                <w:szCs w:val="18"/>
                <w:shd w:fill="F2F2F2" w:color="auto" w:val="clear"/>
              </w:rPr>
              <w:t xml:space="preserve">2.2_depuracion_etiquetado/scripts/11_sensibilidad.py</w:t>
            </w:r>
            <w:r>
              <w:rPr>
                <w:sz w:val="20"/>
                <w:szCs w:val="20"/>
              </w:rPr>
              <w:t xml:space="preserve"> → </w:t>
            </w:r>
            <w:r>
              <w:rPr>
                <w:rFonts w:ascii="Consolas" w:cs="Consolas" w:eastAsia="Consolas" w:hAnsi="Consolas"/>
                <w:sz w:val="18"/>
                <w:szCs w:val="18"/>
                <w:shd w:fill="F2F2F2" w:color="auto" w:val="clear"/>
              </w:rPr>
              <w:t xml:space="preserve">2.2_depuracion_etiquetado/reportes/11_sensibilidad.md</w:t>
            </w:r>
            <w:r>
              <w:rPr>
                <w:sz w:val="20"/>
                <w:szCs w:val="20"/>
              </w:rPr>
              <w:t xml:space="preserve">.</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Actualizado por</w:t>
            </w:r>
          </w:p>
        </w:tc>
        <w:tc>
          <w:tcPr>
            <w:tcW w:type="dxa" w:w="7226"/>
            <w:tcMar>
              <w:top w:type="dxa" w:w="70"/>
              <w:left w:type="dxa" w:w="100"/>
              <w:bottom w:type="dxa" w:w="70"/>
              <w:right w:type="dxa" w:w="100"/>
            </w:tcMar>
          </w:tcPr>
          <w:p>
            <w:pPr>
              <w:keepNext w:val="false"/>
              <w:spacing w:after="0" w:before="0"/>
            </w:pPr>
            <w:hyperlink w:history="1" w:anchor="E_H27">
              <w:r>
                <w:rPr>
                  <w:color w:val="0563C1"/>
                  <w:sz w:val="20"/>
                  <w:szCs w:val="20"/>
                  <w:u w:val="single"/>
                </w:rPr>
                <w:t xml:space="preserve">H27</w:t>
              </w:r>
            </w:hyperlink>
            <w:r>
              <w:rPr>
                <w:sz w:val="20"/>
                <w:szCs w:val="20"/>
              </w:rPr>
              <w:t xml:space="preserve">, del 20 de octubre de 2026, con las variables relacionadas sin los partos (</w:t>
            </w:r>
            <w:hyperlink w:history="1" w:anchor="E_D38">
              <w:r>
                <w:rPr>
                  <w:color w:val="0563C1"/>
                  <w:sz w:val="20"/>
                  <w:szCs w:val="20"/>
                  <w:u w:val="single"/>
                </w:rPr>
                <w:t xml:space="preserve">D38</w:t>
              </w:r>
            </w:hyperlink>
            <w:r>
              <w:rPr>
                <w:sz w:val="20"/>
                <w:szCs w:val="20"/>
              </w:rPr>
              <w:t xml:space="preserve">) y dos filas nuevas (traslados y derivados).</w:t>
            </w:r>
          </w:p>
        </w:tc>
      </w:tr>
    </w:tbl>
    <w:p>
      <w:pPr>
        <w:pStyle w:val="Heading2"/>
      </w:pPr>
      <w:bookmarkStart w:name="E_D35" w:id="27"/>
      <w:r>
        <w:rPr>
          <w:color w:val="548235"/>
        </w:rPr>
        <w:t xml:space="preserve">D35</w:t>
      </w:r>
      <w:bookmarkEnd w:id="27"/>
      <w:r>
        <w:t xml:space="preserve"> · Tabla final de criterios de exclusión</w:t>
      </w:r>
    </w:p>
    <w:p>
      <w:pPr>
        <w:keepNext/>
        <w:spacing w:after="100"/>
      </w:pPr>
      <w:r>
        <w:rPr>
          <w:b/>
          <w:bCs/>
          <w:color w:val="548235"/>
          <w:sz w:val="18"/>
          <w:szCs w:val="18"/>
        </w:rPr>
        <w:t xml:space="preserve">Decisión</w:t>
      </w:r>
      <w:r>
        <w:rPr>
          <w:color w:val="808080"/>
          <w:sz w:val="18"/>
          <w:szCs w:val="18"/>
        </w:rPr>
        <w:t xml:space="preserve">  ·  8 de octubre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2.2</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Decisión</w:t>
            </w:r>
          </w:p>
        </w:tc>
        <w:tc>
          <w:tcPr>
            <w:tcW w:type="dxa" w:w="7226"/>
            <w:tcMar>
              <w:top w:type="dxa" w:w="70"/>
              <w:left w:type="dxa" w:w="100"/>
              <w:bottom w:type="dxa" w:w="70"/>
              <w:right w:type="dxa" w:w="100"/>
            </w:tcMar>
          </w:tcPr>
          <w:p>
            <w:pPr>
              <w:keepNext/>
              <w:spacing w:after="80" w:before="0"/>
            </w:pPr>
            <w:r>
              <w:rPr>
                <w:rFonts w:ascii="Consolas" w:cs="Consolas" w:eastAsia="Consolas" w:hAnsi="Consolas"/>
                <w:sz w:val="18"/>
                <w:szCs w:val="18"/>
                <w:shd w:fill="F2F2F2" w:color="auto" w:val="clear"/>
              </w:rPr>
              <w:t xml:space="preserve">reglas/criterios_exclusion.csv</w:t>
            </w:r>
            <w:r>
              <w:rPr>
                <w:sz w:val="20"/>
                <w:szCs w:val="20"/>
              </w:rPr>
              <w:t xml:space="preserve"> queda con catorce criterios, cada uno con una justificación breve (columna </w:t>
            </w:r>
            <w:r>
              <w:rPr>
                <w:rFonts w:ascii="Consolas" w:cs="Consolas" w:eastAsia="Consolas" w:hAnsi="Consolas"/>
                <w:sz w:val="18"/>
                <w:szCs w:val="18"/>
                <w:shd w:fill="F2F2F2" w:color="auto" w:val="clear"/>
              </w:rPr>
              <w:t xml:space="preserve">justificacion</w:t>
            </w:r>
            <w:r>
              <w:rPr>
                <w:sz w:val="20"/>
                <w:szCs w:val="20"/>
              </w:rPr>
              <w:t xml:space="preserve">). Trece están activos; E12 se mantiene desactivado. Los duplicados no son un criterio: se eliminan antes y se cuentan aparte (3.818 copias exactas y 3.745 registros repetidos, </w:t>
            </w:r>
            <w:hyperlink w:history="1" w:anchor="E_D24">
              <w:r>
                <w:rPr>
                  <w:color w:val="0563C1"/>
                  <w:sz w:val="20"/>
                  <w:szCs w:val="20"/>
                  <w:u w:val="single"/>
                </w:rPr>
                <w:t xml:space="preserve">D24</w:t>
              </w:r>
            </w:hyperlink>
            <w:r>
              <w:rPr>
                <w:sz w:val="20"/>
                <w:szCs w:val="20"/>
              </w:rPr>
              <w:t xml:space="preserve">).</w:t>
            </w:r>
          </w:p>
          <w:tbl>
            <w:tblPr>
              <w:tblW w:type="dxa" w:w="7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899"/>
              <w:gridCol w:w="3426"/>
              <w:gridCol w:w="783"/>
              <w:gridCol w:w="899"/>
              <w:gridCol w:w="1019"/>
            </w:tblGrid>
            <w:tr>
              <w:trPr>
                <w:cantSplit/>
                <w:tblHeader/>
              </w:trPr>
              <w:tc>
                <w:tcPr>
                  <w:tcW w:type="dxa" w:w="899"/>
                  <w:shd w:fill="D9E2F3" w:color="auto" w:val="clear"/>
                  <w:tcMar>
                    <w:top w:type="dxa" w:w="70"/>
                    <w:left w:type="dxa" w:w="100"/>
                    <w:bottom w:type="dxa" w:w="70"/>
                    <w:right w:type="dxa" w:w="100"/>
                  </w:tcMar>
                  <w:vAlign w:val="center"/>
                </w:tcPr>
                <w:p>
                  <w:pPr>
                    <w:spacing w:after="0"/>
                  </w:pPr>
                  <w:r>
                    <w:rPr>
                      <w:b/>
                      <w:bCs/>
                      <w:sz w:val="18"/>
                      <w:szCs w:val="18"/>
                    </w:rPr>
                    <w:t xml:space="preserve">Código</w:t>
                  </w:r>
                </w:p>
              </w:tc>
              <w:tc>
                <w:tcPr>
                  <w:tcW w:type="dxa" w:w="3426"/>
                  <w:shd w:fill="D9E2F3" w:color="auto" w:val="clear"/>
                  <w:tcMar>
                    <w:top w:type="dxa" w:w="70"/>
                    <w:left w:type="dxa" w:w="100"/>
                    <w:bottom w:type="dxa" w:w="70"/>
                    <w:right w:type="dxa" w:w="100"/>
                  </w:tcMar>
                  <w:vAlign w:val="center"/>
                </w:tcPr>
                <w:p>
                  <w:pPr>
                    <w:spacing w:after="0"/>
                  </w:pPr>
                  <w:r>
                    <w:rPr>
                      <w:b/>
                      <w:bCs/>
                      <w:sz w:val="18"/>
                      <w:szCs w:val="18"/>
                    </w:rPr>
                    <w:t xml:space="preserve">Criterio</w:t>
                  </w:r>
                </w:p>
              </w:tc>
              <w:tc>
                <w:tcPr>
                  <w:tcW w:type="dxa" w:w="783"/>
                  <w:shd w:fill="D9E2F3" w:color="auto" w:val="clear"/>
                  <w:tcMar>
                    <w:top w:type="dxa" w:w="70"/>
                    <w:left w:type="dxa" w:w="100"/>
                    <w:bottom w:type="dxa" w:w="70"/>
                    <w:right w:type="dxa" w:w="100"/>
                  </w:tcMar>
                  <w:vAlign w:val="center"/>
                </w:tcPr>
                <w:p>
                  <w:pPr>
                    <w:spacing w:after="0"/>
                  </w:pPr>
                  <w:r>
                    <w:rPr>
                      <w:b/>
                      <w:bCs/>
                      <w:sz w:val="18"/>
                      <w:szCs w:val="18"/>
                    </w:rPr>
                    <w:t xml:space="preserve">Papel</w:t>
                  </w:r>
                </w:p>
              </w:tc>
              <w:tc>
                <w:tcPr>
                  <w:tcW w:type="dxa" w:w="899"/>
                  <w:shd w:fill="D9E2F3" w:color="auto" w:val="clear"/>
                  <w:tcMar>
                    <w:top w:type="dxa" w:w="70"/>
                    <w:left w:type="dxa" w:w="100"/>
                    <w:bottom w:type="dxa" w:w="70"/>
                    <w:right w:type="dxa" w:w="100"/>
                  </w:tcMar>
                  <w:vAlign w:val="center"/>
                </w:tcPr>
                <w:p>
                  <w:pPr>
                    <w:spacing w:after="0"/>
                  </w:pPr>
                  <w:r>
                    <w:rPr>
                      <w:b/>
                      <w:bCs/>
                      <w:sz w:val="18"/>
                      <w:szCs w:val="18"/>
                    </w:rPr>
                    <w:t xml:space="preserve">Activo</w:t>
                  </w:r>
                </w:p>
              </w:tc>
              <w:tc>
                <w:tcPr>
                  <w:tcW w:type="dxa" w:w="1019"/>
                  <w:shd w:fill="D9E2F3" w:color="auto" w:val="clear"/>
                  <w:tcMar>
                    <w:top w:type="dxa" w:w="70"/>
                    <w:left w:type="dxa" w:w="100"/>
                    <w:bottom w:type="dxa" w:w="70"/>
                    <w:right w:type="dxa" w:w="100"/>
                  </w:tcMar>
                  <w:vAlign w:val="center"/>
                </w:tcPr>
                <w:p>
                  <w:pPr>
                    <w:spacing w:after="0"/>
                  </w:pPr>
                  <w:r>
                    <w:rPr>
                      <w:b/>
                      <w:bCs/>
                      <w:sz w:val="18"/>
                      <w:szCs w:val="18"/>
                    </w:rPr>
                    <w:t xml:space="preserve">Quita</w:t>
                  </w:r>
                </w:p>
              </w:tc>
            </w:tr>
            <w:tr>
              <w:trPr>
                <w:cantSplit/>
                <w:tblHeader w:val="off"/>
              </w:trPr>
              <w:tc>
                <w:tcPr>
                  <w:tcW w:type="dxa" w:w="899"/>
                  <w:tcMar>
                    <w:top w:type="dxa" w:w="70"/>
                    <w:left w:type="dxa" w:w="100"/>
                    <w:bottom w:type="dxa" w:w="70"/>
                    <w:right w:type="dxa" w:w="100"/>
                  </w:tcMar>
                  <w:vAlign w:val="center"/>
                </w:tcPr>
                <w:p>
                  <w:pPr>
                    <w:spacing w:after="0"/>
                  </w:pPr>
                  <w:r>
                    <w:rPr>
                      <w:sz w:val="18"/>
                      <w:szCs w:val="18"/>
                    </w:rPr>
                    <w:t xml:space="preserve">E01</w:t>
                  </w:r>
                </w:p>
              </w:tc>
              <w:tc>
                <w:tcPr>
                  <w:tcW w:type="dxa" w:w="3426"/>
                  <w:tcMar>
                    <w:top w:type="dxa" w:w="70"/>
                    <w:left w:type="dxa" w:w="100"/>
                    <w:bottom w:type="dxa" w:w="70"/>
                    <w:right w:type="dxa" w:w="100"/>
                  </w:tcMar>
                  <w:vAlign w:val="center"/>
                </w:tcPr>
                <w:p>
                  <w:pPr>
                    <w:spacing w:after="0"/>
                  </w:pPr>
                  <w:r>
                    <w:rPr>
                      <w:sz w:val="18"/>
                      <w:szCs w:val="18"/>
                    </w:rPr>
                    <w:t xml:space="preserve">Sin identificador de paciente</w:t>
                  </w:r>
                </w:p>
              </w:tc>
              <w:tc>
                <w:tcPr>
                  <w:tcW w:type="dxa" w:w="783"/>
                  <w:tcMar>
                    <w:top w:type="dxa" w:w="70"/>
                    <w:left w:type="dxa" w:w="100"/>
                    <w:bottom w:type="dxa" w:w="70"/>
                    <w:right w:type="dxa" w:w="100"/>
                  </w:tcMar>
                  <w:vAlign w:val="center"/>
                </w:tcPr>
                <w:p>
                  <w:pPr>
                    <w:spacing w:after="0"/>
                  </w:pPr>
                  <w:r>
                    <w:rPr>
                      <w:sz w:val="18"/>
                      <w:szCs w:val="18"/>
                    </w:rPr>
                    <w:t xml:space="preserve">Ambos</w:t>
                  </w:r>
                </w:p>
              </w:tc>
              <w:tc>
                <w:tcPr>
                  <w:tcW w:type="dxa" w:w="899"/>
                  <w:tcMar>
                    <w:top w:type="dxa" w:w="70"/>
                    <w:left w:type="dxa" w:w="100"/>
                    <w:bottom w:type="dxa" w:w="70"/>
                    <w:right w:type="dxa" w:w="100"/>
                  </w:tcMar>
                  <w:vAlign w:val="center"/>
                </w:tcPr>
                <w:p>
                  <w:pPr>
                    <w:spacing w:after="0"/>
                  </w:pPr>
                  <w:r>
                    <w:rPr>
                      <w:sz w:val="18"/>
                      <w:szCs w:val="18"/>
                    </w:rPr>
                    <w:t xml:space="preserve">Sí</w:t>
                  </w:r>
                </w:p>
              </w:tc>
              <w:tc>
                <w:tcPr>
                  <w:tcW w:type="dxa" w:w="1019"/>
                  <w:tcMar>
                    <w:top w:type="dxa" w:w="70"/>
                    <w:left w:type="dxa" w:w="100"/>
                    <w:bottom w:type="dxa" w:w="70"/>
                    <w:right w:type="dxa" w:w="100"/>
                  </w:tcMar>
                  <w:vAlign w:val="center"/>
                </w:tcPr>
                <w:p>
                  <w:pPr>
                    <w:spacing w:after="0"/>
                  </w:pPr>
                  <w:r>
                    <w:rPr>
                      <w:sz w:val="18"/>
                      <w:szCs w:val="18"/>
                    </w:rPr>
                    <w:t xml:space="preserve">17.864</w:t>
                  </w:r>
                </w:p>
              </w:tc>
            </w:tr>
            <w:tr>
              <w:trPr>
                <w:cantSplit/>
                <w:tblHeader w:val="off"/>
              </w:trPr>
              <w:tc>
                <w:tcPr>
                  <w:tcW w:type="dxa" w:w="899"/>
                  <w:tcMar>
                    <w:top w:type="dxa" w:w="70"/>
                    <w:left w:type="dxa" w:w="100"/>
                    <w:bottom w:type="dxa" w:w="70"/>
                    <w:right w:type="dxa" w:w="100"/>
                  </w:tcMar>
                  <w:vAlign w:val="center"/>
                </w:tcPr>
                <w:p>
                  <w:pPr>
                    <w:spacing w:after="0"/>
                  </w:pPr>
                  <w:r>
                    <w:rPr>
                      <w:sz w:val="18"/>
                      <w:szCs w:val="18"/>
                    </w:rPr>
                    <w:t xml:space="preserve">E02</w:t>
                  </w:r>
                </w:p>
              </w:tc>
              <w:tc>
                <w:tcPr>
                  <w:tcW w:type="dxa" w:w="3426"/>
                  <w:tcMar>
                    <w:top w:type="dxa" w:w="70"/>
                    <w:left w:type="dxa" w:w="100"/>
                    <w:bottom w:type="dxa" w:w="70"/>
                    <w:right w:type="dxa" w:w="100"/>
                  </w:tcMar>
                  <w:vAlign w:val="center"/>
                </w:tcPr>
                <w:p>
                  <w:pPr>
                    <w:spacing w:after="0"/>
                  </w:pPr>
                  <w:r>
                    <w:rPr>
                      <w:sz w:val="18"/>
                      <w:szCs w:val="18"/>
                    </w:rPr>
                    <w:t xml:space="preserve">Identificador genérico</w:t>
                  </w:r>
                </w:p>
              </w:tc>
              <w:tc>
                <w:tcPr>
                  <w:tcW w:type="dxa" w:w="783"/>
                  <w:tcMar>
                    <w:top w:type="dxa" w:w="70"/>
                    <w:left w:type="dxa" w:w="100"/>
                    <w:bottom w:type="dxa" w:w="70"/>
                    <w:right w:type="dxa" w:w="100"/>
                  </w:tcMar>
                  <w:vAlign w:val="center"/>
                </w:tcPr>
                <w:p>
                  <w:pPr>
                    <w:spacing w:after="0"/>
                  </w:pPr>
                  <w:r>
                    <w:rPr>
                      <w:sz w:val="18"/>
                      <w:szCs w:val="18"/>
                    </w:rPr>
                    <w:t xml:space="preserve">Ambos</w:t>
                  </w:r>
                </w:p>
              </w:tc>
              <w:tc>
                <w:tcPr>
                  <w:tcW w:type="dxa" w:w="899"/>
                  <w:tcMar>
                    <w:top w:type="dxa" w:w="70"/>
                    <w:left w:type="dxa" w:w="100"/>
                    <w:bottom w:type="dxa" w:w="70"/>
                    <w:right w:type="dxa" w:w="100"/>
                  </w:tcMar>
                  <w:vAlign w:val="center"/>
                </w:tcPr>
                <w:p>
                  <w:pPr>
                    <w:spacing w:after="0"/>
                  </w:pPr>
                  <w:r>
                    <w:rPr>
                      <w:sz w:val="18"/>
                      <w:szCs w:val="18"/>
                    </w:rPr>
                    <w:t xml:space="preserve">Sí</w:t>
                  </w:r>
                </w:p>
              </w:tc>
              <w:tc>
                <w:tcPr>
                  <w:tcW w:type="dxa" w:w="1019"/>
                  <w:tcMar>
                    <w:top w:type="dxa" w:w="70"/>
                    <w:left w:type="dxa" w:w="100"/>
                    <w:bottom w:type="dxa" w:w="70"/>
                    <w:right w:type="dxa" w:w="100"/>
                  </w:tcMar>
                  <w:vAlign w:val="center"/>
                </w:tcPr>
                <w:p>
                  <w:pPr>
                    <w:spacing w:after="0"/>
                  </w:pPr>
                  <w:r>
                    <w:rPr>
                      <w:sz w:val="18"/>
                      <w:szCs w:val="18"/>
                    </w:rPr>
                    <w:t xml:space="preserve">2.481</w:t>
                  </w:r>
                </w:p>
              </w:tc>
            </w:tr>
            <w:tr>
              <w:trPr>
                <w:cantSplit/>
                <w:tblHeader w:val="off"/>
              </w:trPr>
              <w:tc>
                <w:tcPr>
                  <w:tcW w:type="dxa" w:w="899"/>
                  <w:tcMar>
                    <w:top w:type="dxa" w:w="70"/>
                    <w:left w:type="dxa" w:w="100"/>
                    <w:bottom w:type="dxa" w:w="70"/>
                    <w:right w:type="dxa" w:w="100"/>
                  </w:tcMar>
                  <w:vAlign w:val="center"/>
                </w:tcPr>
                <w:p>
                  <w:pPr>
                    <w:spacing w:after="0"/>
                  </w:pPr>
                  <w:r>
                    <w:rPr>
                      <w:sz w:val="18"/>
                      <w:szCs w:val="18"/>
                    </w:rPr>
                    <w:t xml:space="preserve">E03</w:t>
                  </w:r>
                </w:p>
              </w:tc>
              <w:tc>
                <w:tcPr>
                  <w:tcW w:type="dxa" w:w="3426"/>
                  <w:tcMar>
                    <w:top w:type="dxa" w:w="70"/>
                    <w:left w:type="dxa" w:w="100"/>
                    <w:bottom w:type="dxa" w:w="70"/>
                    <w:right w:type="dxa" w:w="100"/>
                  </w:tcMar>
                  <w:vAlign w:val="center"/>
                </w:tcPr>
                <w:p>
                  <w:pPr>
                    <w:spacing w:after="0"/>
                  </w:pPr>
                  <w:r>
                    <w:rPr>
                      <w:sz w:val="18"/>
                      <w:szCs w:val="18"/>
                    </w:rPr>
                    <w:t xml:space="preserve">Fechas faltantes o alta anterior al ingreso</w:t>
                  </w:r>
                </w:p>
              </w:tc>
              <w:tc>
                <w:tcPr>
                  <w:tcW w:type="dxa" w:w="783"/>
                  <w:tcMar>
                    <w:top w:type="dxa" w:w="70"/>
                    <w:left w:type="dxa" w:w="100"/>
                    <w:bottom w:type="dxa" w:w="70"/>
                    <w:right w:type="dxa" w:w="100"/>
                  </w:tcMar>
                  <w:vAlign w:val="center"/>
                </w:tcPr>
                <w:p>
                  <w:pPr>
                    <w:spacing w:after="0"/>
                  </w:pPr>
                  <w:r>
                    <w:rPr>
                      <w:sz w:val="18"/>
                      <w:szCs w:val="18"/>
                    </w:rPr>
                    <w:t xml:space="preserve">Ambos</w:t>
                  </w:r>
                </w:p>
              </w:tc>
              <w:tc>
                <w:tcPr>
                  <w:tcW w:type="dxa" w:w="899"/>
                  <w:tcMar>
                    <w:top w:type="dxa" w:w="70"/>
                    <w:left w:type="dxa" w:w="100"/>
                    <w:bottom w:type="dxa" w:w="70"/>
                    <w:right w:type="dxa" w:w="100"/>
                  </w:tcMar>
                  <w:vAlign w:val="center"/>
                </w:tcPr>
                <w:p>
                  <w:pPr>
                    <w:spacing w:after="0"/>
                  </w:pPr>
                  <w:r>
                    <w:rPr>
                      <w:sz w:val="18"/>
                      <w:szCs w:val="18"/>
                    </w:rPr>
                    <w:t xml:space="preserve">Sí</w:t>
                  </w:r>
                </w:p>
              </w:tc>
              <w:tc>
                <w:tcPr>
                  <w:tcW w:type="dxa" w:w="1019"/>
                  <w:tcMar>
                    <w:top w:type="dxa" w:w="70"/>
                    <w:left w:type="dxa" w:w="100"/>
                    <w:bottom w:type="dxa" w:w="70"/>
                    <w:right w:type="dxa" w:w="100"/>
                  </w:tcMar>
                  <w:vAlign w:val="center"/>
                </w:tcPr>
                <w:p>
                  <w:pPr>
                    <w:spacing w:after="0"/>
                  </w:pPr>
                  <w:r>
                    <w:rPr>
                      <w:sz w:val="18"/>
                      <w:szCs w:val="18"/>
                    </w:rPr>
                    <w:t xml:space="preserve">81</w:t>
                  </w:r>
                </w:p>
              </w:tc>
            </w:tr>
            <w:tr>
              <w:trPr>
                <w:cantSplit/>
                <w:tblHeader w:val="off"/>
              </w:trPr>
              <w:tc>
                <w:tcPr>
                  <w:tcW w:type="dxa" w:w="899"/>
                  <w:tcMar>
                    <w:top w:type="dxa" w:w="70"/>
                    <w:left w:type="dxa" w:w="100"/>
                    <w:bottom w:type="dxa" w:w="70"/>
                    <w:right w:type="dxa" w:w="100"/>
                  </w:tcMar>
                  <w:vAlign w:val="center"/>
                </w:tcPr>
                <w:p>
                  <w:pPr>
                    <w:spacing w:after="0"/>
                  </w:pPr>
                  <w:r>
                    <w:rPr>
                      <w:sz w:val="18"/>
                      <w:szCs w:val="18"/>
                    </w:rPr>
                    <w:t xml:space="preserve">E04</w:t>
                  </w:r>
                </w:p>
              </w:tc>
              <w:tc>
                <w:tcPr>
                  <w:tcW w:type="dxa" w:w="3426"/>
                  <w:tcMar>
                    <w:top w:type="dxa" w:w="70"/>
                    <w:left w:type="dxa" w:w="100"/>
                    <w:bottom w:type="dxa" w:w="70"/>
                    <w:right w:type="dxa" w:w="100"/>
                  </w:tcMar>
                  <w:vAlign w:val="center"/>
                </w:tcPr>
                <w:p>
                  <w:pPr>
                    <w:spacing w:after="0"/>
                  </w:pPr>
                  <w:r>
                    <w:rPr>
                      <w:sz w:val="18"/>
                      <w:szCs w:val="18"/>
                    </w:rPr>
                    <w:t xml:space="preserve">Tipos de actividad que solo existen en 2019 (H09)</w:t>
                  </w:r>
                </w:p>
              </w:tc>
              <w:tc>
                <w:tcPr>
                  <w:tcW w:type="dxa" w:w="783"/>
                  <w:tcMar>
                    <w:top w:type="dxa" w:w="70"/>
                    <w:left w:type="dxa" w:w="100"/>
                    <w:bottom w:type="dxa" w:w="70"/>
                    <w:right w:type="dxa" w:w="100"/>
                  </w:tcMar>
                  <w:vAlign w:val="center"/>
                </w:tcPr>
                <w:p>
                  <w:pPr>
                    <w:spacing w:after="0"/>
                  </w:pPr>
                  <w:r>
                    <w:rPr>
                      <w:sz w:val="18"/>
                      <w:szCs w:val="18"/>
                    </w:rPr>
                    <w:t xml:space="preserve">Ambos</w:t>
                  </w:r>
                </w:p>
              </w:tc>
              <w:tc>
                <w:tcPr>
                  <w:tcW w:type="dxa" w:w="899"/>
                  <w:tcMar>
                    <w:top w:type="dxa" w:w="70"/>
                    <w:left w:type="dxa" w:w="100"/>
                    <w:bottom w:type="dxa" w:w="70"/>
                    <w:right w:type="dxa" w:w="100"/>
                  </w:tcMar>
                  <w:vAlign w:val="center"/>
                </w:tcPr>
                <w:p>
                  <w:pPr>
                    <w:spacing w:after="0"/>
                  </w:pPr>
                  <w:r>
                    <w:rPr>
                      <w:sz w:val="18"/>
                      <w:szCs w:val="18"/>
                    </w:rPr>
                    <w:t xml:space="preserve">Sí</w:t>
                  </w:r>
                </w:p>
              </w:tc>
              <w:tc>
                <w:tcPr>
                  <w:tcW w:type="dxa" w:w="1019"/>
                  <w:tcMar>
                    <w:top w:type="dxa" w:w="70"/>
                    <w:left w:type="dxa" w:w="100"/>
                    <w:bottom w:type="dxa" w:w="70"/>
                    <w:right w:type="dxa" w:w="100"/>
                  </w:tcMar>
                  <w:vAlign w:val="center"/>
                </w:tcPr>
                <w:p>
                  <w:pPr>
                    <w:spacing w:after="0"/>
                  </w:pPr>
                  <w:r>
                    <w:rPr>
                      <w:sz w:val="18"/>
                      <w:szCs w:val="18"/>
                    </w:rPr>
                    <w:t xml:space="preserve">116.962</w:t>
                  </w:r>
                </w:p>
              </w:tc>
            </w:tr>
            <w:tr>
              <w:trPr>
                <w:cantSplit/>
                <w:tblHeader w:val="off"/>
              </w:trPr>
              <w:tc>
                <w:tcPr>
                  <w:tcW w:type="dxa" w:w="899"/>
                  <w:tcMar>
                    <w:top w:type="dxa" w:w="70"/>
                    <w:left w:type="dxa" w:w="100"/>
                    <w:bottom w:type="dxa" w:w="70"/>
                    <w:right w:type="dxa" w:w="100"/>
                  </w:tcMar>
                  <w:vAlign w:val="center"/>
                </w:tcPr>
                <w:p>
                  <w:pPr>
                    <w:spacing w:after="0"/>
                  </w:pPr>
                  <w:r>
                    <w:rPr>
                      <w:sz w:val="18"/>
                      <w:szCs w:val="18"/>
                    </w:rPr>
                    <w:t xml:space="preserve">E05</w:t>
                  </w:r>
                </w:p>
              </w:tc>
              <w:tc>
                <w:tcPr>
                  <w:tcW w:type="dxa" w:w="3426"/>
                  <w:tcMar>
                    <w:top w:type="dxa" w:w="70"/>
                    <w:left w:type="dxa" w:w="100"/>
                    <w:bottom w:type="dxa" w:w="70"/>
                    <w:right w:type="dxa" w:w="100"/>
                  </w:tcMar>
                  <w:vAlign w:val="center"/>
                </w:tcPr>
                <w:p>
                  <w:pPr>
                    <w:spacing w:after="0"/>
                  </w:pPr>
                  <w:r>
                    <w:rPr>
                      <w:sz w:val="18"/>
                      <w:szCs w:val="18"/>
                    </w:rPr>
                    <w:t xml:space="preserve">Tramo de un traslado (</w:t>
                  </w:r>
                  <w:hyperlink w:history="1" w:anchor="E_D19">
                    <w:r>
                      <w:rPr>
                        <w:color w:val="0563C1"/>
                        <w:sz w:val="18"/>
                        <w:szCs w:val="18"/>
                        <w:u w:val="single"/>
                      </w:rPr>
                      <w:t xml:space="preserve">D19</w:t>
                    </w:r>
                  </w:hyperlink>
                  <w:r>
                    <w:rPr>
                      <w:sz w:val="18"/>
                      <w:szCs w:val="18"/>
                    </w:rPr>
                    <w:t xml:space="preserve">)</w:t>
                  </w:r>
                </w:p>
              </w:tc>
              <w:tc>
                <w:tcPr>
                  <w:tcW w:type="dxa" w:w="783"/>
                  <w:tcMar>
                    <w:top w:type="dxa" w:w="70"/>
                    <w:left w:type="dxa" w:w="100"/>
                    <w:bottom w:type="dxa" w:w="70"/>
                    <w:right w:type="dxa" w:w="100"/>
                  </w:tcMar>
                  <w:vAlign w:val="center"/>
                </w:tcPr>
                <w:p>
                  <w:pPr>
                    <w:spacing w:after="0"/>
                  </w:pPr>
                  <w:r>
                    <w:rPr>
                      <w:sz w:val="18"/>
                      <w:szCs w:val="18"/>
                    </w:rPr>
                    <w:t xml:space="preserve">Caso</w:t>
                  </w:r>
                </w:p>
              </w:tc>
              <w:tc>
                <w:tcPr>
                  <w:tcW w:type="dxa" w:w="899"/>
                  <w:tcMar>
                    <w:top w:type="dxa" w:w="70"/>
                    <w:left w:type="dxa" w:w="100"/>
                    <w:bottom w:type="dxa" w:w="70"/>
                    <w:right w:type="dxa" w:w="100"/>
                  </w:tcMar>
                  <w:vAlign w:val="center"/>
                </w:tcPr>
                <w:p>
                  <w:pPr>
                    <w:spacing w:after="0"/>
                  </w:pPr>
                  <w:r>
                    <w:rPr>
                      <w:sz w:val="18"/>
                      <w:szCs w:val="18"/>
                    </w:rPr>
                    <w:t xml:space="preserve">Sí</w:t>
                  </w:r>
                </w:p>
              </w:tc>
              <w:tc>
                <w:tcPr>
                  <w:tcW w:type="dxa" w:w="1019"/>
                  <w:tcMar>
                    <w:top w:type="dxa" w:w="70"/>
                    <w:left w:type="dxa" w:w="100"/>
                    <w:bottom w:type="dxa" w:w="70"/>
                    <w:right w:type="dxa" w:w="100"/>
                  </w:tcMar>
                  <w:vAlign w:val="center"/>
                </w:tcPr>
                <w:p>
                  <w:pPr>
                    <w:spacing w:after="0"/>
                  </w:pPr>
                  <w:r>
                    <w:rPr>
                      <w:sz w:val="18"/>
                      <w:szCs w:val="18"/>
                    </w:rPr>
                    <w:t xml:space="preserve">97.603</w:t>
                  </w:r>
                </w:p>
              </w:tc>
            </w:tr>
            <w:tr>
              <w:trPr>
                <w:cantSplit/>
                <w:tblHeader w:val="off"/>
              </w:trPr>
              <w:tc>
                <w:tcPr>
                  <w:tcW w:type="dxa" w:w="899"/>
                  <w:tcMar>
                    <w:top w:type="dxa" w:w="70"/>
                    <w:left w:type="dxa" w:w="100"/>
                    <w:bottom w:type="dxa" w:w="70"/>
                    <w:right w:type="dxa" w:w="100"/>
                  </w:tcMar>
                  <w:vAlign w:val="center"/>
                </w:tcPr>
                <w:p>
                  <w:pPr>
                    <w:spacing w:after="0"/>
                  </w:pPr>
                  <w:r>
                    <w:rPr>
                      <w:sz w:val="18"/>
                      <w:szCs w:val="18"/>
                    </w:rPr>
                    <w:t xml:space="preserve">E06</w:t>
                  </w:r>
                </w:p>
              </w:tc>
              <w:tc>
                <w:tcPr>
                  <w:tcW w:type="dxa" w:w="3426"/>
                  <w:tcMar>
                    <w:top w:type="dxa" w:w="70"/>
                    <w:left w:type="dxa" w:w="100"/>
                    <w:bottom w:type="dxa" w:w="70"/>
                    <w:right w:type="dxa" w:w="100"/>
                  </w:tcMar>
                  <w:vAlign w:val="center"/>
                </w:tcPr>
                <w:p>
                  <w:pPr>
                    <w:spacing w:after="0"/>
                  </w:pPr>
                  <w:r>
                    <w:rPr>
                      <w:sz w:val="18"/>
                      <w:szCs w:val="18"/>
                    </w:rPr>
                    <w:t xml:space="preserve">Alta por fallecimiento</w:t>
                  </w:r>
                </w:p>
              </w:tc>
              <w:tc>
                <w:tcPr>
                  <w:tcW w:type="dxa" w:w="783"/>
                  <w:tcMar>
                    <w:top w:type="dxa" w:w="70"/>
                    <w:left w:type="dxa" w:w="100"/>
                    <w:bottom w:type="dxa" w:w="70"/>
                    <w:right w:type="dxa" w:w="100"/>
                  </w:tcMar>
                  <w:vAlign w:val="center"/>
                </w:tcPr>
                <w:p>
                  <w:pPr>
                    <w:spacing w:after="0"/>
                  </w:pPr>
                  <w:r>
                    <w:rPr>
                      <w:sz w:val="18"/>
                      <w:szCs w:val="18"/>
                    </w:rPr>
                    <w:t xml:space="preserve">Caso</w:t>
                  </w:r>
                </w:p>
              </w:tc>
              <w:tc>
                <w:tcPr>
                  <w:tcW w:type="dxa" w:w="899"/>
                  <w:tcMar>
                    <w:top w:type="dxa" w:w="70"/>
                    <w:left w:type="dxa" w:w="100"/>
                    <w:bottom w:type="dxa" w:w="70"/>
                    <w:right w:type="dxa" w:w="100"/>
                  </w:tcMar>
                  <w:vAlign w:val="center"/>
                </w:tcPr>
                <w:p>
                  <w:pPr>
                    <w:spacing w:after="0"/>
                  </w:pPr>
                  <w:r>
                    <w:rPr>
                      <w:sz w:val="18"/>
                      <w:szCs w:val="18"/>
                    </w:rPr>
                    <w:t xml:space="preserve">Sí</w:t>
                  </w:r>
                </w:p>
              </w:tc>
              <w:tc>
                <w:tcPr>
                  <w:tcW w:type="dxa" w:w="1019"/>
                  <w:tcMar>
                    <w:top w:type="dxa" w:w="70"/>
                    <w:left w:type="dxa" w:w="100"/>
                    <w:bottom w:type="dxa" w:w="70"/>
                    <w:right w:type="dxa" w:w="100"/>
                  </w:tcMar>
                  <w:vAlign w:val="center"/>
                </w:tcPr>
                <w:p>
                  <w:pPr>
                    <w:spacing w:after="0"/>
                  </w:pPr>
                  <w:r>
                    <w:rPr>
                      <w:sz w:val="18"/>
                      <w:szCs w:val="18"/>
                    </w:rPr>
                    <w:t xml:space="preserve">165.515</w:t>
                  </w:r>
                </w:p>
              </w:tc>
            </w:tr>
            <w:tr>
              <w:trPr>
                <w:cantSplit/>
                <w:tblHeader w:val="off"/>
              </w:trPr>
              <w:tc>
                <w:tcPr>
                  <w:tcW w:type="dxa" w:w="899"/>
                  <w:tcMar>
                    <w:top w:type="dxa" w:w="70"/>
                    <w:left w:type="dxa" w:w="100"/>
                    <w:bottom w:type="dxa" w:w="70"/>
                    <w:right w:type="dxa" w:w="100"/>
                  </w:tcMar>
                  <w:vAlign w:val="center"/>
                </w:tcPr>
                <w:p>
                  <w:pPr>
                    <w:spacing w:after="0"/>
                  </w:pPr>
                  <w:r>
                    <w:rPr>
                      <w:sz w:val="18"/>
                      <w:szCs w:val="18"/>
                    </w:rPr>
                    <w:t xml:space="preserve">E07</w:t>
                  </w:r>
                </w:p>
              </w:tc>
              <w:tc>
                <w:tcPr>
                  <w:tcW w:type="dxa" w:w="3426"/>
                  <w:tcMar>
                    <w:top w:type="dxa" w:w="70"/>
                    <w:left w:type="dxa" w:w="100"/>
                    <w:bottom w:type="dxa" w:w="70"/>
                    <w:right w:type="dxa" w:w="100"/>
                  </w:tcMar>
                  <w:vAlign w:val="center"/>
                </w:tcPr>
                <w:p>
                  <w:pPr>
                    <w:spacing w:after="0"/>
                  </w:pPr>
                  <w:r>
                    <w:rPr>
                      <w:sz w:val="18"/>
                      <w:szCs w:val="18"/>
                    </w:rPr>
                    <w:t xml:space="preserve">Alta por derivación a otro hospital</w:t>
                  </w:r>
                </w:p>
              </w:tc>
              <w:tc>
                <w:tcPr>
                  <w:tcW w:type="dxa" w:w="783"/>
                  <w:tcMar>
                    <w:top w:type="dxa" w:w="70"/>
                    <w:left w:type="dxa" w:w="100"/>
                    <w:bottom w:type="dxa" w:w="70"/>
                    <w:right w:type="dxa" w:w="100"/>
                  </w:tcMar>
                  <w:vAlign w:val="center"/>
                </w:tcPr>
                <w:p>
                  <w:pPr>
                    <w:spacing w:after="0"/>
                  </w:pPr>
                  <w:r>
                    <w:rPr>
                      <w:sz w:val="18"/>
                      <w:szCs w:val="18"/>
                    </w:rPr>
                    <w:t xml:space="preserve">Caso</w:t>
                  </w:r>
                </w:p>
              </w:tc>
              <w:tc>
                <w:tcPr>
                  <w:tcW w:type="dxa" w:w="899"/>
                  <w:tcMar>
                    <w:top w:type="dxa" w:w="70"/>
                    <w:left w:type="dxa" w:w="100"/>
                    <w:bottom w:type="dxa" w:w="70"/>
                    <w:right w:type="dxa" w:w="100"/>
                  </w:tcMar>
                  <w:vAlign w:val="center"/>
                </w:tcPr>
                <w:p>
                  <w:pPr>
                    <w:spacing w:after="0"/>
                  </w:pPr>
                  <w:r>
                    <w:rPr>
                      <w:sz w:val="18"/>
                      <w:szCs w:val="18"/>
                    </w:rPr>
                    <w:t xml:space="preserve">Sí</w:t>
                  </w:r>
                </w:p>
              </w:tc>
              <w:tc>
                <w:tcPr>
                  <w:tcW w:type="dxa" w:w="1019"/>
                  <w:tcMar>
                    <w:top w:type="dxa" w:w="70"/>
                    <w:left w:type="dxa" w:w="100"/>
                    <w:bottom w:type="dxa" w:w="70"/>
                    <w:right w:type="dxa" w:w="100"/>
                  </w:tcMar>
                  <w:vAlign w:val="center"/>
                </w:tcPr>
                <w:p>
                  <w:pPr>
                    <w:spacing w:after="0"/>
                  </w:pPr>
                  <w:r>
                    <w:rPr>
                      <w:sz w:val="18"/>
                      <w:szCs w:val="18"/>
                    </w:rPr>
                    <w:t xml:space="preserve">76.605</w:t>
                  </w:r>
                </w:p>
              </w:tc>
            </w:tr>
            <w:tr>
              <w:trPr>
                <w:cantSplit/>
                <w:tblHeader w:val="off"/>
              </w:trPr>
              <w:tc>
                <w:tcPr>
                  <w:tcW w:type="dxa" w:w="899"/>
                  <w:tcMar>
                    <w:top w:type="dxa" w:w="70"/>
                    <w:left w:type="dxa" w:w="100"/>
                    <w:bottom w:type="dxa" w:w="70"/>
                    <w:right w:type="dxa" w:w="100"/>
                  </w:tcMar>
                  <w:vAlign w:val="center"/>
                </w:tcPr>
                <w:p>
                  <w:pPr>
                    <w:spacing w:after="0"/>
                  </w:pPr>
                  <w:r>
                    <w:rPr>
                      <w:sz w:val="18"/>
                      <w:szCs w:val="18"/>
                    </w:rPr>
                    <w:t xml:space="preserve">E08</w:t>
                  </w:r>
                </w:p>
              </w:tc>
              <w:tc>
                <w:tcPr>
                  <w:tcW w:type="dxa" w:w="3426"/>
                  <w:tcMar>
                    <w:top w:type="dxa" w:w="70"/>
                    <w:left w:type="dxa" w:w="100"/>
                    <w:bottom w:type="dxa" w:w="70"/>
                    <w:right w:type="dxa" w:w="100"/>
                  </w:tcMar>
                  <w:vAlign w:val="center"/>
                </w:tcPr>
                <w:p>
                  <w:pPr>
                    <w:spacing w:after="0"/>
                  </w:pPr>
                  <w:r>
                    <w:rPr>
                      <w:sz w:val="18"/>
                      <w:szCs w:val="18"/>
                    </w:rPr>
                    <w:t xml:space="preserve">Alta por derivación a una institución privada</w:t>
                  </w:r>
                </w:p>
              </w:tc>
              <w:tc>
                <w:tcPr>
                  <w:tcW w:type="dxa" w:w="783"/>
                  <w:tcMar>
                    <w:top w:type="dxa" w:w="70"/>
                    <w:left w:type="dxa" w:w="100"/>
                    <w:bottom w:type="dxa" w:w="70"/>
                    <w:right w:type="dxa" w:w="100"/>
                  </w:tcMar>
                  <w:vAlign w:val="center"/>
                </w:tcPr>
                <w:p>
                  <w:pPr>
                    <w:spacing w:after="0"/>
                  </w:pPr>
                  <w:r>
                    <w:rPr>
                      <w:sz w:val="18"/>
                      <w:szCs w:val="18"/>
                    </w:rPr>
                    <w:t xml:space="preserve">Caso</w:t>
                  </w:r>
                </w:p>
              </w:tc>
              <w:tc>
                <w:tcPr>
                  <w:tcW w:type="dxa" w:w="899"/>
                  <w:tcMar>
                    <w:top w:type="dxa" w:w="70"/>
                    <w:left w:type="dxa" w:w="100"/>
                    <w:bottom w:type="dxa" w:w="70"/>
                    <w:right w:type="dxa" w:w="100"/>
                  </w:tcMar>
                  <w:vAlign w:val="center"/>
                </w:tcPr>
                <w:p>
                  <w:pPr>
                    <w:spacing w:after="0"/>
                  </w:pPr>
                  <w:r>
                    <w:rPr>
                      <w:sz w:val="18"/>
                      <w:szCs w:val="18"/>
                    </w:rPr>
                    <w:t xml:space="preserve">Sí</w:t>
                  </w:r>
                </w:p>
              </w:tc>
              <w:tc>
                <w:tcPr>
                  <w:tcW w:type="dxa" w:w="1019"/>
                  <w:tcMar>
                    <w:top w:type="dxa" w:w="70"/>
                    <w:left w:type="dxa" w:w="100"/>
                    <w:bottom w:type="dxa" w:w="70"/>
                    <w:right w:type="dxa" w:w="100"/>
                  </w:tcMar>
                  <w:vAlign w:val="center"/>
                </w:tcPr>
                <w:p>
                  <w:pPr>
                    <w:spacing w:after="0"/>
                  </w:pPr>
                  <w:r>
                    <w:rPr>
                      <w:sz w:val="18"/>
                      <w:szCs w:val="18"/>
                    </w:rPr>
                    <w:t xml:space="preserve">22.968</w:t>
                  </w:r>
                </w:p>
              </w:tc>
            </w:tr>
            <w:tr>
              <w:trPr>
                <w:cantSplit/>
                <w:tblHeader w:val="off"/>
              </w:trPr>
              <w:tc>
                <w:tcPr>
                  <w:tcW w:type="dxa" w:w="899"/>
                  <w:tcMar>
                    <w:top w:type="dxa" w:w="70"/>
                    <w:left w:type="dxa" w:w="100"/>
                    <w:bottom w:type="dxa" w:w="70"/>
                    <w:right w:type="dxa" w:w="100"/>
                  </w:tcMar>
                  <w:vAlign w:val="center"/>
                </w:tcPr>
                <w:p>
                  <w:pPr>
                    <w:spacing w:after="0"/>
                  </w:pPr>
                  <w:r>
                    <w:rPr>
                      <w:sz w:val="18"/>
                      <w:szCs w:val="18"/>
                    </w:rPr>
                    <w:t xml:space="preserve">E09</w:t>
                  </w:r>
                </w:p>
              </w:tc>
              <w:tc>
                <w:tcPr>
                  <w:tcW w:type="dxa" w:w="3426"/>
                  <w:tcMar>
                    <w:top w:type="dxa" w:w="70"/>
                    <w:left w:type="dxa" w:w="100"/>
                    <w:bottom w:type="dxa" w:w="70"/>
                    <w:right w:type="dxa" w:w="100"/>
                  </w:tcMar>
                  <w:vAlign w:val="center"/>
                </w:tcPr>
                <w:p>
                  <w:pPr>
                    <w:spacing w:after="0"/>
                  </w:pPr>
                  <w:r>
                    <w:rPr>
                      <w:sz w:val="18"/>
                      <w:szCs w:val="18"/>
                    </w:rPr>
                    <w:t xml:space="preserve">Sin GRD válido (D07, D08)</w:t>
                  </w:r>
                </w:p>
              </w:tc>
              <w:tc>
                <w:tcPr>
                  <w:tcW w:type="dxa" w:w="783"/>
                  <w:tcMar>
                    <w:top w:type="dxa" w:w="70"/>
                    <w:left w:type="dxa" w:w="100"/>
                    <w:bottom w:type="dxa" w:w="70"/>
                    <w:right w:type="dxa" w:w="100"/>
                  </w:tcMar>
                  <w:vAlign w:val="center"/>
                </w:tcPr>
                <w:p>
                  <w:pPr>
                    <w:spacing w:after="0"/>
                  </w:pPr>
                  <w:r>
                    <w:rPr>
                      <w:sz w:val="18"/>
                      <w:szCs w:val="18"/>
                    </w:rPr>
                    <w:t xml:space="preserve">Caso</w:t>
                  </w:r>
                </w:p>
              </w:tc>
              <w:tc>
                <w:tcPr>
                  <w:tcW w:type="dxa" w:w="899"/>
                  <w:tcMar>
                    <w:top w:type="dxa" w:w="70"/>
                    <w:left w:type="dxa" w:w="100"/>
                    <w:bottom w:type="dxa" w:w="70"/>
                    <w:right w:type="dxa" w:w="100"/>
                  </w:tcMar>
                  <w:vAlign w:val="center"/>
                </w:tcPr>
                <w:p>
                  <w:pPr>
                    <w:spacing w:after="0"/>
                  </w:pPr>
                  <w:r>
                    <w:rPr>
                      <w:sz w:val="18"/>
                      <w:szCs w:val="18"/>
                    </w:rPr>
                    <w:t xml:space="preserve">Sí</w:t>
                  </w:r>
                </w:p>
              </w:tc>
              <w:tc>
                <w:tcPr>
                  <w:tcW w:type="dxa" w:w="1019"/>
                  <w:tcMar>
                    <w:top w:type="dxa" w:w="70"/>
                    <w:left w:type="dxa" w:w="100"/>
                    <w:bottom w:type="dxa" w:w="70"/>
                    <w:right w:type="dxa" w:w="100"/>
                  </w:tcMar>
                  <w:vAlign w:val="center"/>
                </w:tcPr>
                <w:p>
                  <w:pPr>
                    <w:spacing w:after="0"/>
                  </w:pPr>
                  <w:r>
                    <w:rPr>
                      <w:sz w:val="18"/>
                      <w:szCs w:val="18"/>
                    </w:rPr>
                    <w:t xml:space="preserve">4.799</w:t>
                  </w:r>
                </w:p>
              </w:tc>
            </w:tr>
            <w:tr>
              <w:trPr>
                <w:cantSplit/>
                <w:tblHeader w:val="off"/>
              </w:trPr>
              <w:tc>
                <w:tcPr>
                  <w:tcW w:type="dxa" w:w="899"/>
                  <w:tcMar>
                    <w:top w:type="dxa" w:w="70"/>
                    <w:left w:type="dxa" w:w="100"/>
                    <w:bottom w:type="dxa" w:w="70"/>
                    <w:right w:type="dxa" w:w="100"/>
                  </w:tcMar>
                  <w:vAlign w:val="center"/>
                </w:tcPr>
                <w:p>
                  <w:pPr>
                    <w:spacing w:after="0"/>
                  </w:pPr>
                  <w:r>
                    <w:rPr>
                      <w:sz w:val="18"/>
                      <w:szCs w:val="18"/>
                    </w:rPr>
                    <w:t xml:space="preserve">E10</w:t>
                  </w:r>
                </w:p>
              </w:tc>
              <w:tc>
                <w:tcPr>
                  <w:tcW w:type="dxa" w:w="3426"/>
                  <w:tcMar>
                    <w:top w:type="dxa" w:w="70"/>
                    <w:left w:type="dxa" w:w="100"/>
                    <w:bottom w:type="dxa" w:w="70"/>
                    <w:right w:type="dxa" w:w="100"/>
                  </w:tcMar>
                  <w:vAlign w:val="center"/>
                </w:tcPr>
                <w:p>
                  <w:pPr>
                    <w:spacing w:after="0"/>
                  </w:pPr>
                  <w:r>
                    <w:rPr>
                      <w:sz w:val="18"/>
                      <w:szCs w:val="18"/>
                    </w:rPr>
                    <w:t xml:space="preserve">Datos básicos faltantes (</w:t>
                  </w:r>
                  <w:hyperlink w:history="1" w:anchor="E_D21">
                    <w:r>
                      <w:rPr>
                        <w:color w:val="0563C1"/>
                        <w:sz w:val="18"/>
                        <w:szCs w:val="18"/>
                        <w:u w:val="single"/>
                      </w:rPr>
                      <w:t xml:space="preserve">D21</w:t>
                    </w:r>
                  </w:hyperlink>
                  <w:r>
                    <w:rPr>
                      <w:sz w:val="18"/>
                      <w:szCs w:val="18"/>
                    </w:rPr>
                    <w:t xml:space="preserve">)</w:t>
                  </w:r>
                </w:p>
              </w:tc>
              <w:tc>
                <w:tcPr>
                  <w:tcW w:type="dxa" w:w="783"/>
                  <w:tcMar>
                    <w:top w:type="dxa" w:w="70"/>
                    <w:left w:type="dxa" w:w="100"/>
                    <w:bottom w:type="dxa" w:w="70"/>
                    <w:right w:type="dxa" w:w="100"/>
                  </w:tcMar>
                  <w:vAlign w:val="center"/>
                </w:tcPr>
                <w:p>
                  <w:pPr>
                    <w:spacing w:after="0"/>
                  </w:pPr>
                  <w:r>
                    <w:rPr>
                      <w:sz w:val="18"/>
                      <w:szCs w:val="18"/>
                    </w:rPr>
                    <w:t xml:space="preserve">Caso</w:t>
                  </w:r>
                </w:p>
              </w:tc>
              <w:tc>
                <w:tcPr>
                  <w:tcW w:type="dxa" w:w="899"/>
                  <w:tcMar>
                    <w:top w:type="dxa" w:w="70"/>
                    <w:left w:type="dxa" w:w="100"/>
                    <w:bottom w:type="dxa" w:w="70"/>
                    <w:right w:type="dxa" w:w="100"/>
                  </w:tcMar>
                  <w:vAlign w:val="center"/>
                </w:tcPr>
                <w:p>
                  <w:pPr>
                    <w:spacing w:after="0"/>
                  </w:pPr>
                  <w:r>
                    <w:rPr>
                      <w:sz w:val="18"/>
                      <w:szCs w:val="18"/>
                    </w:rPr>
                    <w:t xml:space="preserve">Sí</w:t>
                  </w:r>
                </w:p>
              </w:tc>
              <w:tc>
                <w:tcPr>
                  <w:tcW w:type="dxa" w:w="1019"/>
                  <w:tcMar>
                    <w:top w:type="dxa" w:w="70"/>
                    <w:left w:type="dxa" w:w="100"/>
                    <w:bottom w:type="dxa" w:w="70"/>
                    <w:right w:type="dxa" w:w="100"/>
                  </w:tcMar>
                  <w:vAlign w:val="center"/>
                </w:tcPr>
                <w:p>
                  <w:pPr>
                    <w:spacing w:after="0"/>
                  </w:pPr>
                  <w:r>
                    <w:rPr>
                      <w:sz w:val="18"/>
                      <w:szCs w:val="18"/>
                    </w:rPr>
                    <w:t xml:space="preserve">99</w:t>
                  </w:r>
                </w:p>
              </w:tc>
            </w:tr>
            <w:tr>
              <w:trPr>
                <w:cantSplit/>
                <w:tblHeader w:val="off"/>
              </w:trPr>
              <w:tc>
                <w:tcPr>
                  <w:tcW w:type="dxa" w:w="899"/>
                  <w:tcMar>
                    <w:top w:type="dxa" w:w="70"/>
                    <w:left w:type="dxa" w:w="100"/>
                    <w:bottom w:type="dxa" w:w="70"/>
                    <w:right w:type="dxa" w:w="100"/>
                  </w:tcMar>
                  <w:vAlign w:val="center"/>
                </w:tcPr>
                <w:p>
                  <w:pPr>
                    <w:spacing w:after="0"/>
                  </w:pPr>
                  <w:r>
                    <w:rPr>
                      <w:sz w:val="18"/>
                      <w:szCs w:val="18"/>
                    </w:rPr>
                    <w:t xml:space="preserve">E11</w:t>
                  </w:r>
                </w:p>
              </w:tc>
              <w:tc>
                <w:tcPr>
                  <w:tcW w:type="dxa" w:w="3426"/>
                  <w:tcMar>
                    <w:top w:type="dxa" w:w="70"/>
                    <w:left w:type="dxa" w:w="100"/>
                    <w:bottom w:type="dxa" w:w="70"/>
                    <w:right w:type="dxa" w:w="100"/>
                  </w:tcMar>
                  <w:vAlign w:val="center"/>
                </w:tcPr>
                <w:p>
                  <w:pPr>
                    <w:spacing w:after="0"/>
                  </w:pPr>
                  <w:r>
                    <w:rPr>
                      <w:sz w:val="18"/>
                      <w:szCs w:val="18"/>
                    </w:rPr>
                    <w:t xml:space="preserve">Seguimiento incompleto (</w:t>
                  </w:r>
                  <w:hyperlink w:history="1" w:anchor="E_D30">
                    <w:r>
                      <w:rPr>
                        <w:color w:val="0563C1"/>
                        <w:sz w:val="18"/>
                        <w:szCs w:val="18"/>
                        <w:u w:val="single"/>
                      </w:rPr>
                      <w:t xml:space="preserve">D30</w:t>
                    </w:r>
                  </w:hyperlink>
                  <w:r>
                    <w:rPr>
                      <w:sz w:val="18"/>
                      <w:szCs w:val="18"/>
                    </w:rPr>
                    <w:t xml:space="preserve">)</w:t>
                  </w:r>
                </w:p>
              </w:tc>
              <w:tc>
                <w:tcPr>
                  <w:tcW w:type="dxa" w:w="783"/>
                  <w:tcMar>
                    <w:top w:type="dxa" w:w="70"/>
                    <w:left w:type="dxa" w:w="100"/>
                    <w:bottom w:type="dxa" w:w="70"/>
                    <w:right w:type="dxa" w:w="100"/>
                  </w:tcMar>
                  <w:vAlign w:val="center"/>
                </w:tcPr>
                <w:p>
                  <w:pPr>
                    <w:spacing w:after="0"/>
                  </w:pPr>
                  <w:r>
                    <w:rPr>
                      <w:sz w:val="18"/>
                      <w:szCs w:val="18"/>
                    </w:rPr>
                    <w:t xml:space="preserve">Caso</w:t>
                  </w:r>
                </w:p>
              </w:tc>
              <w:tc>
                <w:tcPr>
                  <w:tcW w:type="dxa" w:w="899"/>
                  <w:tcMar>
                    <w:top w:type="dxa" w:w="70"/>
                    <w:left w:type="dxa" w:w="100"/>
                    <w:bottom w:type="dxa" w:w="70"/>
                    <w:right w:type="dxa" w:w="100"/>
                  </w:tcMar>
                  <w:vAlign w:val="center"/>
                </w:tcPr>
                <w:p>
                  <w:pPr>
                    <w:spacing w:after="0"/>
                  </w:pPr>
                  <w:r>
                    <w:rPr>
                      <w:sz w:val="18"/>
                      <w:szCs w:val="18"/>
                    </w:rPr>
                    <w:t xml:space="preserve">Sí</w:t>
                  </w:r>
                </w:p>
              </w:tc>
              <w:tc>
                <w:tcPr>
                  <w:tcW w:type="dxa" w:w="1019"/>
                  <w:tcMar>
                    <w:top w:type="dxa" w:w="70"/>
                    <w:left w:type="dxa" w:w="100"/>
                    <w:bottom w:type="dxa" w:w="70"/>
                    <w:right w:type="dxa" w:w="100"/>
                  </w:tcMar>
                  <w:vAlign w:val="center"/>
                </w:tcPr>
                <w:p>
                  <w:pPr>
                    <w:spacing w:after="0"/>
                  </w:pPr>
                  <w:r>
                    <w:rPr>
                      <w:sz w:val="18"/>
                      <w:szCs w:val="18"/>
                    </w:rPr>
                    <w:t xml:space="preserve">176.057</w:t>
                  </w:r>
                </w:p>
              </w:tc>
            </w:tr>
            <w:tr>
              <w:trPr>
                <w:cantSplit/>
                <w:tblHeader w:val="off"/>
              </w:trPr>
              <w:tc>
                <w:tcPr>
                  <w:tcW w:type="dxa" w:w="899"/>
                  <w:tcMar>
                    <w:top w:type="dxa" w:w="70"/>
                    <w:left w:type="dxa" w:w="100"/>
                    <w:bottom w:type="dxa" w:w="70"/>
                    <w:right w:type="dxa" w:w="100"/>
                  </w:tcMar>
                  <w:vAlign w:val="center"/>
                </w:tcPr>
                <w:p>
                  <w:pPr>
                    <w:spacing w:after="0"/>
                  </w:pPr>
                  <w:r>
                    <w:rPr>
                      <w:sz w:val="18"/>
                      <w:szCs w:val="18"/>
                    </w:rPr>
                    <w:t xml:space="preserve">E12</w:t>
                  </w:r>
                </w:p>
              </w:tc>
              <w:tc>
                <w:tcPr>
                  <w:tcW w:type="dxa" w:w="3426"/>
                  <w:tcMar>
                    <w:top w:type="dxa" w:w="70"/>
                    <w:left w:type="dxa" w:w="100"/>
                    <w:bottom w:type="dxa" w:w="70"/>
                    <w:right w:type="dxa" w:w="100"/>
                  </w:tcMar>
                  <w:vAlign w:val="center"/>
                </w:tcPr>
                <w:p>
                  <w:pPr>
                    <w:spacing w:after="0"/>
                  </w:pPr>
                  <w:r>
                    <w:rPr>
                      <w:sz w:val="18"/>
                      <w:szCs w:val="18"/>
                    </w:rPr>
                    <w:t xml:space="preserve">Alta voluntaria o fuga del paciente</w:t>
                  </w:r>
                </w:p>
              </w:tc>
              <w:tc>
                <w:tcPr>
                  <w:tcW w:type="dxa" w:w="783"/>
                  <w:tcMar>
                    <w:top w:type="dxa" w:w="70"/>
                    <w:left w:type="dxa" w:w="100"/>
                    <w:bottom w:type="dxa" w:w="70"/>
                    <w:right w:type="dxa" w:w="100"/>
                  </w:tcMar>
                  <w:vAlign w:val="center"/>
                </w:tcPr>
                <w:p>
                  <w:pPr>
                    <w:spacing w:after="0"/>
                  </w:pPr>
                  <w:r>
                    <w:rPr>
                      <w:sz w:val="18"/>
                      <w:szCs w:val="18"/>
                    </w:rPr>
                    <w:t xml:space="preserve">Caso</w:t>
                  </w:r>
                </w:p>
              </w:tc>
              <w:tc>
                <w:tcPr>
                  <w:tcW w:type="dxa" w:w="899"/>
                  <w:tcMar>
                    <w:top w:type="dxa" w:w="70"/>
                    <w:left w:type="dxa" w:w="100"/>
                    <w:bottom w:type="dxa" w:w="70"/>
                    <w:right w:type="dxa" w:w="100"/>
                  </w:tcMar>
                  <w:vAlign w:val="center"/>
                </w:tcPr>
                <w:p>
                  <w:pPr>
                    <w:spacing w:after="0"/>
                  </w:pPr>
                  <w:r>
                    <w:rPr>
                      <w:sz w:val="18"/>
                      <w:szCs w:val="18"/>
                    </w:rPr>
                    <w:t xml:space="preserve">No</w:t>
                  </w:r>
                </w:p>
              </w:tc>
              <w:tc>
                <w:tcPr>
                  <w:tcW w:type="dxa" w:w="1019"/>
                  <w:tcMar>
                    <w:top w:type="dxa" w:w="70"/>
                    <w:left w:type="dxa" w:w="100"/>
                    <w:bottom w:type="dxa" w:w="70"/>
                    <w:right w:type="dxa" w:w="100"/>
                  </w:tcMar>
                  <w:vAlign w:val="center"/>
                </w:tcPr>
                <w:p>
                  <w:pPr>
                    <w:spacing w:after="0"/>
                  </w:pPr>
                  <w:r>
                    <w:rPr>
                      <w:sz w:val="18"/>
                      <w:szCs w:val="18"/>
                    </w:rPr>
                    <w:t xml:space="preserve">—</w:t>
                  </w:r>
                </w:p>
              </w:tc>
            </w:tr>
            <w:tr>
              <w:trPr>
                <w:cantSplit/>
                <w:tblHeader w:val="off"/>
              </w:trPr>
              <w:tc>
                <w:tcPr>
                  <w:tcW w:type="dxa" w:w="899"/>
                  <w:tcMar>
                    <w:top w:type="dxa" w:w="70"/>
                    <w:left w:type="dxa" w:w="100"/>
                    <w:bottom w:type="dxa" w:w="70"/>
                    <w:right w:type="dxa" w:w="100"/>
                  </w:tcMar>
                  <w:vAlign w:val="center"/>
                </w:tcPr>
                <w:p>
                  <w:pPr>
                    <w:spacing w:after="0"/>
                  </w:pPr>
                  <w:r>
                    <w:rPr>
                      <w:sz w:val="18"/>
                      <w:szCs w:val="18"/>
                    </w:rPr>
                    <w:t xml:space="preserve">E13</w:t>
                  </w:r>
                </w:p>
              </w:tc>
              <w:tc>
                <w:tcPr>
                  <w:tcW w:type="dxa" w:w="3426"/>
                  <w:tcMar>
                    <w:top w:type="dxa" w:w="70"/>
                    <w:left w:type="dxa" w:w="100"/>
                    <w:bottom w:type="dxa" w:w="70"/>
                    <w:right w:type="dxa" w:w="100"/>
                  </w:tcMar>
                  <w:vAlign w:val="center"/>
                </w:tcPr>
                <w:p>
                  <w:pPr>
                    <w:spacing w:after="0"/>
                  </w:pPr>
                  <w:r>
                    <w:rPr>
                      <w:sz w:val="18"/>
                      <w:szCs w:val="18"/>
                    </w:rPr>
                    <w:t xml:space="preserve">Cirugía mayor ambulatoria (</w:t>
                  </w:r>
                  <w:hyperlink w:history="1" w:anchor="E_D32">
                    <w:r>
                      <w:rPr>
                        <w:color w:val="0563C1"/>
                        <w:sz w:val="18"/>
                        <w:szCs w:val="18"/>
                        <w:u w:val="single"/>
                      </w:rPr>
                      <w:t xml:space="preserve">D32</w:t>
                    </w:r>
                  </w:hyperlink>
                  <w:r>
                    <w:rPr>
                      <w:sz w:val="18"/>
                      <w:szCs w:val="18"/>
                    </w:rPr>
                    <w:t xml:space="preserve">)</w:t>
                  </w:r>
                </w:p>
              </w:tc>
              <w:tc>
                <w:tcPr>
                  <w:tcW w:type="dxa" w:w="783"/>
                  <w:tcMar>
                    <w:top w:type="dxa" w:w="70"/>
                    <w:left w:type="dxa" w:w="100"/>
                    <w:bottom w:type="dxa" w:w="70"/>
                    <w:right w:type="dxa" w:w="100"/>
                  </w:tcMar>
                  <w:vAlign w:val="center"/>
                </w:tcPr>
                <w:p>
                  <w:pPr>
                    <w:spacing w:after="0"/>
                  </w:pPr>
                  <w:r>
                    <w:rPr>
                      <w:sz w:val="18"/>
                      <w:szCs w:val="18"/>
                    </w:rPr>
                    <w:t xml:space="preserve">Caso</w:t>
                  </w:r>
                </w:p>
              </w:tc>
              <w:tc>
                <w:tcPr>
                  <w:tcW w:type="dxa" w:w="899"/>
                  <w:tcMar>
                    <w:top w:type="dxa" w:w="70"/>
                    <w:left w:type="dxa" w:w="100"/>
                    <w:bottom w:type="dxa" w:w="70"/>
                    <w:right w:type="dxa" w:w="100"/>
                  </w:tcMar>
                  <w:vAlign w:val="center"/>
                </w:tcPr>
                <w:p>
                  <w:pPr>
                    <w:spacing w:after="0"/>
                  </w:pPr>
                  <w:r>
                    <w:rPr>
                      <w:sz w:val="18"/>
                      <w:szCs w:val="18"/>
                    </w:rPr>
                    <w:t xml:space="preserve">Sí</w:t>
                  </w:r>
                </w:p>
              </w:tc>
              <w:tc>
                <w:tcPr>
                  <w:tcW w:type="dxa" w:w="1019"/>
                  <w:tcMar>
                    <w:top w:type="dxa" w:w="70"/>
                    <w:left w:type="dxa" w:w="100"/>
                    <w:bottom w:type="dxa" w:w="70"/>
                    <w:right w:type="dxa" w:w="100"/>
                  </w:tcMar>
                  <w:vAlign w:val="center"/>
                </w:tcPr>
                <w:p>
                  <w:pPr>
                    <w:spacing w:after="0"/>
                  </w:pPr>
                  <w:r>
                    <w:rPr>
                      <w:sz w:val="18"/>
                      <w:szCs w:val="18"/>
                    </w:rPr>
                    <w:t xml:space="preserve">845.604</w:t>
                  </w:r>
                </w:p>
              </w:tc>
            </w:tr>
            <w:tr>
              <w:trPr>
                <w:cantSplit/>
                <w:tblHeader w:val="off"/>
              </w:trPr>
              <w:tc>
                <w:tcPr>
                  <w:tcW w:type="dxa" w:w="899"/>
                  <w:tcMar>
                    <w:top w:type="dxa" w:w="70"/>
                    <w:left w:type="dxa" w:w="100"/>
                    <w:bottom w:type="dxa" w:w="70"/>
                    <w:right w:type="dxa" w:w="100"/>
                  </w:tcMar>
                  <w:vAlign w:val="center"/>
                </w:tcPr>
                <w:p>
                  <w:pPr>
                    <w:spacing w:after="0"/>
                  </w:pPr>
                  <w:r>
                    <w:rPr>
                      <w:sz w:val="18"/>
                      <w:szCs w:val="18"/>
                    </w:rPr>
                    <w:t xml:space="preserve">E14</w:t>
                  </w:r>
                </w:p>
              </w:tc>
              <w:tc>
                <w:tcPr>
                  <w:tcW w:type="dxa" w:w="3426"/>
                  <w:tcMar>
                    <w:top w:type="dxa" w:w="70"/>
                    <w:left w:type="dxa" w:w="100"/>
                    <w:bottom w:type="dxa" w:w="70"/>
                    <w:right w:type="dxa" w:w="100"/>
                  </w:tcMar>
                  <w:vAlign w:val="center"/>
                </w:tcPr>
                <w:p>
                  <w:pPr>
                    <w:spacing w:after="0"/>
                  </w:pPr>
                  <w:r>
                    <w:rPr>
                      <w:sz w:val="18"/>
                      <w:szCs w:val="18"/>
                    </w:rPr>
                    <w:t xml:space="preserve">Sesión de tratamiento, diagnóstico principal Z51 (</w:t>
                  </w:r>
                  <w:hyperlink w:history="1" w:anchor="E_D33">
                    <w:r>
                      <w:rPr>
                        <w:color w:val="0563C1"/>
                        <w:sz w:val="18"/>
                        <w:szCs w:val="18"/>
                        <w:u w:val="single"/>
                      </w:rPr>
                      <w:t xml:space="preserve">D33</w:t>
                    </w:r>
                  </w:hyperlink>
                  <w:r>
                    <w:rPr>
                      <w:sz w:val="18"/>
                      <w:szCs w:val="18"/>
                    </w:rPr>
                    <w:t xml:space="preserve">)</w:t>
                  </w:r>
                </w:p>
              </w:tc>
              <w:tc>
                <w:tcPr>
                  <w:tcW w:type="dxa" w:w="783"/>
                  <w:tcMar>
                    <w:top w:type="dxa" w:w="70"/>
                    <w:left w:type="dxa" w:w="100"/>
                    <w:bottom w:type="dxa" w:w="70"/>
                    <w:right w:type="dxa" w:w="100"/>
                  </w:tcMar>
                  <w:vAlign w:val="center"/>
                </w:tcPr>
                <w:p>
                  <w:pPr>
                    <w:spacing w:after="0"/>
                  </w:pPr>
                  <w:r>
                    <w:rPr>
                      <w:sz w:val="18"/>
                      <w:szCs w:val="18"/>
                    </w:rPr>
                    <w:t xml:space="preserve">Caso</w:t>
                  </w:r>
                </w:p>
              </w:tc>
              <w:tc>
                <w:tcPr>
                  <w:tcW w:type="dxa" w:w="899"/>
                  <w:tcMar>
                    <w:top w:type="dxa" w:w="70"/>
                    <w:left w:type="dxa" w:w="100"/>
                    <w:bottom w:type="dxa" w:w="70"/>
                    <w:right w:type="dxa" w:w="100"/>
                  </w:tcMar>
                  <w:vAlign w:val="center"/>
                </w:tcPr>
                <w:p>
                  <w:pPr>
                    <w:spacing w:after="0"/>
                  </w:pPr>
                  <w:r>
                    <w:rPr>
                      <w:sz w:val="18"/>
                      <w:szCs w:val="18"/>
                    </w:rPr>
                    <w:t xml:space="preserve">Sí</w:t>
                  </w:r>
                </w:p>
              </w:tc>
              <w:tc>
                <w:tcPr>
                  <w:tcW w:type="dxa" w:w="1019"/>
                  <w:tcMar>
                    <w:top w:type="dxa" w:w="70"/>
                    <w:left w:type="dxa" w:w="100"/>
                    <w:bottom w:type="dxa" w:w="70"/>
                    <w:right w:type="dxa" w:w="100"/>
                  </w:tcMar>
                  <w:vAlign w:val="center"/>
                </w:tcPr>
                <w:p>
                  <w:pPr>
                    <w:spacing w:after="0"/>
                  </w:pPr>
                  <w:r>
                    <w:rPr>
                      <w:sz w:val="18"/>
                      <w:szCs w:val="18"/>
                    </w:rPr>
                    <w:t xml:space="preserve">81.925</w:t>
                  </w:r>
                </w:p>
              </w:tc>
            </w:tr>
          </w:tbl>
          <w:p>
            <w:pPr>
              <w:spacing w:after="0"/>
            </w:pP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Conjunto final</w:t>
            </w:r>
          </w:p>
        </w:tc>
        <w:tc>
          <w:tcPr>
            <w:tcW w:type="dxa" w:w="7226"/>
            <w:tcMar>
              <w:top w:type="dxa" w:w="70"/>
              <w:left w:type="dxa" w:w="100"/>
              <w:bottom w:type="dxa" w:w="70"/>
              <w:right w:type="dxa" w:w="100"/>
            </w:tcMar>
          </w:tcPr>
          <w:p>
            <w:pPr>
              <w:keepNext/>
              <w:spacing w:after="0" w:before="0"/>
            </w:pPr>
            <w:r>
              <w:rPr>
                <w:sz w:val="20"/>
                <w:szCs w:val="20"/>
              </w:rPr>
              <w:t xml:space="preserve">De los 5.800.973 egresos de la tabla depurada, 4.192.410 (72,3 %) son caso de estudio y 5.565.982 (95,9 %) pueden contar como reingreso.</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Criterio desactivado</w:t>
            </w:r>
          </w:p>
        </w:tc>
        <w:tc>
          <w:tcPr>
            <w:tcW w:type="dxa" w:w="7226"/>
            <w:tcMar>
              <w:top w:type="dxa" w:w="70"/>
              <w:left w:type="dxa" w:w="100"/>
              <w:bottom w:type="dxa" w:w="70"/>
              <w:right w:type="dxa" w:w="100"/>
            </w:tcMar>
          </w:tcPr>
          <w:p>
            <w:pPr>
              <w:keepNext/>
              <w:spacing w:after="0" w:before="0"/>
            </w:pPr>
            <w:r>
              <w:rPr>
                <w:sz w:val="20"/>
                <w:szCs w:val="20"/>
              </w:rPr>
              <w:t xml:space="preserve">El alta voluntaria y la fuga se conservan: son 69.296 casos de estudio con más reingreso que el resto (12,69 % y 20,08 % a 30 días, frente a 5,57 % del alta a domicilio), y dejarlos fuera quitaría un grupo de mayor riesgo.</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Reemplaza a</w:t>
            </w:r>
          </w:p>
        </w:tc>
        <w:tc>
          <w:tcPr>
            <w:tcW w:type="dxa" w:w="7226"/>
            <w:tcMar>
              <w:top w:type="dxa" w:w="70"/>
              <w:left w:type="dxa" w:w="100"/>
              <w:bottom w:type="dxa" w:w="70"/>
              <w:right w:type="dxa" w:w="100"/>
            </w:tcMar>
          </w:tcPr>
          <w:p>
            <w:pPr>
              <w:keepNext/>
              <w:spacing w:after="0" w:before="0"/>
            </w:pPr>
            <w:r>
              <w:rPr>
                <w:sz w:val="20"/>
                <w:szCs w:val="20"/>
              </w:rPr>
              <w:t xml:space="preserve">la tabla de </w:t>
            </w:r>
            <w:hyperlink w:history="1" w:anchor="E_D23">
              <w:r>
                <w:rPr>
                  <w:color w:val="0563C1"/>
                  <w:sz w:val="20"/>
                  <w:szCs w:val="20"/>
                  <w:u w:val="single"/>
                </w:rPr>
                <w:t xml:space="preserve">D23</w:t>
              </w:r>
            </w:hyperlink>
            <w:r>
              <w:rPr>
                <w:sz w:val="20"/>
                <w:szCs w:val="20"/>
              </w:rPr>
              <w:t xml:space="preserve">.</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Evidencia</w:t>
            </w:r>
          </w:p>
        </w:tc>
        <w:tc>
          <w:tcPr>
            <w:tcW w:type="dxa" w:w="7226"/>
            <w:tcMar>
              <w:top w:type="dxa" w:w="70"/>
              <w:left w:type="dxa" w:w="100"/>
              <w:bottom w:type="dxa" w:w="70"/>
              <w:right w:type="dxa" w:w="100"/>
            </w:tcMar>
          </w:tcPr>
          <w:p>
            <w:pPr>
              <w:keepNext/>
              <w:spacing w:after="0" w:before="0"/>
            </w:pPr>
            <w:r>
              <w:rPr>
                <w:rFonts w:ascii="Consolas" w:cs="Consolas" w:eastAsia="Consolas" w:hAnsi="Consolas"/>
                <w:sz w:val="18"/>
                <w:szCs w:val="18"/>
                <w:shd w:fill="F2F2F2" w:color="auto" w:val="clear"/>
              </w:rPr>
              <w:t xml:space="preserve">2.2_depuracion_etiquetado/reportes/08_depuracion.md</w:t>
            </w:r>
            <w:r>
              <w:rPr>
                <w:sz w:val="20"/>
                <w:szCs w:val="20"/>
              </w:rPr>
              <w:t xml:space="preserve">, sección 5.</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Estado</w:t>
            </w:r>
          </w:p>
        </w:tc>
        <w:tc>
          <w:tcPr>
            <w:tcW w:type="dxa" w:w="7226"/>
            <w:tcMar>
              <w:top w:type="dxa" w:w="70"/>
              <w:left w:type="dxa" w:w="100"/>
              <w:bottom w:type="dxa" w:w="70"/>
              <w:right w:type="dxa" w:w="100"/>
            </w:tcMar>
          </w:tcPr>
          <w:p>
            <w:pPr>
              <w:keepNext w:val="false"/>
              <w:spacing w:after="0" w:before="0"/>
            </w:pPr>
            <w:r>
              <w:rPr>
                <w:sz w:val="20"/>
                <w:szCs w:val="20"/>
              </w:rPr>
              <w:t xml:space="preserve">Adoptada. El profesor guía la aprobó el 13 de octubre de 2026 a condición de incorporar los puntos 2.1 y 2.4 de su revisión, incorporados el 20 de octubre (</w:t>
            </w:r>
            <w:hyperlink w:history="1" w:anchor="E_H26">
              <w:r>
                <w:rPr>
                  <w:color w:val="0563C1"/>
                  <w:sz w:val="20"/>
                  <w:szCs w:val="20"/>
                  <w:u w:val="single"/>
                </w:rPr>
                <w:t xml:space="preserve">H26</w:t>
              </w:r>
            </w:hyperlink>
            <w:r>
              <w:rPr>
                <w:sz w:val="20"/>
                <w:szCs w:val="20"/>
              </w:rPr>
              <w:t xml:space="preserve">, </w:t>
            </w:r>
            <w:hyperlink w:history="1" w:anchor="E_H27">
              <w:r>
                <w:rPr>
                  <w:color w:val="0563C1"/>
                  <w:sz w:val="20"/>
                  <w:szCs w:val="20"/>
                  <w:u w:val="single"/>
                </w:rPr>
                <w:t xml:space="preserve">H27</w:t>
              </w:r>
            </w:hyperlink>
            <w:r>
              <w:rPr>
                <w:sz w:val="20"/>
                <w:szCs w:val="20"/>
              </w:rPr>
              <w:t xml:space="preserve">, </w:t>
            </w:r>
            <w:hyperlink w:history="1" w:anchor="E_D38">
              <w:r>
                <w:rPr>
                  <w:color w:val="0563C1"/>
                  <w:sz w:val="20"/>
                  <w:szCs w:val="20"/>
                  <w:u w:val="single"/>
                </w:rPr>
                <w:t xml:space="preserve">D38</w:t>
              </w:r>
            </w:hyperlink>
            <w:r>
              <w:rPr>
                <w:sz w:val="20"/>
                <w:szCs w:val="20"/>
              </w:rPr>
              <w:t xml:space="preserve"> y </w:t>
            </w:r>
            <w:hyperlink w:history="1" w:anchor="E_D39">
              <w:r>
                <w:rPr>
                  <w:color w:val="0563C1"/>
                  <w:sz w:val="20"/>
                  <w:szCs w:val="20"/>
                  <w:u w:val="single"/>
                </w:rPr>
                <w:t xml:space="preserve">D39</w:t>
              </w:r>
            </w:hyperlink>
            <w:r>
              <w:rPr>
                <w:sz w:val="20"/>
                <w:szCs w:val="20"/>
              </w:rPr>
              <w:t xml:space="preserve">). Los catorce criterios no cambiaron.</w:t>
            </w:r>
          </w:p>
        </w:tc>
      </w:tr>
    </w:tbl>
    <w:p>
      <w:pPr>
        <w:pStyle w:val="Heading2"/>
      </w:pPr>
      <w:bookmarkStart w:name="E_D36" w:id="28"/>
      <w:r>
        <w:rPr>
          <w:color w:val="548235"/>
        </w:rPr>
        <w:t xml:space="preserve">D36</w:t>
      </w:r>
      <w:bookmarkEnd w:id="28"/>
      <w:r>
        <w:t xml:space="preserve"> · Versión del conjunto analítico, diccionario y pruebas independientes</w:t>
      </w:r>
    </w:p>
    <w:p>
      <w:pPr>
        <w:keepNext/>
        <w:spacing w:after="100"/>
      </w:pPr>
      <w:r>
        <w:rPr>
          <w:b/>
          <w:bCs/>
          <w:color w:val="548235"/>
          <w:sz w:val="18"/>
          <w:szCs w:val="18"/>
        </w:rPr>
        <w:t xml:space="preserve">Decisión</w:t>
      </w:r>
      <w:r>
        <w:rPr>
          <w:color w:val="808080"/>
          <w:sz w:val="18"/>
          <w:szCs w:val="18"/>
        </w:rPr>
        <w:t xml:space="preserve">  ·  8 de octubre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2.2</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Decisión</w:t>
            </w:r>
          </w:p>
        </w:tc>
        <w:tc>
          <w:tcPr>
            <w:tcW w:type="dxa" w:w="7226"/>
            <w:tcMar>
              <w:top w:type="dxa" w:w="70"/>
              <w:left w:type="dxa" w:w="100"/>
              <w:bottom w:type="dxa" w:w="70"/>
              <w:right w:type="dxa" w:w="100"/>
            </w:tcMar>
          </w:tcPr>
          <w:p>
            <w:pPr>
              <w:keepNext/>
              <w:spacing w:after="0" w:before="0"/>
            </w:pPr>
            <w:r>
              <w:rPr>
                <w:sz w:val="20"/>
                <w:szCs w:val="20"/>
              </w:rPr>
              <w:t xml:space="preserve">El conjunto analítico es </w:t>
            </w:r>
            <w:r>
              <w:rPr>
                <w:rFonts w:ascii="Consolas" w:cs="Consolas" w:eastAsia="Consolas" w:hAnsi="Consolas"/>
                <w:sz w:val="18"/>
                <w:szCs w:val="18"/>
                <w:shd w:fill="F2F2F2" w:color="auto" w:val="clear"/>
              </w:rPr>
              <w:t xml:space="preserve">data/processed/grd_etiquetado.parquet</w:t>
            </w:r>
            <w:r>
              <w:rPr>
                <w:sz w:val="20"/>
                <w:szCs w:val="20"/>
              </w:rPr>
              <w:t xml:space="preserve">. Su versión se registra en </w:t>
            </w:r>
            <w:r>
              <w:rPr>
                <w:rFonts w:ascii="Consolas" w:cs="Consolas" w:eastAsia="Consolas" w:hAnsi="Consolas"/>
                <w:sz w:val="18"/>
                <w:szCs w:val="18"/>
                <w:shd w:fill="F2F2F2" w:color="auto" w:val="clear"/>
              </w:rPr>
              <w:t xml:space="preserve">docs/version_conjunto_analitico.csv</w:t>
            </w:r>
            <w:r>
              <w:rPr>
                <w:sz w:val="20"/>
                <w:szCs w:val="20"/>
              </w:rPr>
              <w:t xml:space="preserve"> con el hash SHA-256 del archivo y de lo que lo produce (tabla integrada, tablas de reglas y scripts 08 y 09). El diccionario de sus 163 columnas está en </w:t>
            </w:r>
            <w:r>
              <w:rPr>
                <w:rFonts w:ascii="Consolas" w:cs="Consolas" w:eastAsia="Consolas" w:hAnsi="Consolas"/>
                <w:sz w:val="18"/>
                <w:szCs w:val="18"/>
                <w:shd w:fill="F2F2F2" w:color="auto" w:val="clear"/>
              </w:rPr>
              <w:t xml:space="preserve">docs/diccionario_conjunto_analitico.md</w:t>
            </w:r>
            <w:r>
              <w:rPr>
                <w:sz w:val="20"/>
                <w:szCs w:val="20"/>
              </w:rPr>
              <w:t xml:space="preserve">. Ambos los genera el script 12.</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Versión 1</w:t>
            </w:r>
          </w:p>
        </w:tc>
        <w:tc>
          <w:tcPr>
            <w:tcW w:type="dxa" w:w="7226"/>
            <w:tcMar>
              <w:top w:type="dxa" w:w="70"/>
              <w:left w:type="dxa" w:w="100"/>
              <w:bottom w:type="dxa" w:w="70"/>
              <w:right w:type="dxa" w:w="100"/>
            </w:tcMar>
          </w:tcPr>
          <w:p>
            <w:pPr>
              <w:keepNext/>
              <w:spacing w:after="0" w:before="0"/>
            </w:pPr>
            <w:r>
              <w:rPr>
                <w:sz w:val="20"/>
                <w:szCs w:val="20"/>
              </w:rPr>
              <w:t xml:space="preserve">Registrada el 8 de octubre de 2026. SHA-256 </w:t>
            </w:r>
            <w:r>
              <w:rPr>
                <w:rFonts w:ascii="Consolas" w:cs="Consolas" w:eastAsia="Consolas" w:hAnsi="Consolas"/>
                <w:sz w:val="18"/>
                <w:szCs w:val="18"/>
                <w:shd w:fill="F2F2F2" w:color="auto" w:val="clear"/>
              </w:rPr>
              <w:t xml:space="preserve">b4016246501d73a6bafa3fde20ab8b8c58e7482cbc259da8730f5b6dd70cbfe5</w:t>
            </w:r>
            <w:r>
              <w:rPr>
                <w:sz w:val="20"/>
                <w:szCs w:val="20"/>
              </w:rPr>
              <w:t xml:space="preserve">; 5.800.973 registros, 163 columnas y 4.192.410 casos de estudio.</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Versión 2</w:t>
            </w:r>
          </w:p>
        </w:tc>
        <w:tc>
          <w:tcPr>
            <w:tcW w:type="dxa" w:w="7226"/>
            <w:tcMar>
              <w:top w:type="dxa" w:w="70"/>
              <w:left w:type="dxa" w:w="100"/>
              <w:bottom w:type="dxa" w:w="70"/>
              <w:right w:type="dxa" w:w="100"/>
            </w:tcMar>
          </w:tcPr>
          <w:p>
            <w:pPr>
              <w:keepNext/>
              <w:spacing w:after="0" w:before="0"/>
            </w:pPr>
            <w:r>
              <w:rPr>
                <w:sz w:val="20"/>
                <w:szCs w:val="20"/>
              </w:rPr>
              <w:t xml:space="preserve">Registrada el 20 de octubre de 2026, con </w:t>
            </w:r>
            <w:hyperlink w:history="1" w:anchor="E_D38">
              <w:r>
                <w:rPr>
                  <w:color w:val="0563C1"/>
                  <w:sz w:val="20"/>
                  <w:szCs w:val="20"/>
                  <w:u w:val="single"/>
                </w:rPr>
                <w:t xml:space="preserve">D38</w:t>
              </w:r>
            </w:hyperlink>
            <w:r>
              <w:rPr>
                <w:sz w:val="20"/>
                <w:szCs w:val="20"/>
              </w:rPr>
              <w:t xml:space="preserve">. SHA-256 </w:t>
            </w:r>
            <w:r>
              <w:rPr>
                <w:rFonts w:ascii="Consolas" w:cs="Consolas" w:eastAsia="Consolas" w:hAnsi="Consolas"/>
                <w:sz w:val="18"/>
                <w:szCs w:val="18"/>
                <w:shd w:fill="F2F2F2" w:color="auto" w:val="clear"/>
              </w:rPr>
              <w:t xml:space="preserve">f9b8be4065bad16dfe27a46a95db4f742024b1e817046d1d9b26e0a893b900dc</w:t>
            </w:r>
            <w:r>
              <w:rPr>
                <w:sz w:val="20"/>
                <w:szCs w:val="20"/>
              </w:rPr>
              <w:t xml:space="preserve">; mismos registros, columnas y casos de estudio. Respecto de la versión 1 solo cambian </w:t>
            </w:r>
            <w:r>
              <w:rPr>
                <w:rFonts w:ascii="Consolas" w:cs="Consolas" w:eastAsia="Consolas" w:hAnsi="Consolas"/>
                <w:sz w:val="18"/>
                <w:szCs w:val="18"/>
                <w:shd w:fill="F2F2F2" w:color="auto" w:val="clear"/>
              </w:rPr>
              <w:t xml:space="preserve">REING_7D_CDM</w:t>
            </w:r>
            <w:r>
              <w:rPr>
                <w:sz w:val="20"/>
                <w:szCs w:val="20"/>
              </w:rPr>
              <w:t xml:space="preserve"> y </w:t>
            </w:r>
            <w:r>
              <w:rPr>
                <w:rFonts w:ascii="Consolas" w:cs="Consolas" w:eastAsia="Consolas" w:hAnsi="Consolas"/>
                <w:sz w:val="18"/>
                <w:szCs w:val="18"/>
                <w:shd w:fill="F2F2F2" w:color="auto" w:val="clear"/>
              </w:rPr>
              <w:t xml:space="preserve">REING_30D_CDM</w:t>
            </w:r>
            <w:r>
              <w:rPr>
                <w:sz w:val="20"/>
                <w:szCs w:val="20"/>
              </w:rPr>
              <w:t xml:space="preserve"> de los partos (615.167 y 603.423 celdas, todas de 0 a sin dato).</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Uso</w:t>
            </w:r>
          </w:p>
        </w:tc>
        <w:tc>
          <w:tcPr>
            <w:tcW w:type="dxa" w:w="7226"/>
            <w:tcMar>
              <w:top w:type="dxa" w:w="70"/>
              <w:left w:type="dxa" w:w="100"/>
              <w:bottom w:type="dxa" w:w="70"/>
              <w:right w:type="dxa" w:w="100"/>
            </w:tcMar>
          </w:tcPr>
          <w:p>
            <w:pPr>
              <w:keepNext/>
              <w:spacing w:after="0" w:before="0"/>
            </w:pPr>
            <w:r>
              <w:rPr>
                <w:sz w:val="20"/>
                <w:szCs w:val="20"/>
              </w:rPr>
              <w:t xml:space="preserve">La partición (actividad 2.3) debe comprobar que el archivo que lee tiene el hash de la última versión registrada. Si se vuelven a ejecutar los scripts 08 o 09 y el archivo cambia, hay que registrar una versión nueva.</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Pruebas independientes</w:t>
            </w:r>
          </w:p>
        </w:tc>
        <w:tc>
          <w:tcPr>
            <w:tcW w:type="dxa" w:w="7226"/>
            <w:tcMar>
              <w:top w:type="dxa" w:w="70"/>
              <w:left w:type="dxa" w:w="100"/>
              <w:bottom w:type="dxa" w:w="70"/>
              <w:right w:type="dxa" w:w="100"/>
            </w:tcMar>
          </w:tcPr>
          <w:p>
            <w:pPr>
              <w:keepNext/>
              <w:spacing w:after="0" w:before="0"/>
            </w:pPr>
            <w:r>
              <w:rPr>
                <w:sz w:val="20"/>
                <w:szCs w:val="20"/>
              </w:rPr>
              <w:t xml:space="preserve">Los tres programas que contrastan los resultados con otro método quedan en </w:t>
            </w:r>
            <w:r>
              <w:rPr>
                <w:rFonts w:ascii="Consolas" w:cs="Consolas" w:eastAsia="Consolas" w:hAnsi="Consolas"/>
                <w:sz w:val="18"/>
                <w:szCs w:val="18"/>
                <w:shd w:fill="F2F2F2" w:color="auto" w:val="clear"/>
              </w:rPr>
              <w:t xml:space="preserve">2.2_depuracion_etiquetado/pruebas/</w:t>
            </w:r>
            <w:r>
              <w:rPr>
                <w:sz w:val="20"/>
                <w:szCs w:val="20"/>
              </w:rPr>
              <w:t xml:space="preserve">. </w:t>
            </w:r>
            <w:r>
              <w:rPr>
                <w:rFonts w:ascii="Consolas" w:cs="Consolas" w:eastAsia="Consolas" w:hAnsi="Consolas"/>
                <w:sz w:val="18"/>
                <w:szCs w:val="18"/>
                <w:shd w:fill="F2F2F2" w:color="auto" w:val="clear"/>
              </w:rPr>
              <w:t xml:space="preserve">ejecutar_pruebas.py</w:t>
            </w:r>
            <w:r>
              <w:rPr>
                <w:sz w:val="20"/>
                <w:szCs w:val="20"/>
              </w:rPr>
              <w:t xml:space="preserve"> los ejecuta y deja </w:t>
            </w:r>
            <w:r>
              <w:rPr>
                <w:rFonts w:ascii="Consolas" w:cs="Consolas" w:eastAsia="Consolas" w:hAnsi="Consolas"/>
                <w:sz w:val="18"/>
                <w:szCs w:val="18"/>
                <w:shd w:fill="F2F2F2" w:color="auto" w:val="clear"/>
              </w:rPr>
              <w:t xml:space="preserve">reportes/pruebas_independientes.md</w:t>
            </w:r>
            <w:r>
              <w:rPr>
                <w:sz w:val="20"/>
                <w:szCs w:val="20"/>
              </w:rPr>
              <w:t xml:space="preserve">.</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Fundamento</w:t>
            </w:r>
          </w:p>
        </w:tc>
        <w:tc>
          <w:tcPr>
            <w:tcW w:type="dxa" w:w="7226"/>
            <w:tcMar>
              <w:top w:type="dxa" w:w="70"/>
              <w:left w:type="dxa" w:w="100"/>
              <w:bottom w:type="dxa" w:w="70"/>
              <w:right w:type="dxa" w:w="100"/>
            </w:tcMar>
          </w:tcPr>
          <w:p>
            <w:pPr>
              <w:keepNext/>
              <w:spacing w:after="0" w:before="0"/>
            </w:pPr>
            <w:r>
              <w:rPr>
                <w:sz w:val="20"/>
                <w:szCs w:val="20"/>
              </w:rPr>
              <w:t xml:space="preserve">Revisión del profesor guía del 7 de octubre de 2026: mantener pruebas automáticas y el versionado del conjunto analítico, y entregar el diccionario final con la versión o el hash del conjunto que se usará en la partición.</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Estado</w:t>
            </w:r>
          </w:p>
        </w:tc>
        <w:tc>
          <w:tcPr>
            <w:tcW w:type="dxa" w:w="7226"/>
            <w:tcMar>
              <w:top w:type="dxa" w:w="70"/>
              <w:left w:type="dxa" w:w="100"/>
              <w:bottom w:type="dxa" w:w="70"/>
              <w:right w:type="dxa" w:w="100"/>
            </w:tcMar>
          </w:tcPr>
          <w:p>
            <w:pPr>
              <w:keepNext w:val="false"/>
              <w:spacing w:after="0" w:before="0"/>
            </w:pPr>
            <w:r>
              <w:rPr>
                <w:sz w:val="20"/>
                <w:szCs w:val="20"/>
              </w:rPr>
              <w:t xml:space="preserve">Adoptada.</w:t>
            </w:r>
          </w:p>
        </w:tc>
      </w:tr>
    </w:tbl>
    <w:p>
      <w:pPr>
        <w:pStyle w:val="Heading2"/>
      </w:pPr>
      <w:bookmarkStart w:name="E_H26" w:id="29"/>
      <w:r>
        <w:rPr>
          <w:color w:val="2E75B6"/>
        </w:rPr>
        <w:t xml:space="preserve">H26</w:t>
      </w:r>
      <w:bookmarkEnd w:id="29"/>
      <w:r>
        <w:t xml:space="preserve"> · La CDM 14 solo contiene partos y las complicaciones del puerperio están en la CDM 13</w:t>
      </w:r>
    </w:p>
    <w:p>
      <w:pPr>
        <w:keepNext/>
        <w:spacing w:after="100"/>
      </w:pPr>
      <w:r>
        <w:rPr>
          <w:b/>
          <w:bCs/>
          <w:color w:val="2E75B6"/>
          <w:sz w:val="18"/>
          <w:szCs w:val="18"/>
        </w:rPr>
        <w:t xml:space="preserve">Hallazgo</w:t>
      </w:r>
      <w:r>
        <w:rPr>
          <w:color w:val="808080"/>
          <w:sz w:val="18"/>
          <w:szCs w:val="18"/>
        </w:rPr>
        <w:t xml:space="preserve">  ·  20 de octubre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2.2</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Contexto</w:t>
            </w:r>
          </w:p>
        </w:tc>
        <w:tc>
          <w:tcPr>
            <w:tcW w:type="dxa" w:w="7226"/>
            <w:tcMar>
              <w:top w:type="dxa" w:w="70"/>
              <w:left w:type="dxa" w:w="100"/>
              <w:bottom w:type="dxa" w:w="70"/>
              <w:right w:type="dxa" w:w="100"/>
            </w:tcMar>
          </w:tcPr>
          <w:p>
            <w:pPr>
              <w:keepNext/>
              <w:spacing w:after="0" w:before="0"/>
            </w:pPr>
            <w:r>
              <w:rPr>
                <w:sz w:val="20"/>
                <w:szCs w:val="20"/>
              </w:rPr>
              <w:t xml:space="preserve">En su revisión del 13 de octubre de 2026 (punto 2.1), el profesor guía pidió verificar qué GRD agrupa la CDM 14 en la base: en los sistemas GRD, la categoría de embarazo, parto y puerperio suele incluir también los ingresos antes y después del parto, y si estuvieran en la CDM 14, que ninguno cuente como reingreso relacionado de un parto apuntaría a un error en la regla.</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Hallazgo</w:t>
            </w:r>
          </w:p>
        </w:tc>
        <w:tc>
          <w:tcPr>
            <w:tcW w:type="dxa" w:w="7226"/>
            <w:tcMar>
              <w:top w:type="dxa" w:w="70"/>
              <w:left w:type="dxa" w:w="100"/>
              <w:bottom w:type="dxa" w:w="70"/>
              <w:right w:type="dxa" w:w="100"/>
            </w:tcMar>
          </w:tcPr>
          <w:p>
            <w:pPr>
              <w:keepNext/>
              <w:spacing w:after="0" w:before="0"/>
            </w:pPr>
            <w:r>
              <w:rPr>
                <w:sz w:val="20"/>
                <w:szCs w:val="20"/>
              </w:rPr>
              <w:t xml:space="preserve">En esta base, la CDM 14 tiene solo 15 GRD y todos son partos o cesáreas: los 12 hospitalarios 146101 a 146133 (cesárea; parto vaginal con esterilización o legrado; parto vaginal con otros procedimientos; parto vaginal; cada uno en tres niveles de severidad), con 640.199 egresos y los 615.167 casos de estudio de la CDM, y tres ambulatorios (147100, 147120 y 147130) con 46 egresos y ningún caso de estudio. Los ingresos del embarazo y del puerperio que no son partos están en la CDM 13: «Trastornos del postparto» (134171 a 134173, 7.433 egresos), «Trastornos del anteparto», aborto, amenaza de aborto y falso trabajo de parto.</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Por qué el 0</w:t>
            </w:r>
          </w:p>
        </w:tc>
        <w:tc>
          <w:tcPr>
            <w:tcW w:type="dxa" w:w="7226"/>
            <w:tcMar>
              <w:top w:type="dxa" w:w="70"/>
              <w:left w:type="dxa" w:w="100"/>
              <w:bottom w:type="dxa" w:w="70"/>
              <w:right w:type="dxa" w:w="100"/>
            </w:tcMar>
          </w:tcPr>
          <w:p>
            <w:pPr>
              <w:keepNext/>
              <w:spacing w:after="0" w:before="0"/>
            </w:pPr>
            <w:r>
              <w:rPr>
                <w:sz w:val="20"/>
                <w:szCs w:val="20"/>
              </w:rPr>
              <w:t xml:space="preserve">Un parto no cuenta como reingreso (</w:t>
            </w:r>
            <w:hyperlink w:history="1" w:anchor="E_D20">
              <w:r>
                <w:rPr>
                  <w:color w:val="0563C1"/>
                  <w:sz w:val="20"/>
                  <w:szCs w:val="20"/>
                  <w:u w:val="single"/>
                </w:rPr>
                <w:t xml:space="preserve">D20</w:t>
              </w:r>
            </w:hyperlink>
            <w:r>
              <w:rPr>
                <w:sz w:val="20"/>
                <w:szCs w:val="20"/>
              </w:rPr>
              <w:t xml:space="preserve">, </w:t>
            </w:r>
            <w:hyperlink w:history="1" w:anchor="E_D33">
              <w:r>
                <w:rPr>
                  <w:color w:val="0563C1"/>
                  <w:sz w:val="20"/>
                  <w:szCs w:val="20"/>
                  <w:u w:val="single"/>
                </w:rPr>
                <w:t xml:space="preserve">D33</w:t>
              </w:r>
            </w:hyperlink>
            <w:r>
              <w:rPr>
                <w:sz w:val="20"/>
                <w:szCs w:val="20"/>
              </w:rPr>
              <w:t xml:space="preserve">), así que ningún reingreso puede ser de la CDM 14; y una complicación del puerperio es de la CDM 13, que con la comparación literal (</w:t>
            </w:r>
            <w:hyperlink w:history="1" w:anchor="E_D31">
              <w:r>
                <w:rPr>
                  <w:color w:val="0563C1"/>
                  <w:sz w:val="20"/>
                  <w:szCs w:val="20"/>
                  <w:u w:val="single"/>
                </w:rPr>
                <w:t xml:space="preserve">D31</w:t>
              </w:r>
            </w:hyperlink>
            <w:r>
              <w:rPr>
                <w:sz w:val="20"/>
                <w:szCs w:val="20"/>
              </w:rPr>
              <w:t xml:space="preserve">) no coincide con la 14. No es un error de la regla: es la clasificación GRD combinada con la comparación literal.</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Magnitud</w:t>
            </w:r>
          </w:p>
        </w:tc>
        <w:tc>
          <w:tcPr>
            <w:tcW w:type="dxa" w:w="7226"/>
            <w:tcMar>
              <w:top w:type="dxa" w:w="70"/>
              <w:left w:type="dxa" w:w="100"/>
              <w:bottom w:type="dxa" w:w="70"/>
              <w:right w:type="dxa" w:w="100"/>
            </w:tcMar>
          </w:tcPr>
          <w:p>
            <w:pPr>
              <w:keepNext/>
              <w:spacing w:after="0" w:before="0"/>
            </w:pPr>
            <w:r>
              <w:rPr>
                <w:sz w:val="20"/>
                <w:szCs w:val="20"/>
              </w:rPr>
              <w:t xml:space="preserve">De los 603.423 partos con seguimiento de 30 días, 8.686 (1,44 %) tienen un reingreso no planificado dentro de 30 días. El primero es de la CDM 13 en el 73,4 % (6.379), sobre todo «Trastornos del postparto» (134171 y 134172: 43,4 %) y «Trastornos del anteparto» (134161: 9,1 %); los diagnósticos más frecuentes son O86, O90 y O85 (infecciones y complicaciones del puerperio). Ejemplo: el egreso </w:t>
            </w:r>
            <w:r>
              <w:rPr>
                <w:rFonts w:ascii="Consolas" w:cs="Consolas" w:eastAsia="Consolas" w:hAnsi="Consolas"/>
                <w:sz w:val="18"/>
                <w:szCs w:val="18"/>
                <w:shd w:fill="F2F2F2" w:color="auto" w:val="clear"/>
              </w:rPr>
              <w:t xml:space="preserve">20230009620</w:t>
            </w:r>
            <w:r>
              <w:rPr>
                <w:sz w:val="20"/>
                <w:szCs w:val="20"/>
              </w:rPr>
              <w:t xml:space="preserve"> (parto vaginal, GRD 146131) reingresa a los 5 días por una sepsis puerperal (</w:t>
            </w:r>
            <w:r>
              <w:rPr>
                <w:rFonts w:ascii="Consolas" w:cs="Consolas" w:eastAsia="Consolas" w:hAnsi="Consolas"/>
                <w:sz w:val="18"/>
                <w:szCs w:val="18"/>
                <w:shd w:fill="F2F2F2" w:color="auto" w:val="clear"/>
              </w:rPr>
              <w:t xml:space="preserve">20230594946</w:t>
            </w:r>
            <w:r>
              <w:rPr>
                <w:sz w:val="20"/>
                <w:szCs w:val="20"/>
              </w:rPr>
              <w:t xml:space="preserve">, O85, GRD 134171, CDM 13): vale 1 en </w:t>
            </w:r>
            <w:r>
              <w:rPr>
                <w:rFonts w:ascii="Consolas" w:cs="Consolas" w:eastAsia="Consolas" w:hAnsi="Consolas"/>
                <w:sz w:val="18"/>
                <w:szCs w:val="18"/>
                <w:shd w:fill="F2F2F2" w:color="auto" w:val="clear"/>
              </w:rPr>
              <w:t xml:space="preserve">REING_7D</w:t>
            </w:r>
            <w:r>
              <w:rPr>
                <w:sz w:val="20"/>
                <w:szCs w:val="20"/>
              </w:rPr>
              <w:t xml:space="preserve"> y </w:t>
            </w:r>
            <w:r>
              <w:rPr>
                <w:rFonts w:ascii="Consolas" w:cs="Consolas" w:eastAsia="Consolas" w:hAnsi="Consolas"/>
                <w:sz w:val="18"/>
                <w:szCs w:val="18"/>
                <w:shd w:fill="F2F2F2" w:color="auto" w:val="clear"/>
              </w:rPr>
              <w:t xml:space="preserve">REING_30D</w:t>
            </w:r>
            <w:r>
              <w:rPr>
                <w:sz w:val="20"/>
                <w:szCs w:val="20"/>
              </w:rPr>
              <w:t xml:space="preserve"> y 0 en las dos variables relacionadas.</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Solo la CDM 14</w:t>
            </w:r>
          </w:p>
        </w:tc>
        <w:tc>
          <w:tcPr>
            <w:tcW w:type="dxa" w:w="7226"/>
            <w:tcMar>
              <w:top w:type="dxa" w:w="70"/>
              <w:left w:type="dxa" w:w="100"/>
              <w:bottom w:type="dxa" w:w="70"/>
              <w:right w:type="dxa" w:w="100"/>
            </w:tcMar>
          </w:tcPr>
          <w:p>
            <w:pPr>
              <w:keepNext/>
              <w:spacing w:after="0" w:before="0"/>
            </w:pPr>
            <w:r>
              <w:rPr>
                <w:sz w:val="20"/>
                <w:szCs w:val="20"/>
              </w:rPr>
              <w:t xml:space="preserve">Ninguna otra CDM tiene una tasa de reingreso relacionado igual a 0. La siguiente más baja es la CDM 22 (quemaduras), con 0,82 % a 30 días.</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Completa a</w:t>
            </w:r>
          </w:p>
        </w:tc>
        <w:tc>
          <w:tcPr>
            <w:tcW w:type="dxa" w:w="7226"/>
            <w:tcMar>
              <w:top w:type="dxa" w:w="70"/>
              <w:left w:type="dxa" w:w="100"/>
              <w:bottom w:type="dxa" w:w="70"/>
              <w:right w:type="dxa" w:w="100"/>
            </w:tcMar>
          </w:tcPr>
          <w:p>
            <w:pPr>
              <w:keepNext/>
              <w:spacing w:after="0" w:before="0"/>
            </w:pPr>
            <w:hyperlink w:history="1" w:anchor="E_H17">
              <w:r>
                <w:rPr>
                  <w:color w:val="0563C1"/>
                  <w:sz w:val="20"/>
                  <w:szCs w:val="20"/>
                  <w:u w:val="single"/>
                </w:rPr>
                <w:t xml:space="preserve">H17</w:t>
              </w:r>
            </w:hyperlink>
            <w:r>
              <w:rPr>
                <w:sz w:val="20"/>
                <w:szCs w:val="20"/>
              </w:rPr>
              <w:t xml:space="preserve">, con las cifras de la cohorte final.</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Evidencia</w:t>
            </w:r>
          </w:p>
        </w:tc>
        <w:tc>
          <w:tcPr>
            <w:tcW w:type="dxa" w:w="7226"/>
            <w:tcMar>
              <w:top w:type="dxa" w:w="70"/>
              <w:left w:type="dxa" w:w="100"/>
              <w:bottom w:type="dxa" w:w="70"/>
              <w:right w:type="dxa" w:w="100"/>
            </w:tcMar>
          </w:tcPr>
          <w:p>
            <w:pPr>
              <w:keepNext w:val="false"/>
              <w:spacing w:after="0" w:before="0"/>
            </w:pPr>
            <w:r>
              <w:rPr>
                <w:rFonts w:ascii="Consolas" w:cs="Consolas" w:eastAsia="Consolas" w:hAnsi="Consolas"/>
                <w:sz w:val="18"/>
                <w:szCs w:val="18"/>
                <w:shd w:fill="F2F2F2" w:color="auto" w:val="clear"/>
              </w:rPr>
              <w:t xml:space="preserve">2.2_depuracion_etiquetado/reportes/09_etiquetado.md</w:t>
            </w:r>
            <w:r>
              <w:rPr>
                <w:sz w:val="20"/>
                <w:szCs w:val="20"/>
              </w:rPr>
              <w:t xml:space="preserve">, sección 5 (GRD de la CDM 14 con las descripciones de la tabla maestra del DEIS, y CDM, GRD y diagnóstico del primer reingreso de los partos).</w:t>
            </w:r>
          </w:p>
        </w:tc>
      </w:tr>
    </w:tbl>
    <w:p>
      <w:pPr>
        <w:pStyle w:val="Heading2"/>
      </w:pPr>
      <w:bookmarkStart w:name="E_D38" w:id="30"/>
      <w:r>
        <w:rPr>
          <w:color w:val="548235"/>
        </w:rPr>
        <w:t xml:space="preserve">D38</w:t>
      </w:r>
      <w:bookmarkEnd w:id="30"/>
      <w:r>
        <w:t xml:space="preserve"> · Los partos quedan sin dato en las dos variables relacionadas</w:t>
      </w:r>
    </w:p>
    <w:p>
      <w:pPr>
        <w:keepNext/>
        <w:spacing w:after="100"/>
      </w:pPr>
      <w:r>
        <w:rPr>
          <w:b/>
          <w:bCs/>
          <w:color w:val="548235"/>
          <w:sz w:val="18"/>
          <w:szCs w:val="18"/>
        </w:rPr>
        <w:t xml:space="preserve">Decisión</w:t>
      </w:r>
      <w:r>
        <w:rPr>
          <w:color w:val="808080"/>
          <w:sz w:val="18"/>
          <w:szCs w:val="18"/>
        </w:rPr>
        <w:t xml:space="preserve">  ·  20 de octubre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2.2</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Decisión</w:t>
            </w:r>
          </w:p>
        </w:tc>
        <w:tc>
          <w:tcPr>
            <w:tcW w:type="dxa" w:w="7226"/>
            <w:tcMar>
              <w:top w:type="dxa" w:w="70"/>
              <w:left w:type="dxa" w:w="100"/>
              <w:bottom w:type="dxa" w:w="70"/>
              <w:right w:type="dxa" w:w="100"/>
            </w:tcMar>
          </w:tcPr>
          <w:p>
            <w:pPr>
              <w:keepNext/>
              <w:spacing w:after="0" w:before="0"/>
            </w:pPr>
            <w:r>
              <w:rPr>
                <w:sz w:val="20"/>
                <w:szCs w:val="20"/>
              </w:rPr>
              <w:t xml:space="preserve">Los casos de estudio de la CDM 14 (partos) quedan sin dato en </w:t>
            </w:r>
            <w:r>
              <w:rPr>
                <w:rFonts w:ascii="Consolas" w:cs="Consolas" w:eastAsia="Consolas" w:hAnsi="Consolas"/>
                <w:sz w:val="18"/>
                <w:szCs w:val="18"/>
                <w:shd w:fill="F2F2F2" w:color="auto" w:val="clear"/>
              </w:rPr>
              <w:t xml:space="preserve">REING_7D_CDM</w:t>
            </w:r>
            <w:r>
              <w:rPr>
                <w:sz w:val="20"/>
                <w:szCs w:val="20"/>
              </w:rPr>
              <w:t xml:space="preserve"> y </w:t>
            </w:r>
            <w:r>
              <w:rPr>
                <w:rFonts w:ascii="Consolas" w:cs="Consolas" w:eastAsia="Consolas" w:hAnsi="Consolas"/>
                <w:sz w:val="18"/>
                <w:szCs w:val="18"/>
                <w:shd w:fill="F2F2F2" w:color="auto" w:val="clear"/>
              </w:rPr>
              <w:t xml:space="preserve">REING_30D_CDM</w:t>
            </w:r>
            <w:r>
              <w:rPr>
                <w:sz w:val="20"/>
                <w:szCs w:val="20"/>
              </w:rPr>
              <w:t xml:space="preserve">, igual que un caso sin seguimiento suficiente queda sin dato en las variables de 30 días. Conservan las dos variables por cualquier causa, en las que sí tienen reingresos reales (0,77 % a 7 días y 1,44 % a 30 días). Se aplica con el parámetro </w:t>
            </w:r>
            <w:r>
              <w:rPr>
                <w:rFonts w:ascii="Consolas" w:cs="Consolas" w:eastAsia="Consolas" w:hAnsi="Consolas"/>
                <w:sz w:val="18"/>
                <w:szCs w:val="18"/>
                <w:shd w:fill="F2F2F2" w:color="auto" w:val="clear"/>
              </w:rPr>
              <w:t xml:space="preserve">cdm_sin_relacionado</w:t>
            </w:r>
            <w:r>
              <w:rPr>
                <w:sz w:val="20"/>
                <w:szCs w:val="20"/>
              </w:rPr>
              <w:t xml:space="preserve"> = 14. Si </w:t>
            </w:r>
            <w:r>
              <w:rPr>
                <w:rFonts w:ascii="Consolas" w:cs="Consolas" w:eastAsia="Consolas" w:hAnsi="Consolas"/>
                <w:sz w:val="18"/>
                <w:szCs w:val="18"/>
                <w:shd w:fill="F2F2F2" w:color="auto" w:val="clear"/>
              </w:rPr>
              <w:t xml:space="preserve">cdm_agrupadas</w:t>
            </w:r>
            <w:r>
              <w:rPr>
                <w:sz w:val="20"/>
                <w:szCs w:val="20"/>
              </w:rPr>
              <w:t xml:space="preserve"> une la CDM 14 con otra, los partos vuelven a tener dato, porque entonces sí pueden tener un reingreso relacionado.</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Fundamento</w:t>
            </w:r>
          </w:p>
        </w:tc>
        <w:tc>
          <w:tcPr>
            <w:tcW w:type="dxa" w:w="7226"/>
            <w:tcMar>
              <w:top w:type="dxa" w:w="70"/>
              <w:left w:type="dxa" w:w="100"/>
              <w:bottom w:type="dxa" w:w="70"/>
              <w:right w:type="dxa" w:w="100"/>
            </w:tcMar>
          </w:tcPr>
          <w:p>
            <w:pPr>
              <w:keepNext/>
              <w:spacing w:after="0" w:before="0"/>
            </w:pPr>
            <w:r>
              <w:rPr>
                <w:sz w:val="20"/>
                <w:szCs w:val="20"/>
              </w:rPr>
              <w:t xml:space="preserve">Revisión del profesor guía del 13 de octubre de 2026 (punto 2.1). Con la comparación literal, los partos son un cero estructural: el 14,7 % de los casos de estudio tendría 0 por construcción, un modelo acertaría en todos ellos sin aprender nada sobre el reingreso, lo que infla las métricas, y en la selección de variables la CDM 14 y los diagnósticos del parto aparecerían como importantes por esa razón. Pidió excluir los partos de la cohorte de las dos variables relacionadas, o modelarlos aparte, y reportar sus tasas sin partos.</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Resultado</w:t>
            </w:r>
          </w:p>
        </w:tc>
        <w:tc>
          <w:tcPr>
            <w:tcW w:type="dxa" w:w="7226"/>
            <w:tcMar>
              <w:top w:type="dxa" w:w="70"/>
              <w:left w:type="dxa" w:w="100"/>
              <w:bottom w:type="dxa" w:w="70"/>
              <w:right w:type="dxa" w:w="100"/>
            </w:tcMar>
          </w:tcPr>
          <w:p>
            <w:pPr>
              <w:keepNext/>
              <w:spacing w:after="0" w:before="0"/>
            </w:pPr>
            <w:r>
              <w:rPr>
                <w:rFonts w:ascii="Consolas" w:cs="Consolas" w:eastAsia="Consolas" w:hAnsi="Consolas"/>
                <w:sz w:val="18"/>
                <w:szCs w:val="18"/>
                <w:shd w:fill="F2F2F2" w:color="auto" w:val="clear"/>
              </w:rPr>
              <w:t xml:space="preserve">REING_7D_CDM</w:t>
            </w:r>
            <w:r>
              <w:rPr>
                <w:sz w:val="20"/>
                <w:szCs w:val="20"/>
              </w:rPr>
              <w:t xml:space="preserve">: 45.195 de 3.577.243 casos (1,26 %); </w:t>
            </w:r>
            <w:r>
              <w:rPr>
                <w:rFonts w:ascii="Consolas" w:cs="Consolas" w:eastAsia="Consolas" w:hAnsi="Consolas"/>
                <w:sz w:val="18"/>
                <w:szCs w:val="18"/>
                <w:shd w:fill="F2F2F2" w:color="auto" w:val="clear"/>
              </w:rPr>
              <w:t xml:space="preserve">REING_30D_CDM</w:t>
            </w:r>
            <w:r>
              <w:rPr>
                <w:sz w:val="20"/>
                <w:szCs w:val="20"/>
              </w:rPr>
              <w:t xml:space="preserve">: 124.256 de 3.498.460 (3,55 %). Los reingresos no cambian: solo baja el número de casos con dato. Las variables por cualquier causa, </w:t>
            </w:r>
            <w:r>
              <w:rPr>
                <w:rFonts w:ascii="Consolas" w:cs="Consolas" w:eastAsia="Consolas" w:hAnsi="Consolas"/>
                <w:sz w:val="18"/>
                <w:szCs w:val="18"/>
                <w:shd w:fill="F2F2F2" w:color="auto" w:val="clear"/>
              </w:rPr>
              <w:t xml:space="preserve">DIAS_REING</w:t>
            </w:r>
            <w:r>
              <w:rPr>
                <w:sz w:val="20"/>
                <w:szCs w:val="20"/>
              </w:rPr>
              <w:t xml:space="preserve"> e </w:t>
            </w:r>
            <w:r>
              <w:rPr>
                <w:rFonts w:ascii="Consolas" w:cs="Consolas" w:eastAsia="Consolas" w:hAnsi="Consolas"/>
                <w:sz w:val="18"/>
                <w:szCs w:val="18"/>
                <w:shd w:fill="F2F2F2" w:color="auto" w:val="clear"/>
              </w:rPr>
              <w:t xml:space="preserve">ID_EGRESO_REING</w:t>
            </w:r>
            <w:r>
              <w:rPr>
                <w:sz w:val="20"/>
                <w:szCs w:val="20"/>
              </w:rPr>
              <w:t xml:space="preserve"> quedan idénticas.</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Alternativa descartada</w:t>
            </w:r>
          </w:p>
        </w:tc>
        <w:tc>
          <w:tcPr>
            <w:tcW w:type="dxa" w:w="7226"/>
            <w:tcMar>
              <w:top w:type="dxa" w:w="70"/>
              <w:left w:type="dxa" w:w="100"/>
              <w:bottom w:type="dxa" w:w="70"/>
              <w:right w:type="dxa" w:w="100"/>
            </w:tcMar>
          </w:tcPr>
          <w:p>
            <w:pPr>
              <w:keepNext/>
              <w:spacing w:after="0" w:before="0"/>
            </w:pPr>
            <w:r>
              <w:rPr>
                <w:sz w:val="20"/>
                <w:szCs w:val="20"/>
              </w:rPr>
              <w:t xml:space="preserve">Modelar los partos aparte. En las dos variables relacionadas no tienen ningún caso positivo (0 de 615.167), así que no hay nada que modelar.</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Sensibilidad</w:t>
            </w:r>
          </w:p>
        </w:tc>
        <w:tc>
          <w:tcPr>
            <w:tcW w:type="dxa" w:w="7226"/>
            <w:tcMar>
              <w:top w:type="dxa" w:w="70"/>
              <w:left w:type="dxa" w:w="100"/>
              <w:bottom w:type="dxa" w:w="70"/>
              <w:right w:type="dxa" w:w="100"/>
            </w:tcMar>
          </w:tcPr>
          <w:p>
            <w:pPr>
              <w:keepNext/>
              <w:spacing w:after="0" w:before="0"/>
            </w:pPr>
            <w:r>
              <w:rPr>
                <w:sz w:val="20"/>
                <w:szCs w:val="20"/>
              </w:rPr>
              <w:t xml:space="preserve">Con los partos con valor 0, como antes, las tasas serían 1,08 % y 3,03 %. Con las CDM 13 y 14 unidas, los partos tienen dato y las tasas son 1,17 % y 3,19 % (6.398 partos con reingreso relacionado a 30 días). Ambas filas están en el reporte 11.</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Visto bueno</w:t>
            </w:r>
          </w:p>
        </w:tc>
        <w:tc>
          <w:tcPr>
            <w:tcW w:type="dxa" w:w="7226"/>
            <w:tcMar>
              <w:top w:type="dxa" w:w="70"/>
              <w:left w:type="dxa" w:w="100"/>
              <w:bottom w:type="dxa" w:w="70"/>
              <w:right w:type="dxa" w:w="100"/>
            </w:tcMar>
          </w:tcPr>
          <w:p>
            <w:pPr>
              <w:keepNext/>
              <w:spacing w:after="0" w:before="0"/>
            </w:pPr>
            <w:r>
              <w:rPr>
                <w:sz w:val="20"/>
                <w:szCs w:val="20"/>
              </w:rPr>
              <w:t xml:space="preserve">La persona a cargo de la tesis lo aprobó el 20 de octubre de 2026 («si esto es lo que recomienda el profesor, sí»).</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Completa a</w:t>
            </w:r>
          </w:p>
        </w:tc>
        <w:tc>
          <w:tcPr>
            <w:tcW w:type="dxa" w:w="7226"/>
            <w:tcMar>
              <w:top w:type="dxa" w:w="70"/>
              <w:left w:type="dxa" w:w="100"/>
              <w:bottom w:type="dxa" w:w="70"/>
              <w:right w:type="dxa" w:w="100"/>
            </w:tcMar>
          </w:tcPr>
          <w:p>
            <w:pPr>
              <w:keepNext/>
              <w:spacing w:after="0" w:before="0"/>
            </w:pPr>
            <w:hyperlink w:history="1" w:anchor="E_D31">
              <w:r>
                <w:rPr>
                  <w:color w:val="0563C1"/>
                  <w:sz w:val="20"/>
                  <w:szCs w:val="20"/>
                  <w:u w:val="single"/>
                </w:rPr>
                <w:t xml:space="preserve">D31</w:t>
              </w:r>
            </w:hyperlink>
            <w:r>
              <w:rPr>
                <w:sz w:val="20"/>
                <w:szCs w:val="20"/>
              </w:rPr>
              <w:t xml:space="preserve"> y </w:t>
            </w:r>
            <w:hyperlink w:history="1" w:anchor="E_H17">
              <w:r>
                <w:rPr>
                  <w:color w:val="0563C1"/>
                  <w:sz w:val="20"/>
                  <w:szCs w:val="20"/>
                  <w:u w:val="single"/>
                </w:rPr>
                <w:t xml:space="preserve">H17</w:t>
              </w:r>
            </w:hyperlink>
            <w:r>
              <w:rPr>
                <w:sz w:val="20"/>
                <w:szCs w:val="20"/>
              </w:rPr>
              <w:t xml:space="preserve">. Se fundamenta en </w:t>
            </w:r>
            <w:hyperlink w:history="1" w:anchor="E_H26">
              <w:r>
                <w:rPr>
                  <w:color w:val="0563C1"/>
                  <w:sz w:val="20"/>
                  <w:szCs w:val="20"/>
                  <w:u w:val="single"/>
                </w:rPr>
                <w:t xml:space="preserve">H26</w:t>
              </w:r>
            </w:hyperlink>
            <w:r>
              <w:rPr>
                <w:sz w:val="20"/>
                <w:szCs w:val="20"/>
              </w:rPr>
              <w:t xml:space="preserve">.</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Alcance</w:t>
            </w:r>
          </w:p>
        </w:tc>
        <w:tc>
          <w:tcPr>
            <w:tcW w:type="dxa" w:w="7226"/>
            <w:tcMar>
              <w:top w:type="dxa" w:w="70"/>
              <w:left w:type="dxa" w:w="100"/>
              <w:bottom w:type="dxa" w:w="70"/>
              <w:right w:type="dxa" w:w="100"/>
            </w:tcMar>
          </w:tcPr>
          <w:p>
            <w:pPr>
              <w:keepNext/>
              <w:spacing w:after="0" w:before="0"/>
            </w:pPr>
            <w:r>
              <w:rPr>
                <w:sz w:val="20"/>
                <w:szCs w:val="20"/>
              </w:rPr>
              <w:t xml:space="preserve">Solo se aplica cuando cuentan únicamente los ingresos no planificados (</w:t>
            </w:r>
            <w:r>
              <w:rPr>
                <w:rFonts w:ascii="Consolas" w:cs="Consolas" w:eastAsia="Consolas" w:hAnsi="Consolas"/>
                <w:sz w:val="18"/>
                <w:szCs w:val="18"/>
                <w:shd w:fill="F2F2F2" w:color="auto" w:val="clear"/>
              </w:rPr>
              <w:t xml:space="preserve">reingreso_solo_no_planificado</w:t>
            </w:r>
            <w:r>
              <w:rPr>
                <w:sz w:val="20"/>
                <w:szCs w:val="20"/>
              </w:rPr>
              <w:t xml:space="preserve"> = SI). Si se cuenta todo ingreso, un parto también es reingreso y los partos sí pueden tener un reingreso relacionado.</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Evidencia</w:t>
            </w:r>
          </w:p>
        </w:tc>
        <w:tc>
          <w:tcPr>
            <w:tcW w:type="dxa" w:w="7226"/>
            <w:tcMar>
              <w:top w:type="dxa" w:w="70"/>
              <w:left w:type="dxa" w:w="100"/>
              <w:bottom w:type="dxa" w:w="70"/>
              <w:right w:type="dxa" w:w="100"/>
            </w:tcMar>
          </w:tcPr>
          <w:p>
            <w:pPr>
              <w:keepNext/>
              <w:spacing w:after="0" w:before="0"/>
            </w:pPr>
            <w:r>
              <w:rPr>
                <w:rFonts w:ascii="Consolas" w:cs="Consolas" w:eastAsia="Consolas" w:hAnsi="Consolas"/>
                <w:sz w:val="18"/>
                <w:szCs w:val="18"/>
                <w:shd w:fill="F2F2F2" w:color="auto" w:val="clear"/>
              </w:rPr>
              <w:t xml:space="preserve">2.2_depuracion_etiquetado/reportes/09_etiquetado.md</w:t>
            </w:r>
            <w:r>
              <w:rPr>
                <w:sz w:val="20"/>
                <w:szCs w:val="20"/>
              </w:rPr>
              <w:t xml:space="preserve">, secciones 1 y 5; </w:t>
            </w:r>
            <w:r>
              <w:rPr>
                <w:rFonts w:ascii="Consolas" w:cs="Consolas" w:eastAsia="Consolas" w:hAnsi="Consolas"/>
                <w:sz w:val="18"/>
                <w:szCs w:val="18"/>
                <w:shd w:fill="F2F2F2" w:color="auto" w:val="clear"/>
              </w:rPr>
              <w:t xml:space="preserve">2.2_depuracion_etiquetado/reportes/11_sensibilidad.md</w:t>
            </w:r>
            <w:r>
              <w:rPr>
                <w:sz w:val="20"/>
                <w:szCs w:val="20"/>
              </w:rPr>
              <w:t xml:space="preserve">.</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Estado</w:t>
            </w:r>
          </w:p>
        </w:tc>
        <w:tc>
          <w:tcPr>
            <w:tcW w:type="dxa" w:w="7226"/>
            <w:tcMar>
              <w:top w:type="dxa" w:w="70"/>
              <w:left w:type="dxa" w:w="100"/>
              <w:bottom w:type="dxa" w:w="70"/>
              <w:right w:type="dxa" w:w="100"/>
            </w:tcMar>
          </w:tcPr>
          <w:p>
            <w:pPr>
              <w:keepNext w:val="false"/>
              <w:spacing w:after="0" w:before="0"/>
            </w:pPr>
            <w:r>
              <w:rPr>
                <w:sz w:val="20"/>
                <w:szCs w:val="20"/>
              </w:rPr>
              <w:t xml:space="preserve">Adoptada, por recomendación del profesor guía.</w:t>
            </w:r>
          </w:p>
        </w:tc>
      </w:tr>
    </w:tbl>
    <w:p>
      <w:pPr>
        <w:pStyle w:val="Heading2"/>
      </w:pPr>
      <w:bookmarkStart w:name="E_H27" w:id="31"/>
      <w:r>
        <w:rPr>
          <w:color w:val="2E75B6"/>
        </w:rPr>
        <w:t xml:space="preserve">H27</w:t>
      </w:r>
      <w:bookmarkEnd w:id="31"/>
      <w:r>
        <w:t xml:space="preserve"> · Tabla de sensibilidad actualizada: partos, traslados y derivados</w:t>
      </w:r>
    </w:p>
    <w:p>
      <w:pPr>
        <w:keepNext/>
        <w:spacing w:after="100"/>
      </w:pPr>
      <w:r>
        <w:rPr>
          <w:b/>
          <w:bCs/>
          <w:color w:val="2E75B6"/>
          <w:sz w:val="18"/>
          <w:szCs w:val="18"/>
        </w:rPr>
        <w:t xml:space="preserve">Hallazgo</w:t>
      </w:r>
      <w:r>
        <w:rPr>
          <w:color w:val="808080"/>
          <w:sz w:val="18"/>
          <w:szCs w:val="18"/>
        </w:rPr>
        <w:t xml:space="preserve">  ·  20 de octubre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2.2</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Contexto</w:t>
            </w:r>
          </w:p>
        </w:tc>
        <w:tc>
          <w:tcPr>
            <w:tcW w:type="dxa" w:w="7226"/>
            <w:tcMar>
              <w:top w:type="dxa" w:w="70"/>
              <w:left w:type="dxa" w:w="100"/>
              <w:bottom w:type="dxa" w:w="70"/>
              <w:right w:type="dxa" w:w="100"/>
            </w:tcMar>
          </w:tcPr>
          <w:p>
            <w:pPr>
              <w:keepNext/>
              <w:spacing w:after="0" w:before="0"/>
            </w:pPr>
            <w:r>
              <w:rPr>
                <w:sz w:val="20"/>
                <w:szCs w:val="20"/>
              </w:rPr>
              <w:t xml:space="preserve">En su revisión del 13 de octubre de 2026 (punto 2.4), el profesor guía pidió dos filas nuevas en la tabla de sensibilidad: una que una solo los traslados con marca explícita, para ver cuánto cambia la tasa a 7 días, y otra para los derivados sin continuación (</w:t>
            </w:r>
            <w:hyperlink w:history="1" w:anchor="E_D39">
              <w:r>
                <w:rPr>
                  <w:color w:val="0563C1"/>
                  <w:sz w:val="20"/>
                  <w:szCs w:val="20"/>
                  <w:u w:val="single"/>
                </w:rPr>
                <w:t xml:space="preserve">D39</w:t>
              </w:r>
            </w:hyperlink>
            <w:r>
              <w:rPr>
                <w:sz w:val="20"/>
                <w:szCs w:val="20"/>
              </w:rPr>
              <w:t xml:space="preserve">). Con </w:t>
            </w:r>
            <w:hyperlink w:history="1" w:anchor="E_D38">
              <w:r>
                <w:rPr>
                  <w:color w:val="0563C1"/>
                  <w:sz w:val="20"/>
                  <w:szCs w:val="20"/>
                  <w:u w:val="single"/>
                </w:rPr>
                <w:t xml:space="preserve">D38</w:t>
              </w:r>
            </w:hyperlink>
            <w:r>
              <w:rPr>
                <w:sz w:val="20"/>
                <w:szCs w:val="20"/>
              </w:rPr>
              <w:t xml:space="preserve">, además, cambian las tasas de las variables relacionadas del análisis principal.</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Hallazgo</w:t>
            </w:r>
          </w:p>
        </w:tc>
        <w:tc>
          <w:tcPr>
            <w:tcW w:type="dxa" w:w="7226"/>
            <w:tcMar>
              <w:top w:type="dxa" w:w="70"/>
              <w:left w:type="dxa" w:w="100"/>
              <w:bottom w:type="dxa" w:w="70"/>
              <w:right w:type="dxa" w:w="100"/>
            </w:tcMar>
          </w:tcPr>
          <w:p>
            <w:pPr>
              <w:keepNext/>
              <w:spacing w:after="80" w:before="0"/>
            </w:pPr>
            <w:r>
              <w:rPr>
                <w:sz w:val="20"/>
                <w:szCs w:val="20"/>
              </w:rPr>
              <w:t xml:space="preserve">Cada fila cambia una sola decisión y vuelve a calcular las cuatro variables con las mismas funciones de los scripts 08 y 09. En las dos variables relacionadas, los partos quedan sin dato salvo en las filas que los vuelven a incluir (la de los partos con valor 0 y la de las CDM 13 y 14 unidas).</w:t>
            </w:r>
          </w:p>
          <w:tbl>
            <w:tblPr>
              <w:tblW w:type="dxa" w:w="7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391"/>
              <w:gridCol w:w="1013"/>
              <w:gridCol w:w="918"/>
              <w:gridCol w:w="1297"/>
              <w:gridCol w:w="1013"/>
              <w:gridCol w:w="1394"/>
            </w:tblGrid>
            <w:tr>
              <w:trPr>
                <w:cantSplit/>
                <w:tblHeader/>
              </w:trPr>
              <w:tc>
                <w:tcPr>
                  <w:tcW w:type="dxa" w:w="1391"/>
                  <w:shd w:fill="D9E2F3" w:color="auto" w:val="clear"/>
                  <w:tcMar>
                    <w:top w:type="dxa" w:w="70"/>
                    <w:left w:type="dxa" w:w="100"/>
                    <w:bottom w:type="dxa" w:w="70"/>
                    <w:right w:type="dxa" w:w="100"/>
                  </w:tcMar>
                  <w:vAlign w:val="center"/>
                </w:tcPr>
                <w:p>
                  <w:pPr>
                    <w:spacing w:after="0"/>
                  </w:pPr>
                  <w:r>
                    <w:rPr>
                      <w:b/>
                      <w:bCs/>
                      <w:sz w:val="18"/>
                      <w:szCs w:val="18"/>
                    </w:rPr>
                    <w:t xml:space="preserve">Escenario</w:t>
                  </w:r>
                </w:p>
              </w:tc>
              <w:tc>
                <w:tcPr>
                  <w:tcW w:type="dxa" w:w="1013"/>
                  <w:shd w:fill="D9E2F3" w:color="auto" w:val="clear"/>
                  <w:tcMar>
                    <w:top w:type="dxa" w:w="70"/>
                    <w:left w:type="dxa" w:w="100"/>
                    <w:bottom w:type="dxa" w:w="70"/>
                    <w:right w:type="dxa" w:w="100"/>
                  </w:tcMar>
                  <w:vAlign w:val="center"/>
                </w:tcPr>
                <w:p>
                  <w:pPr>
                    <w:spacing w:after="0"/>
                  </w:pPr>
                  <w:r>
                    <w:rPr>
                      <w:b/>
                      <w:bCs/>
                      <w:sz w:val="18"/>
                      <w:szCs w:val="18"/>
                    </w:rPr>
                    <w:t xml:space="preserve">Casos de estudio</w:t>
                  </w:r>
                </w:p>
              </w:tc>
              <w:tc>
                <w:tcPr>
                  <w:tcW w:type="dxa" w:w="918"/>
                  <w:shd w:fill="D9E2F3" w:color="auto" w:val="clear"/>
                  <w:tcMar>
                    <w:top w:type="dxa" w:w="70"/>
                    <w:left w:type="dxa" w:w="100"/>
                    <w:bottom w:type="dxa" w:w="70"/>
                    <w:right w:type="dxa" w:w="100"/>
                  </w:tcMar>
                  <w:vAlign w:val="center"/>
                </w:tcPr>
                <w:p>
                  <w:pPr>
                    <w:spacing w:after="0"/>
                  </w:pPr>
                  <w:r>
                    <w:rPr>
                      <w:rFonts w:ascii="Consolas" w:cs="Consolas" w:eastAsia="Consolas" w:hAnsi="Consolas"/>
                      <w:b/>
                      <w:bCs/>
                      <w:sz w:val="16"/>
                      <w:szCs w:val="16"/>
                      <w:shd w:fill="F2F2F2" w:color="auto" w:val="clear"/>
                    </w:rPr>
                    <w:t xml:space="preserve">REING_7D</w:t>
                  </w:r>
                </w:p>
              </w:tc>
              <w:tc>
                <w:tcPr>
                  <w:tcW w:type="dxa" w:w="1297"/>
                  <w:shd w:fill="D9E2F3" w:color="auto" w:val="clear"/>
                  <w:tcMar>
                    <w:top w:type="dxa" w:w="70"/>
                    <w:left w:type="dxa" w:w="100"/>
                    <w:bottom w:type="dxa" w:w="70"/>
                    <w:right w:type="dxa" w:w="100"/>
                  </w:tcMar>
                  <w:vAlign w:val="center"/>
                </w:tcPr>
                <w:p>
                  <w:pPr>
                    <w:spacing w:after="0"/>
                  </w:pPr>
                  <w:r>
                    <w:rPr>
                      <w:rFonts w:ascii="Consolas" w:cs="Consolas" w:eastAsia="Consolas" w:hAnsi="Consolas"/>
                      <w:b/>
                      <w:bCs/>
                      <w:sz w:val="16"/>
                      <w:szCs w:val="16"/>
                      <w:shd w:fill="F2F2F2" w:color="auto" w:val="clear"/>
                    </w:rPr>
                    <w:t xml:space="preserve">REING_7D_CDM</w:t>
                  </w:r>
                </w:p>
              </w:tc>
              <w:tc>
                <w:tcPr>
                  <w:tcW w:type="dxa" w:w="1013"/>
                  <w:shd w:fill="D9E2F3" w:color="auto" w:val="clear"/>
                  <w:tcMar>
                    <w:top w:type="dxa" w:w="70"/>
                    <w:left w:type="dxa" w:w="100"/>
                    <w:bottom w:type="dxa" w:w="70"/>
                    <w:right w:type="dxa" w:w="100"/>
                  </w:tcMar>
                  <w:vAlign w:val="center"/>
                </w:tcPr>
                <w:p>
                  <w:pPr>
                    <w:spacing w:after="0"/>
                  </w:pPr>
                  <w:r>
                    <w:rPr>
                      <w:rFonts w:ascii="Consolas" w:cs="Consolas" w:eastAsia="Consolas" w:hAnsi="Consolas"/>
                      <w:b/>
                      <w:bCs/>
                      <w:sz w:val="16"/>
                      <w:szCs w:val="16"/>
                      <w:shd w:fill="F2F2F2" w:color="auto" w:val="clear"/>
                    </w:rPr>
                    <w:t xml:space="preserve">REING_30D</w:t>
                  </w:r>
                </w:p>
              </w:tc>
              <w:tc>
                <w:tcPr>
                  <w:tcW w:type="dxa" w:w="1394"/>
                  <w:shd w:fill="D9E2F3" w:color="auto" w:val="clear"/>
                  <w:tcMar>
                    <w:top w:type="dxa" w:w="70"/>
                    <w:left w:type="dxa" w:w="100"/>
                    <w:bottom w:type="dxa" w:w="70"/>
                    <w:right w:type="dxa" w:w="100"/>
                  </w:tcMar>
                  <w:vAlign w:val="center"/>
                </w:tcPr>
                <w:p>
                  <w:pPr>
                    <w:spacing w:after="0"/>
                  </w:pPr>
                  <w:r>
                    <w:rPr>
                      <w:rFonts w:ascii="Consolas" w:cs="Consolas" w:eastAsia="Consolas" w:hAnsi="Consolas"/>
                      <w:b/>
                      <w:bCs/>
                      <w:sz w:val="16"/>
                      <w:szCs w:val="16"/>
                      <w:shd w:fill="F2F2F2" w:color="auto" w:val="clear"/>
                    </w:rPr>
                    <w:t xml:space="preserve">REING_30D_CDM</w:t>
                  </w:r>
                </w:p>
              </w:tc>
            </w:tr>
            <w:tr>
              <w:trPr>
                <w:cantSplit/>
                <w:tblHeader w:val="off"/>
              </w:trPr>
              <w:tc>
                <w:tcPr>
                  <w:tcW w:type="dxa" w:w="1391"/>
                  <w:tcMar>
                    <w:top w:type="dxa" w:w="70"/>
                    <w:left w:type="dxa" w:w="100"/>
                    <w:bottom w:type="dxa" w:w="70"/>
                    <w:right w:type="dxa" w:w="100"/>
                  </w:tcMar>
                  <w:vAlign w:val="center"/>
                </w:tcPr>
                <w:p>
                  <w:pPr>
                    <w:spacing w:after="0"/>
                  </w:pPr>
                  <w:r>
                    <w:rPr>
                      <w:sz w:val="18"/>
                      <w:szCs w:val="18"/>
                    </w:rPr>
                    <w:t xml:space="preserve">Análisis principal</w:t>
                  </w:r>
                </w:p>
              </w:tc>
              <w:tc>
                <w:tcPr>
                  <w:tcW w:type="dxa" w:w="1013"/>
                  <w:tcMar>
                    <w:top w:type="dxa" w:w="70"/>
                    <w:left w:type="dxa" w:w="100"/>
                    <w:bottom w:type="dxa" w:w="70"/>
                    <w:right w:type="dxa" w:w="100"/>
                  </w:tcMar>
                  <w:vAlign w:val="center"/>
                </w:tcPr>
                <w:p>
                  <w:pPr>
                    <w:spacing w:after="0"/>
                  </w:pPr>
                  <w:r>
                    <w:rPr>
                      <w:sz w:val="18"/>
                      <w:szCs w:val="18"/>
                    </w:rPr>
                    <w:t xml:space="preserve">4.192.410</w:t>
                  </w:r>
                </w:p>
              </w:tc>
              <w:tc>
                <w:tcPr>
                  <w:tcW w:type="dxa" w:w="918"/>
                  <w:tcMar>
                    <w:top w:type="dxa" w:w="70"/>
                    <w:left w:type="dxa" w:w="100"/>
                    <w:bottom w:type="dxa" w:w="70"/>
                    <w:right w:type="dxa" w:w="100"/>
                  </w:tcMar>
                  <w:vAlign w:val="center"/>
                </w:tcPr>
                <w:p>
                  <w:pPr>
                    <w:spacing w:after="0"/>
                  </w:pPr>
                  <w:r>
                    <w:rPr>
                      <w:sz w:val="18"/>
                      <w:szCs w:val="18"/>
                    </w:rPr>
                    <w:t xml:space="preserve">2,07 %</w:t>
                  </w:r>
                </w:p>
              </w:tc>
              <w:tc>
                <w:tcPr>
                  <w:tcW w:type="dxa" w:w="1297"/>
                  <w:tcMar>
                    <w:top w:type="dxa" w:w="70"/>
                    <w:left w:type="dxa" w:w="100"/>
                    <w:bottom w:type="dxa" w:w="70"/>
                    <w:right w:type="dxa" w:w="100"/>
                  </w:tcMar>
                  <w:vAlign w:val="center"/>
                </w:tcPr>
                <w:p>
                  <w:pPr>
                    <w:spacing w:after="0"/>
                  </w:pPr>
                  <w:r>
                    <w:rPr>
                      <w:sz w:val="18"/>
                      <w:szCs w:val="18"/>
                    </w:rPr>
                    <w:t xml:space="preserve">1,26 %</w:t>
                  </w:r>
                </w:p>
              </w:tc>
              <w:tc>
                <w:tcPr>
                  <w:tcW w:type="dxa" w:w="1013"/>
                  <w:tcMar>
                    <w:top w:type="dxa" w:w="70"/>
                    <w:left w:type="dxa" w:w="100"/>
                    <w:bottom w:type="dxa" w:w="70"/>
                    <w:right w:type="dxa" w:w="100"/>
                  </w:tcMar>
                  <w:vAlign w:val="center"/>
                </w:tcPr>
                <w:p>
                  <w:pPr>
                    <w:spacing w:after="0"/>
                  </w:pPr>
                  <w:r>
                    <w:rPr>
                      <w:sz w:val="18"/>
                      <w:szCs w:val="18"/>
                    </w:rPr>
                    <w:t xml:space="preserve">5,90 %</w:t>
                  </w:r>
                </w:p>
              </w:tc>
              <w:tc>
                <w:tcPr>
                  <w:tcW w:type="dxa" w:w="1394"/>
                  <w:tcMar>
                    <w:top w:type="dxa" w:w="70"/>
                    <w:left w:type="dxa" w:w="100"/>
                    <w:bottom w:type="dxa" w:w="70"/>
                    <w:right w:type="dxa" w:w="100"/>
                  </w:tcMar>
                  <w:vAlign w:val="center"/>
                </w:tcPr>
                <w:p>
                  <w:pPr>
                    <w:spacing w:after="0"/>
                  </w:pPr>
                  <w:r>
                    <w:rPr>
                      <w:sz w:val="18"/>
                      <w:szCs w:val="18"/>
                    </w:rPr>
                    <w:t xml:space="preserve">3,55 %</w:t>
                  </w:r>
                </w:p>
              </w:tc>
            </w:tr>
            <w:tr>
              <w:trPr>
                <w:cantSplit/>
                <w:tblHeader w:val="off"/>
              </w:trPr>
              <w:tc>
                <w:tcPr>
                  <w:tcW w:type="dxa" w:w="1391"/>
                  <w:tcMar>
                    <w:top w:type="dxa" w:w="70"/>
                    <w:left w:type="dxa" w:w="100"/>
                    <w:bottom w:type="dxa" w:w="70"/>
                    <w:right w:type="dxa" w:w="100"/>
                  </w:tcMar>
                  <w:vAlign w:val="center"/>
                </w:tcPr>
                <w:p>
                  <w:pPr>
                    <w:spacing w:after="0"/>
                  </w:pPr>
                  <w:r>
                    <w:rPr>
                      <w:sz w:val="18"/>
                      <w:szCs w:val="18"/>
                    </w:rPr>
                    <w:t xml:space="preserve">Con las actividades que solo existen en 2019 (E04)</w:t>
                  </w:r>
                </w:p>
              </w:tc>
              <w:tc>
                <w:tcPr>
                  <w:tcW w:type="dxa" w:w="1013"/>
                  <w:tcMar>
                    <w:top w:type="dxa" w:w="70"/>
                    <w:left w:type="dxa" w:w="100"/>
                    <w:bottom w:type="dxa" w:w="70"/>
                    <w:right w:type="dxa" w:w="100"/>
                  </w:tcMar>
                  <w:vAlign w:val="center"/>
                </w:tcPr>
                <w:p>
                  <w:pPr>
                    <w:spacing w:after="0"/>
                  </w:pPr>
                  <w:r>
                    <w:rPr>
                      <w:sz w:val="18"/>
                      <w:szCs w:val="18"/>
                    </w:rPr>
                    <w:t xml:space="preserve">4.275.385</w:t>
                  </w:r>
                </w:p>
              </w:tc>
              <w:tc>
                <w:tcPr>
                  <w:tcW w:type="dxa" w:w="918"/>
                  <w:tcMar>
                    <w:top w:type="dxa" w:w="70"/>
                    <w:left w:type="dxa" w:w="100"/>
                    <w:bottom w:type="dxa" w:w="70"/>
                    <w:right w:type="dxa" w:w="100"/>
                  </w:tcMar>
                  <w:vAlign w:val="center"/>
                </w:tcPr>
                <w:p>
                  <w:pPr>
                    <w:spacing w:after="0"/>
                  </w:pPr>
                  <w:r>
                    <w:rPr>
                      <w:sz w:val="18"/>
                      <w:szCs w:val="18"/>
                    </w:rPr>
                    <w:t xml:space="preserve">2,11 %</w:t>
                  </w:r>
                </w:p>
              </w:tc>
              <w:tc>
                <w:tcPr>
                  <w:tcW w:type="dxa" w:w="1297"/>
                  <w:tcMar>
                    <w:top w:type="dxa" w:w="70"/>
                    <w:left w:type="dxa" w:w="100"/>
                    <w:bottom w:type="dxa" w:w="70"/>
                    <w:right w:type="dxa" w:w="100"/>
                  </w:tcMar>
                  <w:vAlign w:val="center"/>
                </w:tcPr>
                <w:p>
                  <w:pPr>
                    <w:spacing w:after="0"/>
                  </w:pPr>
                  <w:r>
                    <w:rPr>
                      <w:sz w:val="18"/>
                      <w:szCs w:val="18"/>
                    </w:rPr>
                    <w:t xml:space="preserve">1,29 %</w:t>
                  </w:r>
                </w:p>
              </w:tc>
              <w:tc>
                <w:tcPr>
                  <w:tcW w:type="dxa" w:w="1013"/>
                  <w:tcMar>
                    <w:top w:type="dxa" w:w="70"/>
                    <w:left w:type="dxa" w:w="100"/>
                    <w:bottom w:type="dxa" w:w="70"/>
                    <w:right w:type="dxa" w:w="100"/>
                  </w:tcMar>
                  <w:vAlign w:val="center"/>
                </w:tcPr>
                <w:p>
                  <w:pPr>
                    <w:spacing w:after="0"/>
                  </w:pPr>
                  <w:r>
                    <w:rPr>
                      <w:sz w:val="18"/>
                      <w:szCs w:val="18"/>
                    </w:rPr>
                    <w:t xml:space="preserve">5,99 %</w:t>
                  </w:r>
                </w:p>
              </w:tc>
              <w:tc>
                <w:tcPr>
                  <w:tcW w:type="dxa" w:w="1394"/>
                  <w:tcMar>
                    <w:top w:type="dxa" w:w="70"/>
                    <w:left w:type="dxa" w:w="100"/>
                    <w:bottom w:type="dxa" w:w="70"/>
                    <w:right w:type="dxa" w:w="100"/>
                  </w:tcMar>
                  <w:vAlign w:val="center"/>
                </w:tcPr>
                <w:p>
                  <w:pPr>
                    <w:spacing w:after="0"/>
                  </w:pPr>
                  <w:r>
                    <w:rPr>
                      <w:sz w:val="18"/>
                      <w:szCs w:val="18"/>
                    </w:rPr>
                    <w:t xml:space="preserve">3,59 %</w:t>
                  </w:r>
                </w:p>
              </w:tc>
            </w:tr>
            <w:tr>
              <w:trPr>
                <w:cantSplit/>
                <w:tblHeader w:val="off"/>
              </w:trPr>
              <w:tc>
                <w:tcPr>
                  <w:tcW w:type="dxa" w:w="1391"/>
                  <w:tcMar>
                    <w:top w:type="dxa" w:w="70"/>
                    <w:left w:type="dxa" w:w="100"/>
                    <w:bottom w:type="dxa" w:w="70"/>
                    <w:right w:type="dxa" w:w="100"/>
                  </w:tcMar>
                  <w:vAlign w:val="center"/>
                </w:tcPr>
                <w:p>
                  <w:pPr>
                    <w:spacing w:after="0"/>
                  </w:pPr>
                  <w:r>
                    <w:rPr>
                      <w:sz w:val="18"/>
                      <w:szCs w:val="18"/>
                    </w:rPr>
                    <w:t xml:space="preserve">Con la cirugía mayor ambulatoria (E13)</w:t>
                  </w:r>
                </w:p>
              </w:tc>
              <w:tc>
                <w:tcPr>
                  <w:tcW w:type="dxa" w:w="1013"/>
                  <w:tcMar>
                    <w:top w:type="dxa" w:w="70"/>
                    <w:left w:type="dxa" w:w="100"/>
                    <w:bottom w:type="dxa" w:w="70"/>
                    <w:right w:type="dxa" w:w="100"/>
                  </w:tcMar>
                  <w:vAlign w:val="center"/>
                </w:tcPr>
                <w:p>
                  <w:pPr>
                    <w:spacing w:after="0"/>
                  </w:pPr>
                  <w:r>
                    <w:rPr>
                      <w:sz w:val="18"/>
                      <w:szCs w:val="18"/>
                    </w:rPr>
                    <w:t xml:space="preserve">5.036.703</w:t>
                  </w:r>
                </w:p>
              </w:tc>
              <w:tc>
                <w:tcPr>
                  <w:tcW w:type="dxa" w:w="918"/>
                  <w:tcMar>
                    <w:top w:type="dxa" w:w="70"/>
                    <w:left w:type="dxa" w:w="100"/>
                    <w:bottom w:type="dxa" w:w="70"/>
                    <w:right w:type="dxa" w:w="100"/>
                  </w:tcMar>
                  <w:vAlign w:val="center"/>
                </w:tcPr>
                <w:p>
                  <w:pPr>
                    <w:spacing w:after="0"/>
                  </w:pPr>
                  <w:r>
                    <w:rPr>
                      <w:sz w:val="18"/>
                      <w:szCs w:val="18"/>
                    </w:rPr>
                    <w:t xml:space="preserve">1,79 %</w:t>
                  </w:r>
                </w:p>
              </w:tc>
              <w:tc>
                <w:tcPr>
                  <w:tcW w:type="dxa" w:w="1297"/>
                  <w:tcMar>
                    <w:top w:type="dxa" w:w="70"/>
                    <w:left w:type="dxa" w:w="100"/>
                    <w:bottom w:type="dxa" w:w="70"/>
                    <w:right w:type="dxa" w:w="100"/>
                  </w:tcMar>
                  <w:vAlign w:val="center"/>
                </w:tcPr>
                <w:p>
                  <w:pPr>
                    <w:spacing w:after="0"/>
                  </w:pPr>
                  <w:r>
                    <w:rPr>
                      <w:sz w:val="18"/>
                      <w:szCs w:val="18"/>
                    </w:rPr>
                    <w:t xml:space="preserve">1,05 %</w:t>
                  </w:r>
                </w:p>
              </w:tc>
              <w:tc>
                <w:tcPr>
                  <w:tcW w:type="dxa" w:w="1013"/>
                  <w:tcMar>
                    <w:top w:type="dxa" w:w="70"/>
                    <w:left w:type="dxa" w:w="100"/>
                    <w:bottom w:type="dxa" w:w="70"/>
                    <w:right w:type="dxa" w:w="100"/>
                  </w:tcMar>
                  <w:vAlign w:val="center"/>
                </w:tcPr>
                <w:p>
                  <w:pPr>
                    <w:spacing w:after="0"/>
                  </w:pPr>
                  <w:r>
                    <w:rPr>
                      <w:sz w:val="18"/>
                      <w:szCs w:val="18"/>
                    </w:rPr>
                    <w:t xml:space="preserve">5,10 %</w:t>
                  </w:r>
                </w:p>
              </w:tc>
              <w:tc>
                <w:tcPr>
                  <w:tcW w:type="dxa" w:w="1394"/>
                  <w:tcMar>
                    <w:top w:type="dxa" w:w="70"/>
                    <w:left w:type="dxa" w:w="100"/>
                    <w:bottom w:type="dxa" w:w="70"/>
                    <w:right w:type="dxa" w:w="100"/>
                  </w:tcMar>
                  <w:vAlign w:val="center"/>
                </w:tcPr>
                <w:p>
                  <w:pPr>
                    <w:spacing w:after="0"/>
                  </w:pPr>
                  <w:r>
                    <w:rPr>
                      <w:sz w:val="18"/>
                      <w:szCs w:val="18"/>
                    </w:rPr>
                    <w:t xml:space="preserve">2,94 %</w:t>
                  </w:r>
                </w:p>
              </w:tc>
            </w:tr>
            <w:tr>
              <w:trPr>
                <w:cantSplit/>
                <w:tblHeader w:val="off"/>
              </w:trPr>
              <w:tc>
                <w:tcPr>
                  <w:tcW w:type="dxa" w:w="1391"/>
                  <w:tcMar>
                    <w:top w:type="dxa" w:w="70"/>
                    <w:left w:type="dxa" w:w="100"/>
                    <w:bottom w:type="dxa" w:w="70"/>
                    <w:right w:type="dxa" w:w="100"/>
                  </w:tcMar>
                  <w:vAlign w:val="center"/>
                </w:tcPr>
                <w:p>
                  <w:pPr>
                    <w:spacing w:after="0"/>
                  </w:pPr>
                  <w:r>
                    <w:rPr>
                      <w:sz w:val="18"/>
                      <w:szCs w:val="18"/>
                    </w:rPr>
                    <w:t xml:space="preserve">Con las sesiones de tratamiento (E14)</w:t>
                  </w:r>
                </w:p>
              </w:tc>
              <w:tc>
                <w:tcPr>
                  <w:tcW w:type="dxa" w:w="1013"/>
                  <w:tcMar>
                    <w:top w:type="dxa" w:w="70"/>
                    <w:left w:type="dxa" w:w="100"/>
                    <w:bottom w:type="dxa" w:w="70"/>
                    <w:right w:type="dxa" w:w="100"/>
                  </w:tcMar>
                  <w:vAlign w:val="center"/>
                </w:tcPr>
                <w:p>
                  <w:pPr>
                    <w:spacing w:after="0"/>
                  </w:pPr>
                  <w:r>
                    <w:rPr>
                      <w:sz w:val="18"/>
                      <w:szCs w:val="18"/>
                    </w:rPr>
                    <w:t xml:space="preserve">4.274.335</w:t>
                  </w:r>
                </w:p>
              </w:tc>
              <w:tc>
                <w:tcPr>
                  <w:tcW w:type="dxa" w:w="918"/>
                  <w:tcMar>
                    <w:top w:type="dxa" w:w="70"/>
                    <w:left w:type="dxa" w:w="100"/>
                    <w:bottom w:type="dxa" w:w="70"/>
                    <w:right w:type="dxa" w:w="100"/>
                  </w:tcMar>
                  <w:vAlign w:val="center"/>
                </w:tcPr>
                <w:p>
                  <w:pPr>
                    <w:spacing w:after="0"/>
                  </w:pPr>
                  <w:r>
                    <w:rPr>
                      <w:sz w:val="18"/>
                      <w:szCs w:val="18"/>
                    </w:rPr>
                    <w:t xml:space="preserve">2,08 %</w:t>
                  </w:r>
                </w:p>
              </w:tc>
              <w:tc>
                <w:tcPr>
                  <w:tcW w:type="dxa" w:w="1297"/>
                  <w:tcMar>
                    <w:top w:type="dxa" w:w="70"/>
                    <w:left w:type="dxa" w:w="100"/>
                    <w:bottom w:type="dxa" w:w="70"/>
                    <w:right w:type="dxa" w:w="100"/>
                  </w:tcMar>
                  <w:vAlign w:val="center"/>
                </w:tcPr>
                <w:p>
                  <w:pPr>
                    <w:spacing w:after="0"/>
                  </w:pPr>
                  <w:r>
                    <w:rPr>
                      <w:sz w:val="18"/>
                      <w:szCs w:val="18"/>
                    </w:rPr>
                    <w:t xml:space="preserve">1,24 %</w:t>
                  </w:r>
                </w:p>
              </w:tc>
              <w:tc>
                <w:tcPr>
                  <w:tcW w:type="dxa" w:w="1013"/>
                  <w:tcMar>
                    <w:top w:type="dxa" w:w="70"/>
                    <w:left w:type="dxa" w:w="100"/>
                    <w:bottom w:type="dxa" w:w="70"/>
                    <w:right w:type="dxa" w:w="100"/>
                  </w:tcMar>
                  <w:vAlign w:val="center"/>
                </w:tcPr>
                <w:p>
                  <w:pPr>
                    <w:spacing w:after="0"/>
                  </w:pPr>
                  <w:r>
                    <w:rPr>
                      <w:sz w:val="18"/>
                      <w:szCs w:val="18"/>
                    </w:rPr>
                    <w:t xml:space="preserve">5,94 %</w:t>
                  </w:r>
                </w:p>
              </w:tc>
              <w:tc>
                <w:tcPr>
                  <w:tcW w:type="dxa" w:w="1394"/>
                  <w:tcMar>
                    <w:top w:type="dxa" w:w="70"/>
                    <w:left w:type="dxa" w:w="100"/>
                    <w:bottom w:type="dxa" w:w="70"/>
                    <w:right w:type="dxa" w:w="100"/>
                  </w:tcMar>
                  <w:vAlign w:val="center"/>
                </w:tcPr>
                <w:p>
                  <w:pPr>
                    <w:spacing w:after="0"/>
                  </w:pPr>
                  <w:r>
                    <w:rPr>
                      <w:sz w:val="18"/>
                      <w:szCs w:val="18"/>
                    </w:rPr>
                    <w:t xml:space="preserve">3,50 %</w:t>
                  </w:r>
                </w:p>
              </w:tc>
            </w:tr>
            <w:tr>
              <w:trPr>
                <w:cantSplit/>
                <w:tblHeader w:val="off"/>
              </w:trPr>
              <w:tc>
                <w:tcPr>
                  <w:tcW w:type="dxa" w:w="1391"/>
                  <w:tcMar>
                    <w:top w:type="dxa" w:w="70"/>
                    <w:left w:type="dxa" w:w="100"/>
                    <w:bottom w:type="dxa" w:w="70"/>
                    <w:right w:type="dxa" w:w="100"/>
                  </w:tcMar>
                  <w:vAlign w:val="center"/>
                </w:tcPr>
                <w:p>
                  <w:pPr>
                    <w:spacing w:after="0"/>
                  </w:pPr>
                  <w:r>
                    <w:rPr>
                      <w:sz w:val="18"/>
                      <w:szCs w:val="18"/>
                    </w:rPr>
                    <w:t xml:space="preserve">Con los partos en las variables relacionadas, con valor 0</w:t>
                  </w:r>
                </w:p>
              </w:tc>
              <w:tc>
                <w:tcPr>
                  <w:tcW w:type="dxa" w:w="1013"/>
                  <w:tcMar>
                    <w:top w:type="dxa" w:w="70"/>
                    <w:left w:type="dxa" w:w="100"/>
                    <w:bottom w:type="dxa" w:w="70"/>
                    <w:right w:type="dxa" w:w="100"/>
                  </w:tcMar>
                  <w:vAlign w:val="center"/>
                </w:tcPr>
                <w:p>
                  <w:pPr>
                    <w:spacing w:after="0"/>
                  </w:pPr>
                  <w:r>
                    <w:rPr>
                      <w:sz w:val="18"/>
                      <w:szCs w:val="18"/>
                    </w:rPr>
                    <w:t xml:space="preserve">4.192.410</w:t>
                  </w:r>
                </w:p>
              </w:tc>
              <w:tc>
                <w:tcPr>
                  <w:tcW w:type="dxa" w:w="918"/>
                  <w:tcMar>
                    <w:top w:type="dxa" w:w="70"/>
                    <w:left w:type="dxa" w:w="100"/>
                    <w:bottom w:type="dxa" w:w="70"/>
                    <w:right w:type="dxa" w:w="100"/>
                  </w:tcMar>
                  <w:vAlign w:val="center"/>
                </w:tcPr>
                <w:p>
                  <w:pPr>
                    <w:spacing w:after="0"/>
                  </w:pPr>
                  <w:r>
                    <w:rPr>
                      <w:sz w:val="18"/>
                      <w:szCs w:val="18"/>
                    </w:rPr>
                    <w:t xml:space="preserve">2,07 %</w:t>
                  </w:r>
                </w:p>
              </w:tc>
              <w:tc>
                <w:tcPr>
                  <w:tcW w:type="dxa" w:w="1297"/>
                  <w:tcMar>
                    <w:top w:type="dxa" w:w="70"/>
                    <w:left w:type="dxa" w:w="100"/>
                    <w:bottom w:type="dxa" w:w="70"/>
                    <w:right w:type="dxa" w:w="100"/>
                  </w:tcMar>
                  <w:vAlign w:val="center"/>
                </w:tcPr>
                <w:p>
                  <w:pPr>
                    <w:spacing w:after="0"/>
                  </w:pPr>
                  <w:r>
                    <w:rPr>
                      <w:sz w:val="18"/>
                      <w:szCs w:val="18"/>
                    </w:rPr>
                    <w:t xml:space="preserve">1,08 %</w:t>
                  </w:r>
                </w:p>
              </w:tc>
              <w:tc>
                <w:tcPr>
                  <w:tcW w:type="dxa" w:w="1013"/>
                  <w:tcMar>
                    <w:top w:type="dxa" w:w="70"/>
                    <w:left w:type="dxa" w:w="100"/>
                    <w:bottom w:type="dxa" w:w="70"/>
                    <w:right w:type="dxa" w:w="100"/>
                  </w:tcMar>
                  <w:vAlign w:val="center"/>
                </w:tcPr>
                <w:p>
                  <w:pPr>
                    <w:spacing w:after="0"/>
                  </w:pPr>
                  <w:r>
                    <w:rPr>
                      <w:sz w:val="18"/>
                      <w:szCs w:val="18"/>
                    </w:rPr>
                    <w:t xml:space="preserve">5,90 %</w:t>
                  </w:r>
                </w:p>
              </w:tc>
              <w:tc>
                <w:tcPr>
                  <w:tcW w:type="dxa" w:w="1394"/>
                  <w:tcMar>
                    <w:top w:type="dxa" w:w="70"/>
                    <w:left w:type="dxa" w:w="100"/>
                    <w:bottom w:type="dxa" w:w="70"/>
                    <w:right w:type="dxa" w:w="100"/>
                  </w:tcMar>
                  <w:vAlign w:val="center"/>
                </w:tcPr>
                <w:p>
                  <w:pPr>
                    <w:spacing w:after="0"/>
                  </w:pPr>
                  <w:r>
                    <w:rPr>
                      <w:sz w:val="18"/>
                      <w:szCs w:val="18"/>
                    </w:rPr>
                    <w:t xml:space="preserve">3,03 %</w:t>
                  </w:r>
                </w:p>
              </w:tc>
            </w:tr>
            <w:tr>
              <w:trPr>
                <w:cantSplit/>
                <w:tblHeader w:val="off"/>
              </w:trPr>
              <w:tc>
                <w:tcPr>
                  <w:tcW w:type="dxa" w:w="1391"/>
                  <w:tcMar>
                    <w:top w:type="dxa" w:w="70"/>
                    <w:left w:type="dxa" w:w="100"/>
                    <w:bottom w:type="dxa" w:w="70"/>
                    <w:right w:type="dxa" w:w="100"/>
                  </w:tcMar>
                  <w:vAlign w:val="center"/>
                </w:tcPr>
                <w:p>
                  <w:pPr>
                    <w:spacing w:after="0"/>
                  </w:pPr>
                  <w:r>
                    <w:rPr>
                      <w:sz w:val="18"/>
                      <w:szCs w:val="18"/>
                    </w:rPr>
                    <w:t xml:space="preserve">Con las CDM 13 y 14 como una sola</w:t>
                  </w:r>
                </w:p>
              </w:tc>
              <w:tc>
                <w:tcPr>
                  <w:tcW w:type="dxa" w:w="1013"/>
                  <w:tcMar>
                    <w:top w:type="dxa" w:w="70"/>
                    <w:left w:type="dxa" w:w="100"/>
                    <w:bottom w:type="dxa" w:w="70"/>
                    <w:right w:type="dxa" w:w="100"/>
                  </w:tcMar>
                  <w:vAlign w:val="center"/>
                </w:tcPr>
                <w:p>
                  <w:pPr>
                    <w:spacing w:after="0"/>
                  </w:pPr>
                  <w:r>
                    <w:rPr>
                      <w:sz w:val="18"/>
                      <w:szCs w:val="18"/>
                    </w:rPr>
                    <w:t xml:space="preserve">4.192.410</w:t>
                  </w:r>
                </w:p>
              </w:tc>
              <w:tc>
                <w:tcPr>
                  <w:tcW w:type="dxa" w:w="918"/>
                  <w:tcMar>
                    <w:top w:type="dxa" w:w="70"/>
                    <w:left w:type="dxa" w:w="100"/>
                    <w:bottom w:type="dxa" w:w="70"/>
                    <w:right w:type="dxa" w:w="100"/>
                  </w:tcMar>
                  <w:vAlign w:val="center"/>
                </w:tcPr>
                <w:p>
                  <w:pPr>
                    <w:spacing w:after="0"/>
                  </w:pPr>
                  <w:r>
                    <w:rPr>
                      <w:sz w:val="18"/>
                      <w:szCs w:val="18"/>
                    </w:rPr>
                    <w:t xml:space="preserve">2,07 %</w:t>
                  </w:r>
                </w:p>
              </w:tc>
              <w:tc>
                <w:tcPr>
                  <w:tcW w:type="dxa" w:w="1297"/>
                  <w:tcMar>
                    <w:top w:type="dxa" w:w="70"/>
                    <w:left w:type="dxa" w:w="100"/>
                    <w:bottom w:type="dxa" w:w="70"/>
                    <w:right w:type="dxa" w:w="100"/>
                  </w:tcMar>
                  <w:vAlign w:val="center"/>
                </w:tcPr>
                <w:p>
                  <w:pPr>
                    <w:spacing w:after="0"/>
                  </w:pPr>
                  <w:r>
                    <w:rPr>
                      <w:sz w:val="18"/>
                      <w:szCs w:val="18"/>
                    </w:rPr>
                    <w:t xml:space="preserve">1,17 %</w:t>
                  </w:r>
                </w:p>
              </w:tc>
              <w:tc>
                <w:tcPr>
                  <w:tcW w:type="dxa" w:w="1013"/>
                  <w:tcMar>
                    <w:top w:type="dxa" w:w="70"/>
                    <w:left w:type="dxa" w:w="100"/>
                    <w:bottom w:type="dxa" w:w="70"/>
                    <w:right w:type="dxa" w:w="100"/>
                  </w:tcMar>
                  <w:vAlign w:val="center"/>
                </w:tcPr>
                <w:p>
                  <w:pPr>
                    <w:spacing w:after="0"/>
                  </w:pPr>
                  <w:r>
                    <w:rPr>
                      <w:sz w:val="18"/>
                      <w:szCs w:val="18"/>
                    </w:rPr>
                    <w:t xml:space="preserve">5,90 %</w:t>
                  </w:r>
                </w:p>
              </w:tc>
              <w:tc>
                <w:tcPr>
                  <w:tcW w:type="dxa" w:w="1394"/>
                  <w:tcMar>
                    <w:top w:type="dxa" w:w="70"/>
                    <w:left w:type="dxa" w:w="100"/>
                    <w:bottom w:type="dxa" w:w="70"/>
                    <w:right w:type="dxa" w:w="100"/>
                  </w:tcMar>
                  <w:vAlign w:val="center"/>
                </w:tcPr>
                <w:p>
                  <w:pPr>
                    <w:spacing w:after="0"/>
                  </w:pPr>
                  <w:r>
                    <w:rPr>
                      <w:sz w:val="18"/>
                      <w:szCs w:val="18"/>
                    </w:rPr>
                    <w:t xml:space="preserve">3,19 %</w:t>
                  </w:r>
                </w:p>
              </w:tc>
            </w:tr>
            <w:tr>
              <w:trPr>
                <w:cantSplit/>
                <w:tblHeader w:val="off"/>
              </w:trPr>
              <w:tc>
                <w:tcPr>
                  <w:tcW w:type="dxa" w:w="1391"/>
                  <w:tcMar>
                    <w:top w:type="dxa" w:w="70"/>
                    <w:left w:type="dxa" w:w="100"/>
                    <w:bottom w:type="dxa" w:w="70"/>
                    <w:right w:type="dxa" w:w="100"/>
                  </w:tcMar>
                  <w:vAlign w:val="center"/>
                </w:tcPr>
                <w:p>
                  <w:pPr>
                    <w:spacing w:after="0"/>
                  </w:pPr>
                  <w:r>
                    <w:rPr>
                      <w:sz w:val="18"/>
                      <w:szCs w:val="18"/>
                    </w:rPr>
                    <w:t xml:space="preserve">Censura sin margen</w:t>
                  </w:r>
                </w:p>
              </w:tc>
              <w:tc>
                <w:tcPr>
                  <w:tcW w:type="dxa" w:w="1013"/>
                  <w:tcMar>
                    <w:top w:type="dxa" w:w="70"/>
                    <w:left w:type="dxa" w:w="100"/>
                    <w:bottom w:type="dxa" w:w="70"/>
                    <w:right w:type="dxa" w:w="100"/>
                  </w:tcMar>
                  <w:vAlign w:val="center"/>
                </w:tcPr>
                <w:p>
                  <w:pPr>
                    <w:spacing w:after="0"/>
                  </w:pPr>
                  <w:r>
                    <w:rPr>
                      <w:sz w:val="18"/>
                      <w:szCs w:val="18"/>
                    </w:rPr>
                    <w:t xml:space="preserve">4.313.289</w:t>
                  </w:r>
                </w:p>
              </w:tc>
              <w:tc>
                <w:tcPr>
                  <w:tcW w:type="dxa" w:w="918"/>
                  <w:tcMar>
                    <w:top w:type="dxa" w:w="70"/>
                    <w:left w:type="dxa" w:w="100"/>
                    <w:bottom w:type="dxa" w:w="70"/>
                    <w:right w:type="dxa" w:w="100"/>
                  </w:tcMar>
                  <w:vAlign w:val="center"/>
                </w:tcPr>
                <w:p>
                  <w:pPr>
                    <w:spacing w:after="0"/>
                  </w:pPr>
                  <w:r>
                    <w:rPr>
                      <w:sz w:val="18"/>
                      <w:szCs w:val="18"/>
                    </w:rPr>
                    <w:t xml:space="preserve">2,06 %</w:t>
                  </w:r>
                </w:p>
              </w:tc>
              <w:tc>
                <w:tcPr>
                  <w:tcW w:type="dxa" w:w="1297"/>
                  <w:tcMar>
                    <w:top w:type="dxa" w:w="70"/>
                    <w:left w:type="dxa" w:w="100"/>
                    <w:bottom w:type="dxa" w:w="70"/>
                    <w:right w:type="dxa" w:w="100"/>
                  </w:tcMar>
                  <w:vAlign w:val="center"/>
                </w:tcPr>
                <w:p>
                  <w:pPr>
                    <w:spacing w:after="0"/>
                  </w:pPr>
                  <w:r>
                    <w:rPr>
                      <w:sz w:val="18"/>
                      <w:szCs w:val="18"/>
                    </w:rPr>
                    <w:t xml:space="preserve">1,26 %</w:t>
                  </w:r>
                </w:p>
              </w:tc>
              <w:tc>
                <w:tcPr>
                  <w:tcW w:type="dxa" w:w="1013"/>
                  <w:tcMar>
                    <w:top w:type="dxa" w:w="70"/>
                    <w:left w:type="dxa" w:w="100"/>
                    <w:bottom w:type="dxa" w:w="70"/>
                    <w:right w:type="dxa" w:w="100"/>
                  </w:tcMar>
                  <w:vAlign w:val="center"/>
                </w:tcPr>
                <w:p>
                  <w:pPr>
                    <w:spacing w:after="0"/>
                  </w:pPr>
                  <w:r>
                    <w:rPr>
                      <w:sz w:val="18"/>
                      <w:szCs w:val="18"/>
                    </w:rPr>
                    <w:t xml:space="preserve">5,89 %</w:t>
                  </w:r>
                </w:p>
              </w:tc>
              <w:tc>
                <w:tcPr>
                  <w:tcW w:type="dxa" w:w="1394"/>
                  <w:tcMar>
                    <w:top w:type="dxa" w:w="70"/>
                    <w:left w:type="dxa" w:w="100"/>
                    <w:bottom w:type="dxa" w:w="70"/>
                    <w:right w:type="dxa" w:w="100"/>
                  </w:tcMar>
                  <w:vAlign w:val="center"/>
                </w:tcPr>
                <w:p>
                  <w:pPr>
                    <w:spacing w:after="0"/>
                  </w:pPr>
                  <w:r>
                    <w:rPr>
                      <w:sz w:val="18"/>
                      <w:szCs w:val="18"/>
                    </w:rPr>
                    <w:t xml:space="preserve">3,54 %</w:t>
                  </w:r>
                </w:p>
              </w:tc>
            </w:tr>
            <w:tr>
              <w:trPr>
                <w:cantSplit/>
                <w:tblHeader w:val="off"/>
              </w:trPr>
              <w:tc>
                <w:tcPr>
                  <w:tcW w:type="dxa" w:w="1391"/>
                  <w:tcMar>
                    <w:top w:type="dxa" w:w="70"/>
                    <w:left w:type="dxa" w:w="100"/>
                    <w:bottom w:type="dxa" w:w="70"/>
                    <w:right w:type="dxa" w:w="100"/>
                  </w:tcMar>
                  <w:vAlign w:val="center"/>
                </w:tcPr>
                <w:p>
                  <w:pPr>
                    <w:spacing w:after="0"/>
                  </w:pPr>
                  <w:r>
                    <w:rPr>
                      <w:sz w:val="18"/>
                      <w:szCs w:val="18"/>
                    </w:rPr>
                    <w:t xml:space="preserve">Solo los traslados con marca explícita</w:t>
                  </w:r>
                </w:p>
              </w:tc>
              <w:tc>
                <w:tcPr>
                  <w:tcW w:type="dxa" w:w="1013"/>
                  <w:tcMar>
                    <w:top w:type="dxa" w:w="70"/>
                    <w:left w:type="dxa" w:w="100"/>
                    <w:bottom w:type="dxa" w:w="70"/>
                    <w:right w:type="dxa" w:w="100"/>
                  </w:tcMar>
                  <w:vAlign w:val="center"/>
                </w:tcPr>
                <w:p>
                  <w:pPr>
                    <w:spacing w:after="0"/>
                  </w:pPr>
                  <w:r>
                    <w:rPr>
                      <w:sz w:val="18"/>
                      <w:szCs w:val="18"/>
                    </w:rPr>
                    <w:t xml:space="preserve">4.195.786</w:t>
                  </w:r>
                </w:p>
              </w:tc>
              <w:tc>
                <w:tcPr>
                  <w:tcW w:type="dxa" w:w="918"/>
                  <w:tcMar>
                    <w:top w:type="dxa" w:w="70"/>
                    <w:left w:type="dxa" w:w="100"/>
                    <w:bottom w:type="dxa" w:w="70"/>
                    <w:right w:type="dxa" w:w="100"/>
                  </w:tcMar>
                  <w:vAlign w:val="center"/>
                </w:tcPr>
                <w:p>
                  <w:pPr>
                    <w:spacing w:after="0"/>
                  </w:pPr>
                  <w:r>
                    <w:rPr>
                      <w:sz w:val="18"/>
                      <w:szCs w:val="18"/>
                    </w:rPr>
                    <w:t xml:space="preserve">2,12 %</w:t>
                  </w:r>
                </w:p>
              </w:tc>
              <w:tc>
                <w:tcPr>
                  <w:tcW w:type="dxa" w:w="1297"/>
                  <w:tcMar>
                    <w:top w:type="dxa" w:w="70"/>
                    <w:left w:type="dxa" w:w="100"/>
                    <w:bottom w:type="dxa" w:w="70"/>
                    <w:right w:type="dxa" w:w="100"/>
                  </w:tcMar>
                  <w:vAlign w:val="center"/>
                </w:tcPr>
                <w:p>
                  <w:pPr>
                    <w:spacing w:after="0"/>
                  </w:pPr>
                  <w:r>
                    <w:rPr>
                      <w:sz w:val="18"/>
                      <w:szCs w:val="18"/>
                    </w:rPr>
                    <w:t xml:space="preserve">1,30 %</w:t>
                  </w:r>
                </w:p>
              </w:tc>
              <w:tc>
                <w:tcPr>
                  <w:tcW w:type="dxa" w:w="1013"/>
                  <w:tcMar>
                    <w:top w:type="dxa" w:w="70"/>
                    <w:left w:type="dxa" w:w="100"/>
                    <w:bottom w:type="dxa" w:w="70"/>
                    <w:right w:type="dxa" w:w="100"/>
                  </w:tcMar>
                  <w:vAlign w:val="center"/>
                </w:tcPr>
                <w:p>
                  <w:pPr>
                    <w:spacing w:after="0"/>
                  </w:pPr>
                  <w:r>
                    <w:rPr>
                      <w:sz w:val="18"/>
                      <w:szCs w:val="18"/>
                    </w:rPr>
                    <w:t xml:space="preserve">5,95 %</w:t>
                  </w:r>
                </w:p>
              </w:tc>
              <w:tc>
                <w:tcPr>
                  <w:tcW w:type="dxa" w:w="1394"/>
                  <w:tcMar>
                    <w:top w:type="dxa" w:w="70"/>
                    <w:left w:type="dxa" w:w="100"/>
                    <w:bottom w:type="dxa" w:w="70"/>
                    <w:right w:type="dxa" w:w="100"/>
                  </w:tcMar>
                  <w:vAlign w:val="center"/>
                </w:tcPr>
                <w:p>
                  <w:pPr>
                    <w:spacing w:after="0"/>
                  </w:pPr>
                  <w:r>
                    <w:rPr>
                      <w:sz w:val="18"/>
                      <w:szCs w:val="18"/>
                    </w:rPr>
                    <w:t xml:space="preserve">3,59 %</w:t>
                  </w:r>
                </w:p>
              </w:tc>
            </w:tr>
            <w:tr>
              <w:trPr>
                <w:cantSplit/>
                <w:tblHeader w:val="off"/>
              </w:trPr>
              <w:tc>
                <w:tcPr>
                  <w:tcW w:type="dxa" w:w="1391"/>
                  <w:tcMar>
                    <w:top w:type="dxa" w:w="70"/>
                    <w:left w:type="dxa" w:w="100"/>
                    <w:bottom w:type="dxa" w:w="70"/>
                    <w:right w:type="dxa" w:w="100"/>
                  </w:tcMar>
                  <w:vAlign w:val="center"/>
                </w:tcPr>
                <w:p>
                  <w:pPr>
                    <w:spacing w:after="0"/>
                  </w:pPr>
                  <w:r>
                    <w:rPr>
                      <w:sz w:val="18"/>
                      <w:szCs w:val="18"/>
                    </w:rPr>
                    <w:t xml:space="preserve">Con los derivados sin continuación como casos de estudio (E07 y E08)</w:t>
                  </w:r>
                </w:p>
              </w:tc>
              <w:tc>
                <w:tcPr>
                  <w:tcW w:type="dxa" w:w="1013"/>
                  <w:tcMar>
                    <w:top w:type="dxa" w:w="70"/>
                    <w:left w:type="dxa" w:w="100"/>
                    <w:bottom w:type="dxa" w:w="70"/>
                    <w:right w:type="dxa" w:w="100"/>
                  </w:tcMar>
                  <w:vAlign w:val="center"/>
                </w:tcPr>
                <w:p>
                  <w:pPr>
                    <w:spacing w:after="0"/>
                  </w:pPr>
                  <w:r>
                    <w:rPr>
                      <w:sz w:val="18"/>
                      <w:szCs w:val="18"/>
                    </w:rPr>
                    <w:t xml:space="preserve">4.286.199</w:t>
                  </w:r>
                </w:p>
              </w:tc>
              <w:tc>
                <w:tcPr>
                  <w:tcW w:type="dxa" w:w="918"/>
                  <w:tcMar>
                    <w:top w:type="dxa" w:w="70"/>
                    <w:left w:type="dxa" w:w="100"/>
                    <w:bottom w:type="dxa" w:w="70"/>
                    <w:right w:type="dxa" w:w="100"/>
                  </w:tcMar>
                  <w:vAlign w:val="center"/>
                </w:tcPr>
                <w:p>
                  <w:pPr>
                    <w:spacing w:after="0"/>
                  </w:pPr>
                  <w:r>
                    <w:rPr>
                      <w:sz w:val="18"/>
                      <w:szCs w:val="18"/>
                    </w:rPr>
                    <w:t xml:space="preserve">2,12 %</w:t>
                  </w:r>
                </w:p>
              </w:tc>
              <w:tc>
                <w:tcPr>
                  <w:tcW w:type="dxa" w:w="1297"/>
                  <w:tcMar>
                    <w:top w:type="dxa" w:w="70"/>
                    <w:left w:type="dxa" w:w="100"/>
                    <w:bottom w:type="dxa" w:w="70"/>
                    <w:right w:type="dxa" w:w="100"/>
                  </w:tcMar>
                  <w:vAlign w:val="center"/>
                </w:tcPr>
                <w:p>
                  <w:pPr>
                    <w:spacing w:after="0"/>
                  </w:pPr>
                  <w:r>
                    <w:rPr>
                      <w:sz w:val="18"/>
                      <w:szCs w:val="18"/>
                    </w:rPr>
                    <w:t xml:space="preserve">1,30 %</w:t>
                  </w:r>
                </w:p>
              </w:tc>
              <w:tc>
                <w:tcPr>
                  <w:tcW w:type="dxa" w:w="1013"/>
                  <w:tcMar>
                    <w:top w:type="dxa" w:w="70"/>
                    <w:left w:type="dxa" w:w="100"/>
                    <w:bottom w:type="dxa" w:w="70"/>
                    <w:right w:type="dxa" w:w="100"/>
                  </w:tcMar>
                  <w:vAlign w:val="center"/>
                </w:tcPr>
                <w:p>
                  <w:pPr>
                    <w:spacing w:after="0"/>
                  </w:pPr>
                  <w:r>
                    <w:rPr>
                      <w:sz w:val="18"/>
                      <w:szCs w:val="18"/>
                    </w:rPr>
                    <w:t xml:space="preserve">5,98 %</w:t>
                  </w:r>
                </w:p>
              </w:tc>
              <w:tc>
                <w:tcPr>
                  <w:tcW w:type="dxa" w:w="1394"/>
                  <w:tcMar>
                    <w:top w:type="dxa" w:w="70"/>
                    <w:left w:type="dxa" w:w="100"/>
                    <w:bottom w:type="dxa" w:w="70"/>
                    <w:right w:type="dxa" w:w="100"/>
                  </w:tcMar>
                  <w:vAlign w:val="center"/>
                </w:tcPr>
                <w:p>
                  <w:pPr>
                    <w:spacing w:after="0"/>
                  </w:pPr>
                  <w:r>
                    <w:rPr>
                      <w:sz w:val="18"/>
                      <w:szCs w:val="18"/>
                    </w:rPr>
                    <w:t xml:space="preserve">3,59 %</w:t>
                  </w:r>
                </w:p>
              </w:tc>
            </w:tr>
            <w:tr>
              <w:trPr>
                <w:cantSplit/>
                <w:tblHeader w:val="off"/>
              </w:trPr>
              <w:tc>
                <w:tcPr>
                  <w:tcW w:type="dxa" w:w="1391"/>
                  <w:tcMar>
                    <w:top w:type="dxa" w:w="70"/>
                    <w:left w:type="dxa" w:w="100"/>
                    <w:bottom w:type="dxa" w:w="70"/>
                    <w:right w:type="dxa" w:w="100"/>
                  </w:tcMar>
                  <w:vAlign w:val="center"/>
                </w:tcPr>
                <w:p>
                  <w:pPr>
                    <w:spacing w:after="0"/>
                  </w:pPr>
                  <w:r>
                    <w:rPr>
                      <w:sz w:val="18"/>
                      <w:szCs w:val="18"/>
                    </w:rPr>
                    <w:t xml:space="preserve">Sin los casos con identidad ambigua</w:t>
                  </w:r>
                </w:p>
              </w:tc>
              <w:tc>
                <w:tcPr>
                  <w:tcW w:type="dxa" w:w="1013"/>
                  <w:tcMar>
                    <w:top w:type="dxa" w:w="70"/>
                    <w:left w:type="dxa" w:w="100"/>
                    <w:bottom w:type="dxa" w:w="70"/>
                    <w:right w:type="dxa" w:w="100"/>
                  </w:tcMar>
                  <w:vAlign w:val="center"/>
                </w:tcPr>
                <w:p>
                  <w:pPr>
                    <w:spacing w:after="0"/>
                  </w:pPr>
                  <w:r>
                    <w:rPr>
                      <w:sz w:val="18"/>
                      <w:szCs w:val="18"/>
                    </w:rPr>
                    <w:t xml:space="preserve">4.129.132</w:t>
                  </w:r>
                </w:p>
              </w:tc>
              <w:tc>
                <w:tcPr>
                  <w:tcW w:type="dxa" w:w="918"/>
                  <w:tcMar>
                    <w:top w:type="dxa" w:w="70"/>
                    <w:left w:type="dxa" w:w="100"/>
                    <w:bottom w:type="dxa" w:w="70"/>
                    <w:right w:type="dxa" w:w="100"/>
                  </w:tcMar>
                  <w:vAlign w:val="center"/>
                </w:tcPr>
                <w:p>
                  <w:pPr>
                    <w:spacing w:after="0"/>
                  </w:pPr>
                  <w:r>
                    <w:rPr>
                      <w:sz w:val="18"/>
                      <w:szCs w:val="18"/>
                    </w:rPr>
                    <w:t xml:space="preserve">2,03 %</w:t>
                  </w:r>
                </w:p>
              </w:tc>
              <w:tc>
                <w:tcPr>
                  <w:tcW w:type="dxa" w:w="1297"/>
                  <w:tcMar>
                    <w:top w:type="dxa" w:w="70"/>
                    <w:left w:type="dxa" w:w="100"/>
                    <w:bottom w:type="dxa" w:w="70"/>
                    <w:right w:type="dxa" w:w="100"/>
                  </w:tcMar>
                  <w:vAlign w:val="center"/>
                </w:tcPr>
                <w:p>
                  <w:pPr>
                    <w:spacing w:after="0"/>
                  </w:pPr>
                  <w:r>
                    <w:rPr>
                      <w:sz w:val="18"/>
                      <w:szCs w:val="18"/>
                    </w:rPr>
                    <w:t xml:space="preserve">1,25 %</w:t>
                  </w:r>
                </w:p>
              </w:tc>
              <w:tc>
                <w:tcPr>
                  <w:tcW w:type="dxa" w:w="1013"/>
                  <w:tcMar>
                    <w:top w:type="dxa" w:w="70"/>
                    <w:left w:type="dxa" w:w="100"/>
                    <w:bottom w:type="dxa" w:w="70"/>
                    <w:right w:type="dxa" w:w="100"/>
                  </w:tcMar>
                  <w:vAlign w:val="center"/>
                </w:tcPr>
                <w:p>
                  <w:pPr>
                    <w:spacing w:after="0"/>
                  </w:pPr>
                  <w:r>
                    <w:rPr>
                      <w:sz w:val="18"/>
                      <w:szCs w:val="18"/>
                    </w:rPr>
                    <w:t xml:space="preserve">5,79 %</w:t>
                  </w:r>
                </w:p>
              </w:tc>
              <w:tc>
                <w:tcPr>
                  <w:tcW w:type="dxa" w:w="1394"/>
                  <w:tcMar>
                    <w:top w:type="dxa" w:w="70"/>
                    <w:left w:type="dxa" w:w="100"/>
                    <w:bottom w:type="dxa" w:w="70"/>
                    <w:right w:type="dxa" w:w="100"/>
                  </w:tcMar>
                  <w:vAlign w:val="center"/>
                </w:tcPr>
                <w:p>
                  <w:pPr>
                    <w:spacing w:after="0"/>
                  </w:pPr>
                  <w:r>
                    <w:rPr>
                      <w:sz w:val="18"/>
                      <w:szCs w:val="18"/>
                    </w:rPr>
                    <w:t xml:space="preserve">3,49 %</w:t>
                  </w:r>
                </w:p>
              </w:tc>
            </w:tr>
          </w:tbl>
          <w:p>
            <w:pPr>
              <w:spacing w:after="0"/>
            </w:pP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Traslados</w:t>
            </w:r>
          </w:p>
        </w:tc>
        <w:tc>
          <w:tcPr>
            <w:tcW w:type="dxa" w:w="7226"/>
            <w:tcMar>
              <w:top w:type="dxa" w:w="70"/>
              <w:left w:type="dxa" w:w="100"/>
              <w:bottom w:type="dxa" w:w="70"/>
              <w:right w:type="dxa" w:w="100"/>
            </w:tcMar>
          </w:tcPr>
          <w:p>
            <w:pPr>
              <w:keepNext/>
              <w:spacing w:after="0" w:before="0"/>
            </w:pPr>
            <w:r>
              <w:rPr>
                <w:sz w:val="20"/>
                <w:szCs w:val="20"/>
              </w:rPr>
              <w:t xml:space="preserve">De los 96.998 ingresos en otro hospital que la regla </w:t>
            </w:r>
            <w:hyperlink w:history="1" w:anchor="E_D19">
              <w:r>
                <w:rPr>
                  <w:color w:val="0563C1"/>
                  <w:sz w:val="20"/>
                  <w:szCs w:val="20"/>
                  <w:u w:val="single"/>
                </w:rPr>
                <w:t xml:space="preserve">D19</w:t>
              </w:r>
            </w:hyperlink>
            <w:r>
              <w:rPr>
                <w:sz w:val="20"/>
                <w:szCs w:val="20"/>
              </w:rPr>
              <w:t xml:space="preserve"> une dentro de 7 días, 6.916 (7,1 %) no tienen marca de traslado. De ellos, 3.161 comienzan antes del alta anterior (estadías solapadas): la persona todavía no había salido, no pueden ser un reingreso con ninguna regla y siguen unidos. Exigir la marca separa los otros 3.755 (2.244 del mismo día del alta y 1.511 del día siguiente). Resultado: 3.376 casos de estudio más y 75 casos comunes con alguna variable distinta; los casos con </w:t>
            </w:r>
            <w:r>
              <w:rPr>
                <w:rFonts w:ascii="Consolas" w:cs="Consolas" w:eastAsia="Consolas" w:hAnsi="Consolas"/>
                <w:sz w:val="18"/>
                <w:szCs w:val="18"/>
                <w:shd w:fill="F2F2F2" w:color="auto" w:val="clear"/>
              </w:rPr>
              <w:t xml:space="preserve">REING_7D</w:t>
            </w:r>
            <w:r>
              <w:rPr>
                <w:sz w:val="20"/>
                <w:szCs w:val="20"/>
              </w:rPr>
              <w:t xml:space="preserve"> pasan de 86.609 a 88.742 (2.133 más, un 2,5 %) y la tasa, de 2,07 % a 2,12 %. El peor caso estimado en la revisión (cerca del 8 % de los reingresos a 7 días) incluía las estadías solapadas; el efecto medido es de 2,5 % y ninguna tasa cambia más de 0,05 puntos. Se mantiene la regla </w:t>
            </w:r>
            <w:hyperlink w:history="1" w:anchor="E_D19">
              <w:r>
                <w:rPr>
                  <w:color w:val="0563C1"/>
                  <w:sz w:val="20"/>
                  <w:szCs w:val="20"/>
                  <w:u w:val="single"/>
                </w:rPr>
                <w:t xml:space="preserve">D19</w:t>
              </w:r>
            </w:hyperlink>
            <w:r>
              <w:rPr>
                <w:sz w:val="20"/>
                <w:szCs w:val="20"/>
              </w:rPr>
              <w:t xml:space="preserve">.</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Conclusión</w:t>
            </w:r>
          </w:p>
        </w:tc>
        <w:tc>
          <w:tcPr>
            <w:tcW w:type="dxa" w:w="7226"/>
            <w:tcMar>
              <w:top w:type="dxa" w:w="70"/>
              <w:left w:type="dxa" w:w="100"/>
              <w:bottom w:type="dxa" w:w="70"/>
              <w:right w:type="dxa" w:w="100"/>
            </w:tcMar>
          </w:tcPr>
          <w:p>
            <w:pPr>
              <w:keepNext/>
              <w:spacing w:after="0" w:before="0"/>
            </w:pPr>
            <w:r>
              <w:rPr>
                <w:sz w:val="20"/>
                <w:szCs w:val="20"/>
              </w:rPr>
              <w:t xml:space="preserve">La única decisión que cambia mucho las tasas sigue siendo la cirugía mayor ambulatoria. Dejar los partos sin dato sube las tasas de las variables relacionadas (1,08 % y 3,03 % pasan a 1,26 % y 3,55 %) solo porque baja el número de casos con dato: los reingresos son los mismos. Los traslados y los derivados mueven las tasas 0,08 puntos o menos.</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Actualiza a</w:t>
            </w:r>
          </w:p>
        </w:tc>
        <w:tc>
          <w:tcPr>
            <w:tcW w:type="dxa" w:w="7226"/>
            <w:tcMar>
              <w:top w:type="dxa" w:w="70"/>
              <w:left w:type="dxa" w:w="100"/>
              <w:bottom w:type="dxa" w:w="70"/>
              <w:right w:type="dxa" w:w="100"/>
            </w:tcMar>
          </w:tcPr>
          <w:p>
            <w:pPr>
              <w:keepNext/>
              <w:spacing w:after="0" w:before="0"/>
            </w:pPr>
            <w:hyperlink w:history="1" w:anchor="E_H25">
              <w:r>
                <w:rPr>
                  <w:color w:val="0563C1"/>
                  <w:sz w:val="20"/>
                  <w:szCs w:val="20"/>
                  <w:u w:val="single"/>
                </w:rPr>
                <w:t xml:space="preserve">H25</w:t>
              </w:r>
            </w:hyperlink>
            <w:r>
              <w:rPr>
                <w:sz w:val="20"/>
                <w:szCs w:val="20"/>
              </w:rPr>
              <w:t xml:space="preserve">.</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Evidencia</w:t>
            </w:r>
          </w:p>
        </w:tc>
        <w:tc>
          <w:tcPr>
            <w:tcW w:type="dxa" w:w="7226"/>
            <w:tcMar>
              <w:top w:type="dxa" w:w="70"/>
              <w:left w:type="dxa" w:w="100"/>
              <w:bottom w:type="dxa" w:w="70"/>
              <w:right w:type="dxa" w:w="100"/>
            </w:tcMar>
          </w:tcPr>
          <w:p>
            <w:pPr>
              <w:keepNext w:val="false"/>
              <w:spacing w:after="0" w:before="0"/>
            </w:pPr>
            <w:r>
              <w:rPr>
                <w:rFonts w:ascii="Consolas" w:cs="Consolas" w:eastAsia="Consolas" w:hAnsi="Consolas"/>
                <w:sz w:val="18"/>
                <w:szCs w:val="18"/>
                <w:shd w:fill="F2F2F2" w:color="auto" w:val="clear"/>
              </w:rPr>
              <w:t xml:space="preserve">2.2_depuracion_etiquetado/scripts/11_sensibilidad.py</w:t>
            </w:r>
            <w:r>
              <w:rPr>
                <w:sz w:val="20"/>
                <w:szCs w:val="20"/>
              </w:rPr>
              <w:t xml:space="preserve"> → </w:t>
            </w:r>
            <w:r>
              <w:rPr>
                <w:rFonts w:ascii="Consolas" w:cs="Consolas" w:eastAsia="Consolas" w:hAnsi="Consolas"/>
                <w:sz w:val="18"/>
                <w:szCs w:val="18"/>
                <w:shd w:fill="F2F2F2" w:color="auto" w:val="clear"/>
              </w:rPr>
              <w:t xml:space="preserve">2.2_depuracion_etiquetado/reportes/11_sensibilidad.md</w:t>
            </w:r>
            <w:r>
              <w:rPr>
                <w:sz w:val="20"/>
                <w:szCs w:val="20"/>
              </w:rPr>
              <w:t xml:space="preserve">, secciones 1, 5, 6, 8 y 9.</w:t>
            </w:r>
          </w:p>
        </w:tc>
      </w:tr>
    </w:tbl>
    <w:p>
      <w:pPr>
        <w:pStyle w:val="Heading2"/>
      </w:pPr>
      <w:bookmarkStart w:name="E_D39" w:id="32"/>
      <w:r>
        <w:rPr>
          <w:color w:val="548235"/>
        </w:rPr>
        <w:t xml:space="preserve">D39</w:t>
      </w:r>
      <w:bookmarkEnd w:id="32"/>
      <w:r>
        <w:t xml:space="preserve"> · Regla de los derivados sin continuación, declarada</w:t>
      </w:r>
    </w:p>
    <w:p>
      <w:pPr>
        <w:keepNext/>
        <w:spacing w:after="100"/>
      </w:pPr>
      <w:r>
        <w:rPr>
          <w:b/>
          <w:bCs/>
          <w:color w:val="548235"/>
          <w:sz w:val="18"/>
          <w:szCs w:val="18"/>
        </w:rPr>
        <w:t xml:space="preserve">Decisión</w:t>
      </w:r>
      <w:r>
        <w:rPr>
          <w:color w:val="808080"/>
          <w:sz w:val="18"/>
          <w:szCs w:val="18"/>
        </w:rPr>
        <w:t xml:space="preserve">  ·  20 de octubre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2.2</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Decisión</w:t>
            </w:r>
          </w:p>
        </w:tc>
        <w:tc>
          <w:tcPr>
            <w:tcW w:type="dxa" w:w="7226"/>
            <w:tcMar>
              <w:top w:type="dxa" w:w="70"/>
              <w:left w:type="dxa" w:w="100"/>
              <w:bottom w:type="dxa" w:w="70"/>
              <w:right w:type="dxa" w:w="100"/>
            </w:tcMar>
          </w:tcPr>
          <w:p>
            <w:pPr>
              <w:keepNext/>
              <w:spacing w:after="0" w:before="0"/>
            </w:pPr>
            <w:r>
              <w:rPr>
                <w:sz w:val="20"/>
                <w:szCs w:val="20"/>
              </w:rPr>
              <w:t xml:space="preserve">Se declara la regla vigente desde </w:t>
            </w:r>
            <w:hyperlink w:history="1" w:anchor="E_D19">
              <w:r>
                <w:rPr>
                  <w:color w:val="0563C1"/>
                  <w:sz w:val="20"/>
                  <w:szCs w:val="20"/>
                  <w:u w:val="single"/>
                </w:rPr>
                <w:t xml:space="preserve">D19</w:t>
              </w:r>
            </w:hyperlink>
            <w:r>
              <w:rPr>
                <w:sz w:val="20"/>
                <w:szCs w:val="20"/>
              </w:rPr>
              <w:t xml:space="preserve"> y </w:t>
            </w:r>
            <w:hyperlink w:history="1" w:anchor="E_D23">
              <w:r>
                <w:rPr>
                  <w:color w:val="0563C1"/>
                  <w:sz w:val="20"/>
                  <w:szCs w:val="20"/>
                  <w:u w:val="single"/>
                </w:rPr>
                <w:t xml:space="preserve">D23</w:t>
              </w:r>
            </w:hyperlink>
            <w:r>
              <w:rPr>
                <w:sz w:val="20"/>
                <w:szCs w:val="20"/>
              </w:rPr>
              <w:t xml:space="preserve">. Los egresos con alta por derivación a otro hospital cuya continuación no aparece en la base (E07, 76.605) y los derivados a una institución privada (E08, 22.968) no son casos de estudio: no tienen valor en ninguna de las cuatro variables objetivo, de modo que no quedan como «sin reingreso». Sí pueden contar como reingreso de un alta anterior (95.720 de los 99.573). Un derivado cuya continuación sí aparece en la base es un tramo de traslado (E05) y su episodio sigue en el hospital de destino.</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Contexto</w:t>
            </w:r>
          </w:p>
        </w:tc>
        <w:tc>
          <w:tcPr>
            <w:tcW w:type="dxa" w:w="7226"/>
            <w:tcMar>
              <w:top w:type="dxa" w:w="70"/>
              <w:left w:type="dxa" w:w="100"/>
              <w:bottom w:type="dxa" w:w="70"/>
              <w:right w:type="dxa" w:w="100"/>
            </w:tcMar>
          </w:tcPr>
          <w:p>
            <w:pPr>
              <w:keepNext/>
              <w:spacing w:after="0" w:before="0"/>
            </w:pPr>
            <w:r>
              <w:rPr>
                <w:sz w:val="20"/>
                <w:szCs w:val="20"/>
              </w:rPr>
              <w:t xml:space="preserve">En su revisión del 13 de octubre de 2026 (punto 2.4), el profesor guía señaló que el informe describía a estos egresos como una censura administrativa del seguimiento, pero no decía cómo entraban a las variables objetivo: si quedaran como casos de estudio con valor 0, serían falsos negativos, porque la persona siguió su atención donde la base no la ve. Pidió declarar la regla y agregar una fila que los excluya como casos de estudio. Como el análisis principal ya los excluye, la fila de sensibilidad es la inversa: los incluye.</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Sensibilidad</w:t>
            </w:r>
          </w:p>
        </w:tc>
        <w:tc>
          <w:tcPr>
            <w:tcW w:type="dxa" w:w="7226"/>
            <w:tcMar>
              <w:top w:type="dxa" w:w="70"/>
              <w:left w:type="dxa" w:w="100"/>
              <w:bottom w:type="dxa" w:w="70"/>
              <w:right w:type="dxa" w:w="100"/>
            </w:tcMar>
          </w:tcPr>
          <w:p>
            <w:pPr>
              <w:keepNext/>
              <w:spacing w:after="0" w:before="0"/>
            </w:pPr>
            <w:r>
              <w:rPr>
                <w:sz w:val="20"/>
                <w:szCs w:val="20"/>
              </w:rPr>
              <w:t xml:space="preserve">Con E07 y E08 desactivados se agregan 93.789 casos de estudio (los demás derivados quedan fuera por criterios posteriores de la tabla). Tienen más reingreso observado que el resto (4,38 % a 7 días y 9,42 % a 30 días, frente a 2,07 % y 5,90 %), aunque parte de su seguimiento ocurre fuera de la base. Las tasas totales suben 0,05 puntos a 7 días y 0,08 a 30 días (</w:t>
            </w:r>
            <w:hyperlink w:history="1" w:anchor="E_H27">
              <w:r>
                <w:rPr>
                  <w:color w:val="0563C1"/>
                  <w:sz w:val="20"/>
                  <w:szCs w:val="20"/>
                  <w:u w:val="single"/>
                </w:rPr>
                <w:t xml:space="preserve">H27</w:t>
              </w:r>
            </w:hyperlink>
            <w:r>
              <w:rPr>
                <w:sz w:val="20"/>
                <w:szCs w:val="20"/>
              </w:rPr>
              <w:t xml:space="preserve">).</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Visto bueno</w:t>
            </w:r>
          </w:p>
        </w:tc>
        <w:tc>
          <w:tcPr>
            <w:tcW w:type="dxa" w:w="7226"/>
            <w:tcMar>
              <w:top w:type="dxa" w:w="70"/>
              <w:left w:type="dxa" w:w="100"/>
              <w:bottom w:type="dxa" w:w="70"/>
              <w:right w:type="dxa" w:w="100"/>
            </w:tcMar>
          </w:tcPr>
          <w:p>
            <w:pPr>
              <w:keepNext/>
              <w:spacing w:after="0" w:before="0"/>
            </w:pPr>
            <w:r>
              <w:rPr>
                <w:sz w:val="20"/>
                <w:szCs w:val="20"/>
              </w:rPr>
              <w:t xml:space="preserve">La persona a cargo de la tesis aprobó el 20 de octubre de 2026 la fila de traslados con marca y la de derivados al revés.</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Reafirma a</w:t>
            </w:r>
          </w:p>
        </w:tc>
        <w:tc>
          <w:tcPr>
            <w:tcW w:type="dxa" w:w="7226"/>
            <w:tcMar>
              <w:top w:type="dxa" w:w="70"/>
              <w:left w:type="dxa" w:w="100"/>
              <w:bottom w:type="dxa" w:w="70"/>
              <w:right w:type="dxa" w:w="100"/>
            </w:tcMar>
          </w:tcPr>
          <w:p>
            <w:pPr>
              <w:keepNext/>
              <w:spacing w:after="0" w:before="0"/>
            </w:pPr>
            <w:hyperlink w:history="1" w:anchor="E_D19">
              <w:r>
                <w:rPr>
                  <w:color w:val="0563C1"/>
                  <w:sz w:val="20"/>
                  <w:szCs w:val="20"/>
                  <w:u w:val="single"/>
                </w:rPr>
                <w:t xml:space="preserve">D19</w:t>
              </w:r>
            </w:hyperlink>
            <w:r>
              <w:rPr>
                <w:sz w:val="20"/>
                <w:szCs w:val="20"/>
              </w:rPr>
              <w:t xml:space="preserve"> y </w:t>
            </w:r>
            <w:hyperlink w:history="1" w:anchor="E_D23">
              <w:r>
                <w:rPr>
                  <w:color w:val="0563C1"/>
                  <w:sz w:val="20"/>
                  <w:szCs w:val="20"/>
                  <w:u w:val="single"/>
                </w:rPr>
                <w:t xml:space="preserve">D23</w:t>
              </w:r>
            </w:hyperlink>
            <w:r>
              <w:rPr>
                <w:sz w:val="20"/>
                <w:szCs w:val="20"/>
              </w:rPr>
              <w:t xml:space="preserve"> (criterios E07 y E08). Completa a </w:t>
            </w:r>
            <w:hyperlink w:history="1" w:anchor="E_H23">
              <w:r>
                <w:rPr>
                  <w:color w:val="0563C1"/>
                  <w:sz w:val="20"/>
                  <w:szCs w:val="20"/>
                  <w:u w:val="single"/>
                </w:rPr>
                <w:t xml:space="preserve">H23</w:t>
              </w:r>
            </w:hyperlink>
            <w:r>
              <w:rPr>
                <w:sz w:val="20"/>
                <w:szCs w:val="20"/>
              </w:rPr>
              <w:t xml:space="preserve">.</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Evidencia</w:t>
            </w:r>
          </w:p>
        </w:tc>
        <w:tc>
          <w:tcPr>
            <w:tcW w:type="dxa" w:w="7226"/>
            <w:tcMar>
              <w:top w:type="dxa" w:w="70"/>
              <w:left w:type="dxa" w:w="100"/>
              <w:bottom w:type="dxa" w:w="70"/>
              <w:right w:type="dxa" w:w="100"/>
            </w:tcMar>
          </w:tcPr>
          <w:p>
            <w:pPr>
              <w:keepNext/>
              <w:spacing w:after="0" w:before="0"/>
            </w:pPr>
            <w:r>
              <w:rPr>
                <w:rFonts w:ascii="Consolas" w:cs="Consolas" w:eastAsia="Consolas" w:hAnsi="Consolas"/>
                <w:sz w:val="18"/>
                <w:szCs w:val="18"/>
                <w:shd w:fill="F2F2F2" w:color="auto" w:val="clear"/>
              </w:rPr>
              <w:t xml:space="preserve">2.2_depuracion_etiquetado/reportes/08_depuracion.md</w:t>
            </w:r>
            <w:r>
              <w:rPr>
                <w:sz w:val="20"/>
                <w:szCs w:val="20"/>
              </w:rPr>
              <w:t xml:space="preserve">, sección 4; </w:t>
            </w:r>
            <w:r>
              <w:rPr>
                <w:rFonts w:ascii="Consolas" w:cs="Consolas" w:eastAsia="Consolas" w:hAnsi="Consolas"/>
                <w:sz w:val="18"/>
                <w:szCs w:val="18"/>
                <w:shd w:fill="F2F2F2" w:color="auto" w:val="clear"/>
              </w:rPr>
              <w:t xml:space="preserve">2.2_depuracion_etiquetado/reportes/11_sensibilidad.md</w:t>
            </w:r>
            <w:r>
              <w:rPr>
                <w:sz w:val="20"/>
                <w:szCs w:val="20"/>
              </w:rPr>
              <w:t xml:space="preserve">, sección 9.</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Estado</w:t>
            </w:r>
          </w:p>
        </w:tc>
        <w:tc>
          <w:tcPr>
            <w:tcW w:type="dxa" w:w="7226"/>
            <w:tcMar>
              <w:top w:type="dxa" w:w="70"/>
              <w:left w:type="dxa" w:w="100"/>
              <w:bottom w:type="dxa" w:w="70"/>
              <w:right w:type="dxa" w:w="100"/>
            </w:tcMar>
          </w:tcPr>
          <w:p>
            <w:pPr>
              <w:keepNext w:val="false"/>
              <w:spacing w:after="0" w:before="0"/>
            </w:pPr>
            <w:r>
              <w:rPr>
                <w:sz w:val="20"/>
                <w:szCs w:val="20"/>
              </w:rPr>
              <w:t xml:space="preserve">Adoptada.</w:t>
            </w:r>
          </w:p>
        </w:tc>
      </w:tr>
    </w:tbl>
    <w:p>
      <w:pPr>
        <w:pStyle w:val="Heading2"/>
      </w:pPr>
      <w:bookmarkStart w:name="E_H28" w:id="33"/>
      <w:r>
        <w:rPr>
          <w:color w:val="2E75B6"/>
        </w:rPr>
        <w:t xml:space="preserve">H28</w:t>
      </w:r>
      <w:bookmarkEnd w:id="33"/>
      <w:r>
        <w:t xml:space="preserve"> · La calidad del identificador no explica el aumento de 2023 y 2024</w:t>
      </w:r>
    </w:p>
    <w:p>
      <w:pPr>
        <w:keepNext/>
        <w:spacing w:after="100"/>
      </w:pPr>
      <w:r>
        <w:rPr>
          <w:b/>
          <w:bCs/>
          <w:color w:val="2E75B6"/>
          <w:sz w:val="18"/>
          <w:szCs w:val="18"/>
        </w:rPr>
        <w:t xml:space="preserve">Hallazgo</w:t>
      </w:r>
      <w:r>
        <w:rPr>
          <w:color w:val="808080"/>
          <w:sz w:val="18"/>
          <w:szCs w:val="18"/>
        </w:rPr>
        <w:t xml:space="preserve">  ·  20 de octubre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2.2</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Contexto</w:t>
            </w:r>
          </w:p>
        </w:tc>
        <w:tc>
          <w:tcPr>
            <w:tcW w:type="dxa" w:w="7226"/>
            <w:tcMar>
              <w:top w:type="dxa" w:w="70"/>
              <w:left w:type="dxa" w:w="100"/>
              <w:bottom w:type="dxa" w:w="70"/>
              <w:right w:type="dxa" w:w="100"/>
            </w:tcMar>
          </w:tcPr>
          <w:p>
            <w:pPr>
              <w:keepNext/>
              <w:spacing w:after="0" w:before="0"/>
            </w:pPr>
            <w:r>
              <w:rPr>
                <w:sz w:val="20"/>
                <w:szCs w:val="20"/>
              </w:rPr>
              <w:t xml:space="preserve">En su revisión del 13 de octubre de 2026 (punto 2.3), el profesor guía pidió revisar por año la proporción de identificadores ambiguos o faltantes antes de tratar el aumento de la tasa en 2023 y 2024 (</w:t>
            </w:r>
            <w:hyperlink w:history="1" w:anchor="E_H24">
              <w:r>
                <w:rPr>
                  <w:color w:val="0563C1"/>
                  <w:sz w:val="20"/>
                  <w:szCs w:val="20"/>
                  <w:u w:val="single"/>
                </w:rPr>
                <w:t xml:space="preserve">H24</w:t>
              </w:r>
            </w:hyperlink>
            <w:r>
              <w:rPr>
                <w:sz w:val="20"/>
                <w:szCs w:val="20"/>
              </w:rPr>
              <w:t xml:space="preserve">) como un cambio real: una mejora en la calidad del identificador también hace visibles más reingresos.</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Hallazgo</w:t>
            </w:r>
          </w:p>
        </w:tc>
        <w:tc>
          <w:tcPr>
            <w:tcW w:type="dxa" w:w="7226"/>
            <w:tcMar>
              <w:top w:type="dxa" w:w="70"/>
              <w:left w:type="dxa" w:w="100"/>
              <w:bottom w:type="dxa" w:w="70"/>
              <w:right w:type="dxa" w:w="100"/>
            </w:tcMar>
          </w:tcPr>
          <w:p>
            <w:pPr>
              <w:keepNext/>
              <w:spacing w:after="80" w:before="0"/>
            </w:pPr>
            <w:r>
              <w:rPr>
                <w:sz w:val="20"/>
                <w:szCs w:val="20"/>
              </w:rPr>
              <w:t xml:space="preserve">Por año del alta, en la tabla depurada:</w:t>
            </w:r>
          </w:p>
          <w:tbl>
            <w:tblPr>
              <w:tblW w:type="dxa" w:w="7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026"/>
              <w:gridCol w:w="666"/>
              <w:gridCol w:w="666"/>
              <w:gridCol w:w="666"/>
              <w:gridCol w:w="666"/>
              <w:gridCol w:w="666"/>
              <w:gridCol w:w="670"/>
            </w:tblGrid>
            <w:tr>
              <w:trPr>
                <w:cantSplit/>
                <w:tblHeader/>
              </w:trPr>
              <w:tc>
                <w:tcPr>
                  <w:tcW w:type="dxa" w:w="3026"/>
                  <w:shd w:fill="D9E2F3" w:color="auto" w:val="clear"/>
                  <w:tcMar>
                    <w:top w:type="dxa" w:w="70"/>
                    <w:left w:type="dxa" w:w="100"/>
                    <w:bottom w:type="dxa" w:w="70"/>
                    <w:right w:type="dxa" w:w="100"/>
                  </w:tcMar>
                  <w:vAlign w:val="center"/>
                </w:tcPr>
                <w:p>
                  <w:pPr>
                    <w:spacing w:after="0"/>
                  </w:pPr>
                </w:p>
              </w:tc>
              <w:tc>
                <w:tcPr>
                  <w:tcW w:type="dxa" w:w="666"/>
                  <w:shd w:fill="D9E2F3" w:color="auto" w:val="clear"/>
                  <w:tcMar>
                    <w:top w:type="dxa" w:w="70"/>
                    <w:left w:type="dxa" w:w="100"/>
                    <w:bottom w:type="dxa" w:w="70"/>
                    <w:right w:type="dxa" w:w="100"/>
                  </w:tcMar>
                  <w:vAlign w:val="center"/>
                </w:tcPr>
                <w:p>
                  <w:pPr>
                    <w:spacing w:after="0"/>
                  </w:pPr>
                  <w:r>
                    <w:rPr>
                      <w:b/>
                      <w:bCs/>
                      <w:sz w:val="18"/>
                      <w:szCs w:val="18"/>
                    </w:rPr>
                    <w:t xml:space="preserve">2019</w:t>
                  </w:r>
                </w:p>
              </w:tc>
              <w:tc>
                <w:tcPr>
                  <w:tcW w:type="dxa" w:w="666"/>
                  <w:shd w:fill="D9E2F3" w:color="auto" w:val="clear"/>
                  <w:tcMar>
                    <w:top w:type="dxa" w:w="70"/>
                    <w:left w:type="dxa" w:w="100"/>
                    <w:bottom w:type="dxa" w:w="70"/>
                    <w:right w:type="dxa" w:w="100"/>
                  </w:tcMar>
                  <w:vAlign w:val="center"/>
                </w:tcPr>
                <w:p>
                  <w:pPr>
                    <w:spacing w:after="0"/>
                  </w:pPr>
                  <w:r>
                    <w:rPr>
                      <w:b/>
                      <w:bCs/>
                      <w:sz w:val="18"/>
                      <w:szCs w:val="18"/>
                    </w:rPr>
                    <w:t xml:space="preserve">2020</w:t>
                  </w:r>
                </w:p>
              </w:tc>
              <w:tc>
                <w:tcPr>
                  <w:tcW w:type="dxa" w:w="666"/>
                  <w:shd w:fill="D9E2F3" w:color="auto" w:val="clear"/>
                  <w:tcMar>
                    <w:top w:type="dxa" w:w="70"/>
                    <w:left w:type="dxa" w:w="100"/>
                    <w:bottom w:type="dxa" w:w="70"/>
                    <w:right w:type="dxa" w:w="100"/>
                  </w:tcMar>
                  <w:vAlign w:val="center"/>
                </w:tcPr>
                <w:p>
                  <w:pPr>
                    <w:spacing w:after="0"/>
                  </w:pPr>
                  <w:r>
                    <w:rPr>
                      <w:b/>
                      <w:bCs/>
                      <w:sz w:val="18"/>
                      <w:szCs w:val="18"/>
                    </w:rPr>
                    <w:t xml:space="preserve">2021</w:t>
                  </w:r>
                </w:p>
              </w:tc>
              <w:tc>
                <w:tcPr>
                  <w:tcW w:type="dxa" w:w="666"/>
                  <w:shd w:fill="D9E2F3" w:color="auto" w:val="clear"/>
                  <w:tcMar>
                    <w:top w:type="dxa" w:w="70"/>
                    <w:left w:type="dxa" w:w="100"/>
                    <w:bottom w:type="dxa" w:w="70"/>
                    <w:right w:type="dxa" w:w="100"/>
                  </w:tcMar>
                  <w:vAlign w:val="center"/>
                </w:tcPr>
                <w:p>
                  <w:pPr>
                    <w:spacing w:after="0"/>
                  </w:pPr>
                  <w:r>
                    <w:rPr>
                      <w:b/>
                      <w:bCs/>
                      <w:sz w:val="18"/>
                      <w:szCs w:val="18"/>
                    </w:rPr>
                    <w:t xml:space="preserve">2022</w:t>
                  </w:r>
                </w:p>
              </w:tc>
              <w:tc>
                <w:tcPr>
                  <w:tcW w:type="dxa" w:w="666"/>
                  <w:shd w:fill="D9E2F3" w:color="auto" w:val="clear"/>
                  <w:tcMar>
                    <w:top w:type="dxa" w:w="70"/>
                    <w:left w:type="dxa" w:w="100"/>
                    <w:bottom w:type="dxa" w:w="70"/>
                    <w:right w:type="dxa" w:w="100"/>
                  </w:tcMar>
                  <w:vAlign w:val="center"/>
                </w:tcPr>
                <w:p>
                  <w:pPr>
                    <w:spacing w:after="0"/>
                  </w:pPr>
                  <w:r>
                    <w:rPr>
                      <w:b/>
                      <w:bCs/>
                      <w:sz w:val="18"/>
                      <w:szCs w:val="18"/>
                    </w:rPr>
                    <w:t xml:space="preserve">2023</w:t>
                  </w:r>
                </w:p>
              </w:tc>
              <w:tc>
                <w:tcPr>
                  <w:tcW w:type="dxa" w:w="670"/>
                  <w:shd w:fill="D9E2F3" w:color="auto" w:val="clear"/>
                  <w:tcMar>
                    <w:top w:type="dxa" w:w="70"/>
                    <w:left w:type="dxa" w:w="100"/>
                    <w:bottom w:type="dxa" w:w="70"/>
                    <w:right w:type="dxa" w:w="100"/>
                  </w:tcMar>
                  <w:vAlign w:val="center"/>
                </w:tcPr>
                <w:p>
                  <w:pPr>
                    <w:spacing w:after="0"/>
                  </w:pPr>
                  <w:r>
                    <w:rPr>
                      <w:b/>
                      <w:bCs/>
                      <w:sz w:val="18"/>
                      <w:szCs w:val="18"/>
                    </w:rPr>
                    <w:t xml:space="preserve">2024</w:t>
                  </w:r>
                </w:p>
              </w:tc>
            </w:tr>
            <w:tr>
              <w:trPr>
                <w:cantSplit/>
                <w:tblHeader w:val="off"/>
              </w:trPr>
              <w:tc>
                <w:tcPr>
                  <w:tcW w:type="dxa" w:w="3026"/>
                  <w:tcMar>
                    <w:top w:type="dxa" w:w="70"/>
                    <w:left w:type="dxa" w:w="100"/>
                    <w:bottom w:type="dxa" w:w="70"/>
                    <w:right w:type="dxa" w:w="100"/>
                  </w:tcMar>
                  <w:vAlign w:val="center"/>
                </w:tcPr>
                <w:p>
                  <w:pPr>
                    <w:spacing w:after="0"/>
                  </w:pPr>
                  <w:r>
                    <w:rPr>
                      <w:sz w:val="18"/>
                      <w:szCs w:val="18"/>
                    </w:rPr>
                    <w:t xml:space="preserve">Egresos sin identificador de paciente (E01)</w:t>
                  </w:r>
                </w:p>
              </w:tc>
              <w:tc>
                <w:tcPr>
                  <w:tcW w:type="dxa" w:w="666"/>
                  <w:tcMar>
                    <w:top w:type="dxa" w:w="70"/>
                    <w:left w:type="dxa" w:w="100"/>
                    <w:bottom w:type="dxa" w:w="70"/>
                    <w:right w:type="dxa" w:w="100"/>
                  </w:tcMar>
                  <w:vAlign w:val="center"/>
                </w:tcPr>
                <w:p>
                  <w:pPr>
                    <w:spacing w:after="0"/>
                  </w:pPr>
                  <w:r>
                    <w:rPr>
                      <w:sz w:val="18"/>
                      <w:szCs w:val="18"/>
                    </w:rPr>
                    <w:t xml:space="preserve">0,72 %</w:t>
                  </w:r>
                </w:p>
              </w:tc>
              <w:tc>
                <w:tcPr>
                  <w:tcW w:type="dxa" w:w="666"/>
                  <w:tcMar>
                    <w:top w:type="dxa" w:w="70"/>
                    <w:left w:type="dxa" w:w="100"/>
                    <w:bottom w:type="dxa" w:w="70"/>
                    <w:right w:type="dxa" w:w="100"/>
                  </w:tcMar>
                  <w:vAlign w:val="center"/>
                </w:tcPr>
                <w:p>
                  <w:pPr>
                    <w:spacing w:after="0"/>
                  </w:pPr>
                  <w:r>
                    <w:rPr>
                      <w:sz w:val="18"/>
                      <w:szCs w:val="18"/>
                    </w:rPr>
                    <w:t xml:space="preserve">0,24 %</w:t>
                  </w:r>
                </w:p>
              </w:tc>
              <w:tc>
                <w:tcPr>
                  <w:tcW w:type="dxa" w:w="666"/>
                  <w:tcMar>
                    <w:top w:type="dxa" w:w="70"/>
                    <w:left w:type="dxa" w:w="100"/>
                    <w:bottom w:type="dxa" w:w="70"/>
                    <w:right w:type="dxa" w:w="100"/>
                  </w:tcMar>
                  <w:vAlign w:val="center"/>
                </w:tcPr>
                <w:p>
                  <w:pPr>
                    <w:spacing w:after="0"/>
                  </w:pPr>
                  <w:r>
                    <w:rPr>
                      <w:sz w:val="18"/>
                      <w:szCs w:val="18"/>
                    </w:rPr>
                    <w:t xml:space="preserve">0,25 %</w:t>
                  </w:r>
                </w:p>
              </w:tc>
              <w:tc>
                <w:tcPr>
                  <w:tcW w:type="dxa" w:w="666"/>
                  <w:tcMar>
                    <w:top w:type="dxa" w:w="70"/>
                    <w:left w:type="dxa" w:w="100"/>
                    <w:bottom w:type="dxa" w:w="70"/>
                    <w:right w:type="dxa" w:w="100"/>
                  </w:tcMar>
                  <w:vAlign w:val="center"/>
                </w:tcPr>
                <w:p>
                  <w:pPr>
                    <w:spacing w:after="0"/>
                  </w:pPr>
                  <w:r>
                    <w:rPr>
                      <w:sz w:val="18"/>
                      <w:szCs w:val="18"/>
                    </w:rPr>
                    <w:t xml:space="preserve">0,32 %</w:t>
                  </w:r>
                </w:p>
              </w:tc>
              <w:tc>
                <w:tcPr>
                  <w:tcW w:type="dxa" w:w="666"/>
                  <w:tcMar>
                    <w:top w:type="dxa" w:w="70"/>
                    <w:left w:type="dxa" w:w="100"/>
                    <w:bottom w:type="dxa" w:w="70"/>
                    <w:right w:type="dxa" w:w="100"/>
                  </w:tcMar>
                  <w:vAlign w:val="center"/>
                </w:tcPr>
                <w:p>
                  <w:pPr>
                    <w:spacing w:after="0"/>
                  </w:pPr>
                  <w:r>
                    <w:rPr>
                      <w:sz w:val="18"/>
                      <w:szCs w:val="18"/>
                    </w:rPr>
                    <w:t xml:space="preserve">0,16 %</w:t>
                  </w:r>
                </w:p>
              </w:tc>
              <w:tc>
                <w:tcPr>
                  <w:tcW w:type="dxa" w:w="670"/>
                  <w:tcMar>
                    <w:top w:type="dxa" w:w="70"/>
                    <w:left w:type="dxa" w:w="100"/>
                    <w:bottom w:type="dxa" w:w="70"/>
                    <w:right w:type="dxa" w:w="100"/>
                  </w:tcMar>
                  <w:vAlign w:val="center"/>
                </w:tcPr>
                <w:p>
                  <w:pPr>
                    <w:spacing w:after="0"/>
                  </w:pPr>
                  <w:r>
                    <w:rPr>
                      <w:sz w:val="18"/>
                      <w:szCs w:val="18"/>
                    </w:rPr>
                    <w:t xml:space="preserve">0,10 %</w:t>
                  </w:r>
                </w:p>
              </w:tc>
            </w:tr>
            <w:tr>
              <w:trPr>
                <w:cantSplit/>
                <w:tblHeader w:val="off"/>
              </w:trPr>
              <w:tc>
                <w:tcPr>
                  <w:tcW w:type="dxa" w:w="3026"/>
                  <w:tcMar>
                    <w:top w:type="dxa" w:w="70"/>
                    <w:left w:type="dxa" w:w="100"/>
                    <w:bottom w:type="dxa" w:w="70"/>
                    <w:right w:type="dxa" w:w="100"/>
                  </w:tcMar>
                  <w:vAlign w:val="center"/>
                </w:tcPr>
                <w:p>
                  <w:pPr>
                    <w:spacing w:after="0"/>
                  </w:pPr>
                  <w:r>
                    <w:rPr>
                      <w:sz w:val="18"/>
                      <w:szCs w:val="18"/>
                    </w:rPr>
                    <w:t xml:space="preserve">Egresos con identificador genérico (E02)</w:t>
                  </w:r>
                </w:p>
              </w:tc>
              <w:tc>
                <w:tcPr>
                  <w:tcW w:type="dxa" w:w="666"/>
                  <w:tcMar>
                    <w:top w:type="dxa" w:w="70"/>
                    <w:left w:type="dxa" w:w="100"/>
                    <w:bottom w:type="dxa" w:w="70"/>
                    <w:right w:type="dxa" w:w="100"/>
                  </w:tcMar>
                  <w:vAlign w:val="center"/>
                </w:tcPr>
                <w:p>
                  <w:pPr>
                    <w:spacing w:after="0"/>
                  </w:pPr>
                  <w:r>
                    <w:rPr>
                      <w:sz w:val="18"/>
                      <w:szCs w:val="18"/>
                    </w:rPr>
                    <w:t xml:space="preserve">0,02 %</w:t>
                  </w:r>
                </w:p>
              </w:tc>
              <w:tc>
                <w:tcPr>
                  <w:tcW w:type="dxa" w:w="666"/>
                  <w:tcMar>
                    <w:top w:type="dxa" w:w="70"/>
                    <w:left w:type="dxa" w:w="100"/>
                    <w:bottom w:type="dxa" w:w="70"/>
                    <w:right w:type="dxa" w:w="100"/>
                  </w:tcMar>
                  <w:vAlign w:val="center"/>
                </w:tcPr>
                <w:p>
                  <w:pPr>
                    <w:spacing w:after="0"/>
                  </w:pPr>
                  <w:r>
                    <w:rPr>
                      <w:sz w:val="18"/>
                      <w:szCs w:val="18"/>
                    </w:rPr>
                    <w:t xml:space="preserve">0,10 %</w:t>
                  </w:r>
                </w:p>
              </w:tc>
              <w:tc>
                <w:tcPr>
                  <w:tcW w:type="dxa" w:w="666"/>
                  <w:tcMar>
                    <w:top w:type="dxa" w:w="70"/>
                    <w:left w:type="dxa" w:w="100"/>
                    <w:bottom w:type="dxa" w:w="70"/>
                    <w:right w:type="dxa" w:w="100"/>
                  </w:tcMar>
                  <w:vAlign w:val="center"/>
                </w:tcPr>
                <w:p>
                  <w:pPr>
                    <w:spacing w:after="0"/>
                  </w:pPr>
                  <w:r>
                    <w:rPr>
                      <w:sz w:val="18"/>
                      <w:szCs w:val="18"/>
                    </w:rPr>
                    <w:t xml:space="preserve">0,04 %</w:t>
                  </w:r>
                </w:p>
              </w:tc>
              <w:tc>
                <w:tcPr>
                  <w:tcW w:type="dxa" w:w="666"/>
                  <w:tcMar>
                    <w:top w:type="dxa" w:w="70"/>
                    <w:left w:type="dxa" w:w="100"/>
                    <w:bottom w:type="dxa" w:w="70"/>
                    <w:right w:type="dxa" w:w="100"/>
                  </w:tcMar>
                  <w:vAlign w:val="center"/>
                </w:tcPr>
                <w:p>
                  <w:pPr>
                    <w:spacing w:after="0"/>
                  </w:pPr>
                  <w:r>
                    <w:rPr>
                      <w:sz w:val="18"/>
                      <w:szCs w:val="18"/>
                    </w:rPr>
                    <w:t xml:space="preserve">0,07 %</w:t>
                  </w:r>
                </w:p>
              </w:tc>
              <w:tc>
                <w:tcPr>
                  <w:tcW w:type="dxa" w:w="666"/>
                  <w:tcMar>
                    <w:top w:type="dxa" w:w="70"/>
                    <w:left w:type="dxa" w:w="100"/>
                    <w:bottom w:type="dxa" w:w="70"/>
                    <w:right w:type="dxa" w:w="100"/>
                  </w:tcMar>
                  <w:vAlign w:val="center"/>
                </w:tcPr>
                <w:p>
                  <w:pPr>
                    <w:spacing w:after="0"/>
                  </w:pPr>
                  <w:r>
                    <w:rPr>
                      <w:sz w:val="18"/>
                      <w:szCs w:val="18"/>
                    </w:rPr>
                    <w:t xml:space="preserve">0,04 %</w:t>
                  </w:r>
                </w:p>
              </w:tc>
              <w:tc>
                <w:tcPr>
                  <w:tcW w:type="dxa" w:w="670"/>
                  <w:tcMar>
                    <w:top w:type="dxa" w:w="70"/>
                    <w:left w:type="dxa" w:w="100"/>
                    <w:bottom w:type="dxa" w:w="70"/>
                    <w:right w:type="dxa" w:w="100"/>
                  </w:tcMar>
                  <w:vAlign w:val="center"/>
                </w:tcPr>
                <w:p>
                  <w:pPr>
                    <w:spacing w:after="0"/>
                  </w:pPr>
                  <w:r>
                    <w:rPr>
                      <w:sz w:val="18"/>
                      <w:szCs w:val="18"/>
                    </w:rPr>
                    <w:t xml:space="preserve">0,01 %</w:t>
                  </w:r>
                </w:p>
              </w:tc>
            </w:tr>
            <w:tr>
              <w:trPr>
                <w:cantSplit/>
                <w:tblHeader w:val="off"/>
              </w:trPr>
              <w:tc>
                <w:tcPr>
                  <w:tcW w:type="dxa" w:w="3026"/>
                  <w:tcMar>
                    <w:top w:type="dxa" w:w="70"/>
                    <w:left w:type="dxa" w:w="100"/>
                    <w:bottom w:type="dxa" w:w="70"/>
                    <w:right w:type="dxa" w:w="100"/>
                  </w:tcMar>
                  <w:vAlign w:val="center"/>
                </w:tcPr>
                <w:p>
                  <w:pPr>
                    <w:spacing w:after="0"/>
                  </w:pPr>
                  <w:r>
                    <w:rPr>
                      <w:sz w:val="18"/>
                      <w:szCs w:val="18"/>
                    </w:rPr>
                    <w:t xml:space="preserve">Egresos con identidad ambigua</w:t>
                  </w:r>
                </w:p>
              </w:tc>
              <w:tc>
                <w:tcPr>
                  <w:tcW w:type="dxa" w:w="666"/>
                  <w:tcMar>
                    <w:top w:type="dxa" w:w="70"/>
                    <w:left w:type="dxa" w:w="100"/>
                    <w:bottom w:type="dxa" w:w="70"/>
                    <w:right w:type="dxa" w:w="100"/>
                  </w:tcMar>
                  <w:vAlign w:val="center"/>
                </w:tcPr>
                <w:p>
                  <w:pPr>
                    <w:spacing w:after="0"/>
                  </w:pPr>
                  <w:r>
                    <w:rPr>
                      <w:sz w:val="18"/>
                      <w:szCs w:val="18"/>
                    </w:rPr>
                    <w:t xml:space="preserve">1,61 %</w:t>
                  </w:r>
                </w:p>
              </w:tc>
              <w:tc>
                <w:tcPr>
                  <w:tcW w:type="dxa" w:w="666"/>
                  <w:tcMar>
                    <w:top w:type="dxa" w:w="70"/>
                    <w:left w:type="dxa" w:w="100"/>
                    <w:bottom w:type="dxa" w:w="70"/>
                    <w:right w:type="dxa" w:w="100"/>
                  </w:tcMar>
                  <w:vAlign w:val="center"/>
                </w:tcPr>
                <w:p>
                  <w:pPr>
                    <w:spacing w:after="0"/>
                  </w:pPr>
                  <w:r>
                    <w:rPr>
                      <w:sz w:val="18"/>
                      <w:szCs w:val="18"/>
                    </w:rPr>
                    <w:t xml:space="preserve">1,53 %</w:t>
                  </w:r>
                </w:p>
              </w:tc>
              <w:tc>
                <w:tcPr>
                  <w:tcW w:type="dxa" w:w="666"/>
                  <w:tcMar>
                    <w:top w:type="dxa" w:w="70"/>
                    <w:left w:type="dxa" w:w="100"/>
                    <w:bottom w:type="dxa" w:w="70"/>
                    <w:right w:type="dxa" w:w="100"/>
                  </w:tcMar>
                  <w:vAlign w:val="center"/>
                </w:tcPr>
                <w:p>
                  <w:pPr>
                    <w:spacing w:after="0"/>
                  </w:pPr>
                  <w:r>
                    <w:rPr>
                      <w:sz w:val="18"/>
                      <w:szCs w:val="18"/>
                    </w:rPr>
                    <w:t xml:space="preserve">1,65 %</w:t>
                  </w:r>
                </w:p>
              </w:tc>
              <w:tc>
                <w:tcPr>
                  <w:tcW w:type="dxa" w:w="666"/>
                  <w:tcMar>
                    <w:top w:type="dxa" w:w="70"/>
                    <w:left w:type="dxa" w:w="100"/>
                    <w:bottom w:type="dxa" w:w="70"/>
                    <w:right w:type="dxa" w:w="100"/>
                  </w:tcMar>
                  <w:vAlign w:val="center"/>
                </w:tcPr>
                <w:p>
                  <w:pPr>
                    <w:spacing w:after="0"/>
                  </w:pPr>
                  <w:r>
                    <w:rPr>
                      <w:sz w:val="18"/>
                      <w:szCs w:val="18"/>
                    </w:rPr>
                    <w:t xml:space="preserve">1,84 %</w:t>
                  </w:r>
                </w:p>
              </w:tc>
              <w:tc>
                <w:tcPr>
                  <w:tcW w:type="dxa" w:w="666"/>
                  <w:tcMar>
                    <w:top w:type="dxa" w:w="70"/>
                    <w:left w:type="dxa" w:w="100"/>
                    <w:bottom w:type="dxa" w:w="70"/>
                    <w:right w:type="dxa" w:w="100"/>
                  </w:tcMar>
                  <w:vAlign w:val="center"/>
                </w:tcPr>
                <w:p>
                  <w:pPr>
                    <w:spacing w:after="0"/>
                  </w:pPr>
                  <w:r>
                    <w:rPr>
                      <w:sz w:val="18"/>
                      <w:szCs w:val="18"/>
                    </w:rPr>
                    <w:t xml:space="preserve">1,67 %</w:t>
                  </w:r>
                </w:p>
              </w:tc>
              <w:tc>
                <w:tcPr>
                  <w:tcW w:type="dxa" w:w="670"/>
                  <w:tcMar>
                    <w:top w:type="dxa" w:w="70"/>
                    <w:left w:type="dxa" w:w="100"/>
                    <w:bottom w:type="dxa" w:w="70"/>
                    <w:right w:type="dxa" w:w="100"/>
                  </w:tcMar>
                  <w:vAlign w:val="center"/>
                </w:tcPr>
                <w:p>
                  <w:pPr>
                    <w:spacing w:after="0"/>
                  </w:pPr>
                  <w:r>
                    <w:rPr>
                      <w:sz w:val="18"/>
                      <w:szCs w:val="18"/>
                    </w:rPr>
                    <w:t xml:space="preserve">1,69 %</w:t>
                  </w:r>
                </w:p>
              </w:tc>
            </w:tr>
            <w:tr>
              <w:trPr>
                <w:cantSplit/>
                <w:tblHeader w:val="off"/>
              </w:trPr>
              <w:tc>
                <w:tcPr>
                  <w:tcW w:type="dxa" w:w="3026"/>
                  <w:tcMar>
                    <w:top w:type="dxa" w:w="70"/>
                    <w:left w:type="dxa" w:w="100"/>
                    <w:bottom w:type="dxa" w:w="70"/>
                    <w:right w:type="dxa" w:w="100"/>
                  </w:tcMar>
                  <w:vAlign w:val="center"/>
                </w:tcPr>
                <w:p>
                  <w:pPr>
                    <w:spacing w:after="0"/>
                  </w:pPr>
                  <w:r>
                    <w:rPr>
                      <w:sz w:val="18"/>
                      <w:szCs w:val="18"/>
                    </w:rPr>
                    <w:t xml:space="preserve">Casos de estudio con identidad ambigua</w:t>
                  </w:r>
                </w:p>
              </w:tc>
              <w:tc>
                <w:tcPr>
                  <w:tcW w:type="dxa" w:w="666"/>
                  <w:tcMar>
                    <w:top w:type="dxa" w:w="70"/>
                    <w:left w:type="dxa" w:w="100"/>
                    <w:bottom w:type="dxa" w:w="70"/>
                    <w:right w:type="dxa" w:w="100"/>
                  </w:tcMar>
                  <w:vAlign w:val="center"/>
                </w:tcPr>
                <w:p>
                  <w:pPr>
                    <w:spacing w:after="0"/>
                  </w:pPr>
                  <w:r>
                    <w:rPr>
                      <w:sz w:val="18"/>
                      <w:szCs w:val="18"/>
                    </w:rPr>
                    <w:t xml:space="preserve">1,32 %</w:t>
                  </w:r>
                </w:p>
              </w:tc>
              <w:tc>
                <w:tcPr>
                  <w:tcW w:type="dxa" w:w="666"/>
                  <w:tcMar>
                    <w:top w:type="dxa" w:w="70"/>
                    <w:left w:type="dxa" w:w="100"/>
                    <w:bottom w:type="dxa" w:w="70"/>
                    <w:right w:type="dxa" w:w="100"/>
                  </w:tcMar>
                  <w:vAlign w:val="center"/>
                </w:tcPr>
                <w:p>
                  <w:pPr>
                    <w:spacing w:after="0"/>
                  </w:pPr>
                  <w:r>
                    <w:rPr>
                      <w:sz w:val="18"/>
                      <w:szCs w:val="18"/>
                    </w:rPr>
                    <w:t xml:space="preserve">1,27 %</w:t>
                  </w:r>
                </w:p>
              </w:tc>
              <w:tc>
                <w:tcPr>
                  <w:tcW w:type="dxa" w:w="666"/>
                  <w:tcMar>
                    <w:top w:type="dxa" w:w="70"/>
                    <w:left w:type="dxa" w:w="100"/>
                    <w:bottom w:type="dxa" w:w="70"/>
                    <w:right w:type="dxa" w:w="100"/>
                  </w:tcMar>
                  <w:vAlign w:val="center"/>
                </w:tcPr>
                <w:p>
                  <w:pPr>
                    <w:spacing w:after="0"/>
                  </w:pPr>
                  <w:r>
                    <w:rPr>
                      <w:sz w:val="18"/>
                      <w:szCs w:val="18"/>
                    </w:rPr>
                    <w:t xml:space="preserve">1,52 %</w:t>
                  </w:r>
                </w:p>
              </w:tc>
              <w:tc>
                <w:tcPr>
                  <w:tcW w:type="dxa" w:w="666"/>
                  <w:tcMar>
                    <w:top w:type="dxa" w:w="70"/>
                    <w:left w:type="dxa" w:w="100"/>
                    <w:bottom w:type="dxa" w:w="70"/>
                    <w:right w:type="dxa" w:w="100"/>
                  </w:tcMar>
                  <w:vAlign w:val="center"/>
                </w:tcPr>
                <w:p>
                  <w:pPr>
                    <w:spacing w:after="0"/>
                  </w:pPr>
                  <w:r>
                    <w:rPr>
                      <w:sz w:val="18"/>
                      <w:szCs w:val="18"/>
                    </w:rPr>
                    <w:t xml:space="preserve">1,70 %</w:t>
                  </w:r>
                </w:p>
              </w:tc>
              <w:tc>
                <w:tcPr>
                  <w:tcW w:type="dxa" w:w="666"/>
                  <w:tcMar>
                    <w:top w:type="dxa" w:w="70"/>
                    <w:left w:type="dxa" w:w="100"/>
                    <w:bottom w:type="dxa" w:w="70"/>
                    <w:right w:type="dxa" w:w="100"/>
                  </w:tcMar>
                  <w:vAlign w:val="center"/>
                </w:tcPr>
                <w:p>
                  <w:pPr>
                    <w:spacing w:after="0"/>
                  </w:pPr>
                  <w:r>
                    <w:rPr>
                      <w:sz w:val="18"/>
                      <w:szCs w:val="18"/>
                    </w:rPr>
                    <w:t xml:space="preserve">1,59 %</w:t>
                  </w:r>
                </w:p>
              </w:tc>
              <w:tc>
                <w:tcPr>
                  <w:tcW w:type="dxa" w:w="670"/>
                  <w:tcMar>
                    <w:top w:type="dxa" w:w="70"/>
                    <w:left w:type="dxa" w:w="100"/>
                    <w:bottom w:type="dxa" w:w="70"/>
                    <w:right w:type="dxa" w:w="100"/>
                  </w:tcMar>
                  <w:vAlign w:val="center"/>
                </w:tcPr>
                <w:p>
                  <w:pPr>
                    <w:spacing w:after="0"/>
                  </w:pPr>
                  <w:r>
                    <w:rPr>
                      <w:sz w:val="18"/>
                      <w:szCs w:val="18"/>
                    </w:rPr>
                    <w:t xml:space="preserve">1,63 %</w:t>
                  </w:r>
                </w:p>
              </w:tc>
            </w:tr>
            <w:tr>
              <w:trPr>
                <w:cantSplit/>
                <w:tblHeader w:val="off"/>
              </w:trPr>
              <w:tc>
                <w:tcPr>
                  <w:tcW w:type="dxa" w:w="3026"/>
                  <w:tcMar>
                    <w:top w:type="dxa" w:w="70"/>
                    <w:left w:type="dxa" w:w="100"/>
                    <w:bottom w:type="dxa" w:w="70"/>
                    <w:right w:type="dxa" w:w="100"/>
                  </w:tcMar>
                  <w:vAlign w:val="center"/>
                </w:tcPr>
                <w:p>
                  <w:pPr>
                    <w:spacing w:after="0"/>
                  </w:pPr>
                  <w:r>
                    <w:rPr>
                      <w:rFonts w:ascii="Consolas" w:cs="Consolas" w:eastAsia="Consolas" w:hAnsi="Consolas"/>
                      <w:sz w:val="16"/>
                      <w:szCs w:val="16"/>
                      <w:shd w:fill="F2F2F2" w:color="auto" w:val="clear"/>
                    </w:rPr>
                    <w:t xml:space="preserve">REING_30D</w:t>
                  </w:r>
                  <w:r>
                    <w:rPr>
                      <w:sz w:val="18"/>
                      <w:szCs w:val="18"/>
                    </w:rPr>
                    <w:t xml:space="preserve">, todos los casos</w:t>
                  </w:r>
                </w:p>
              </w:tc>
              <w:tc>
                <w:tcPr>
                  <w:tcW w:type="dxa" w:w="666"/>
                  <w:tcMar>
                    <w:top w:type="dxa" w:w="70"/>
                    <w:left w:type="dxa" w:w="100"/>
                    <w:bottom w:type="dxa" w:w="70"/>
                    <w:right w:type="dxa" w:w="100"/>
                  </w:tcMar>
                  <w:vAlign w:val="center"/>
                </w:tcPr>
                <w:p>
                  <w:pPr>
                    <w:spacing w:after="0"/>
                  </w:pPr>
                  <w:r>
                    <w:rPr>
                      <w:sz w:val="18"/>
                      <w:szCs w:val="18"/>
                    </w:rPr>
                    <w:t xml:space="preserve">5,70 %</w:t>
                  </w:r>
                </w:p>
              </w:tc>
              <w:tc>
                <w:tcPr>
                  <w:tcW w:type="dxa" w:w="666"/>
                  <w:tcMar>
                    <w:top w:type="dxa" w:w="70"/>
                    <w:left w:type="dxa" w:w="100"/>
                    <w:bottom w:type="dxa" w:w="70"/>
                    <w:right w:type="dxa" w:w="100"/>
                  </w:tcMar>
                  <w:vAlign w:val="center"/>
                </w:tcPr>
                <w:p>
                  <w:pPr>
                    <w:spacing w:after="0"/>
                  </w:pPr>
                  <w:r>
                    <w:rPr>
                      <w:sz w:val="18"/>
                      <w:szCs w:val="18"/>
                    </w:rPr>
                    <w:t xml:space="preserve">5,66 %</w:t>
                  </w:r>
                </w:p>
              </w:tc>
              <w:tc>
                <w:tcPr>
                  <w:tcW w:type="dxa" w:w="666"/>
                  <w:tcMar>
                    <w:top w:type="dxa" w:w="70"/>
                    <w:left w:type="dxa" w:w="100"/>
                    <w:bottom w:type="dxa" w:w="70"/>
                    <w:right w:type="dxa" w:w="100"/>
                  </w:tcMar>
                  <w:vAlign w:val="center"/>
                </w:tcPr>
                <w:p>
                  <w:pPr>
                    <w:spacing w:after="0"/>
                  </w:pPr>
                  <w:r>
                    <w:rPr>
                      <w:sz w:val="18"/>
                      <w:szCs w:val="18"/>
                    </w:rPr>
                    <w:t xml:space="preserve">5,62 %</w:t>
                  </w:r>
                </w:p>
              </w:tc>
              <w:tc>
                <w:tcPr>
                  <w:tcW w:type="dxa" w:w="666"/>
                  <w:tcMar>
                    <w:top w:type="dxa" w:w="70"/>
                    <w:left w:type="dxa" w:w="100"/>
                    <w:bottom w:type="dxa" w:w="70"/>
                    <w:right w:type="dxa" w:w="100"/>
                  </w:tcMar>
                  <w:vAlign w:val="center"/>
                </w:tcPr>
                <w:p>
                  <w:pPr>
                    <w:spacing w:after="0"/>
                  </w:pPr>
                  <w:r>
                    <w:rPr>
                      <w:sz w:val="18"/>
                      <w:szCs w:val="18"/>
                    </w:rPr>
                    <w:t xml:space="preserve">5,77 %</w:t>
                  </w:r>
                </w:p>
              </w:tc>
              <w:tc>
                <w:tcPr>
                  <w:tcW w:type="dxa" w:w="666"/>
                  <w:tcMar>
                    <w:top w:type="dxa" w:w="70"/>
                    <w:left w:type="dxa" w:w="100"/>
                    <w:bottom w:type="dxa" w:w="70"/>
                    <w:right w:type="dxa" w:w="100"/>
                  </w:tcMar>
                  <w:vAlign w:val="center"/>
                </w:tcPr>
                <w:p>
                  <w:pPr>
                    <w:spacing w:after="0"/>
                  </w:pPr>
                  <w:r>
                    <w:rPr>
                      <w:sz w:val="18"/>
                      <w:szCs w:val="18"/>
                    </w:rPr>
                    <w:t xml:space="preserve">6,14 %</w:t>
                  </w:r>
                </w:p>
              </w:tc>
              <w:tc>
                <w:tcPr>
                  <w:tcW w:type="dxa" w:w="670"/>
                  <w:tcMar>
                    <w:top w:type="dxa" w:w="70"/>
                    <w:left w:type="dxa" w:w="100"/>
                    <w:bottom w:type="dxa" w:w="70"/>
                    <w:right w:type="dxa" w:w="100"/>
                  </w:tcMar>
                  <w:vAlign w:val="center"/>
                </w:tcPr>
                <w:p>
                  <w:pPr>
                    <w:spacing w:after="0"/>
                  </w:pPr>
                  <w:r>
                    <w:rPr>
                      <w:sz w:val="18"/>
                      <w:szCs w:val="18"/>
                    </w:rPr>
                    <w:t xml:space="preserve">6,45 %</w:t>
                  </w:r>
                </w:p>
              </w:tc>
            </w:tr>
            <w:tr>
              <w:trPr>
                <w:cantSplit/>
                <w:tblHeader w:val="off"/>
              </w:trPr>
              <w:tc>
                <w:tcPr>
                  <w:tcW w:type="dxa" w:w="3026"/>
                  <w:tcMar>
                    <w:top w:type="dxa" w:w="70"/>
                    <w:left w:type="dxa" w:w="100"/>
                    <w:bottom w:type="dxa" w:w="70"/>
                    <w:right w:type="dxa" w:w="100"/>
                  </w:tcMar>
                  <w:vAlign w:val="center"/>
                </w:tcPr>
                <w:p>
                  <w:pPr>
                    <w:spacing w:after="0"/>
                  </w:pPr>
                  <w:r>
                    <w:rPr>
                      <w:rFonts w:ascii="Consolas" w:cs="Consolas" w:eastAsia="Consolas" w:hAnsi="Consolas"/>
                      <w:sz w:val="16"/>
                      <w:szCs w:val="16"/>
                      <w:shd w:fill="F2F2F2" w:color="auto" w:val="clear"/>
                    </w:rPr>
                    <w:t xml:space="preserve">REING_30D</w:t>
                  </w:r>
                  <w:r>
                    <w:rPr>
                      <w:sz w:val="18"/>
                      <w:szCs w:val="18"/>
                    </w:rPr>
                    <w:t xml:space="preserve">, sin identidad ambigua</w:t>
                  </w:r>
                </w:p>
              </w:tc>
              <w:tc>
                <w:tcPr>
                  <w:tcW w:type="dxa" w:w="666"/>
                  <w:tcMar>
                    <w:top w:type="dxa" w:w="70"/>
                    <w:left w:type="dxa" w:w="100"/>
                    <w:bottom w:type="dxa" w:w="70"/>
                    <w:right w:type="dxa" w:w="100"/>
                  </w:tcMar>
                  <w:vAlign w:val="center"/>
                </w:tcPr>
                <w:p>
                  <w:pPr>
                    <w:spacing w:after="0"/>
                  </w:pPr>
                  <w:r>
                    <w:rPr>
                      <w:sz w:val="18"/>
                      <w:szCs w:val="18"/>
                    </w:rPr>
                    <w:t xml:space="preserve">5,58 %</w:t>
                  </w:r>
                </w:p>
              </w:tc>
              <w:tc>
                <w:tcPr>
                  <w:tcW w:type="dxa" w:w="666"/>
                  <w:tcMar>
                    <w:top w:type="dxa" w:w="70"/>
                    <w:left w:type="dxa" w:w="100"/>
                    <w:bottom w:type="dxa" w:w="70"/>
                    <w:right w:type="dxa" w:w="100"/>
                  </w:tcMar>
                  <w:vAlign w:val="center"/>
                </w:tcPr>
                <w:p>
                  <w:pPr>
                    <w:spacing w:after="0"/>
                  </w:pPr>
                  <w:r>
                    <w:rPr>
                      <w:sz w:val="18"/>
                      <w:szCs w:val="18"/>
                    </w:rPr>
                    <w:t xml:space="preserve">5,52 %</w:t>
                  </w:r>
                </w:p>
              </w:tc>
              <w:tc>
                <w:tcPr>
                  <w:tcW w:type="dxa" w:w="666"/>
                  <w:tcMar>
                    <w:top w:type="dxa" w:w="70"/>
                    <w:left w:type="dxa" w:w="100"/>
                    <w:bottom w:type="dxa" w:w="70"/>
                    <w:right w:type="dxa" w:w="100"/>
                  </w:tcMar>
                  <w:vAlign w:val="center"/>
                </w:tcPr>
                <w:p>
                  <w:pPr>
                    <w:spacing w:after="0"/>
                  </w:pPr>
                  <w:r>
                    <w:rPr>
                      <w:sz w:val="18"/>
                      <w:szCs w:val="18"/>
                    </w:rPr>
                    <w:t xml:space="preserve">5,53 %</w:t>
                  </w:r>
                </w:p>
              </w:tc>
              <w:tc>
                <w:tcPr>
                  <w:tcW w:type="dxa" w:w="666"/>
                  <w:tcMar>
                    <w:top w:type="dxa" w:w="70"/>
                    <w:left w:type="dxa" w:w="100"/>
                    <w:bottom w:type="dxa" w:w="70"/>
                    <w:right w:type="dxa" w:w="100"/>
                  </w:tcMar>
                  <w:vAlign w:val="center"/>
                </w:tcPr>
                <w:p>
                  <w:pPr>
                    <w:spacing w:after="0"/>
                  </w:pPr>
                  <w:r>
                    <w:rPr>
                      <w:sz w:val="18"/>
                      <w:szCs w:val="18"/>
                    </w:rPr>
                    <w:t xml:space="preserve">5,67 %</w:t>
                  </w:r>
                </w:p>
              </w:tc>
              <w:tc>
                <w:tcPr>
                  <w:tcW w:type="dxa" w:w="666"/>
                  <w:tcMar>
                    <w:top w:type="dxa" w:w="70"/>
                    <w:left w:type="dxa" w:w="100"/>
                    <w:bottom w:type="dxa" w:w="70"/>
                    <w:right w:type="dxa" w:w="100"/>
                  </w:tcMar>
                  <w:vAlign w:val="center"/>
                </w:tcPr>
                <w:p>
                  <w:pPr>
                    <w:spacing w:after="0"/>
                  </w:pPr>
                  <w:r>
                    <w:rPr>
                      <w:sz w:val="18"/>
                      <w:szCs w:val="18"/>
                    </w:rPr>
                    <w:t xml:space="preserve">6,05 %</w:t>
                  </w:r>
                </w:p>
              </w:tc>
              <w:tc>
                <w:tcPr>
                  <w:tcW w:type="dxa" w:w="670"/>
                  <w:tcMar>
                    <w:top w:type="dxa" w:w="70"/>
                    <w:left w:type="dxa" w:w="100"/>
                    <w:bottom w:type="dxa" w:w="70"/>
                    <w:right w:type="dxa" w:w="100"/>
                  </w:tcMar>
                  <w:vAlign w:val="center"/>
                </w:tcPr>
                <w:p>
                  <w:pPr>
                    <w:spacing w:after="0"/>
                  </w:pPr>
                  <w:r>
                    <w:rPr>
                      <w:sz w:val="18"/>
                      <w:szCs w:val="18"/>
                    </w:rPr>
                    <w:t xml:space="preserve">6,35 %</w:t>
                  </w:r>
                </w:p>
              </w:tc>
            </w:tr>
          </w:tbl>
          <w:p>
            <w:pPr>
              <w:spacing w:after="0"/>
            </w:pP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Interpretación</w:t>
            </w:r>
          </w:p>
        </w:tc>
        <w:tc>
          <w:tcPr>
            <w:tcW w:type="dxa" w:w="7226"/>
            <w:tcMar>
              <w:top w:type="dxa" w:w="70"/>
              <w:left w:type="dxa" w:w="100"/>
              <w:bottom w:type="dxa" w:w="70"/>
              <w:right w:type="dxa" w:w="100"/>
            </w:tcMar>
          </w:tcPr>
          <w:p>
            <w:pPr>
              <w:keepNext/>
              <w:spacing w:after="0" w:before="0"/>
            </w:pPr>
            <w:r>
              <w:rPr>
                <w:sz w:val="20"/>
                <w:szCs w:val="20"/>
              </w:rPr>
              <w:t xml:space="preserve">Los egresos sin identificador bajan de 0,32 % en 2022 a 0,16 % en 2023 y 0,10 % en 2024. Si se reparten como el resto de los egresos, esa diferencia haría visibles cerca de un 0,2 % más de reingresos, del orden de 0,01 puntos de tasa, mientras la subida es de 0,37 puntos en 2023 y 0,68 en 2024. La identidad ambigua no tiene tendencia (entre 1,5 % y 1,8 % de los egresos), y sin esos casos la tasa sube igual: 5,67 %, 6,05 % y 6,35 %. En 2019, con más egresos sin identificador (0,72 %), la tasa es igual a la de 2020 a 2022.</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Consecuencia</w:t>
            </w:r>
          </w:p>
        </w:tc>
        <w:tc>
          <w:tcPr>
            <w:tcW w:type="dxa" w:w="7226"/>
            <w:tcMar>
              <w:top w:type="dxa" w:w="70"/>
              <w:left w:type="dxa" w:w="100"/>
              <w:bottom w:type="dxa" w:w="70"/>
              <w:right w:type="dxa" w:w="100"/>
            </w:tcMar>
          </w:tcPr>
          <w:p>
            <w:pPr>
              <w:keepNext/>
              <w:spacing w:after="0" w:before="0"/>
            </w:pPr>
            <w:r>
              <w:rPr>
                <w:sz w:val="20"/>
                <w:szCs w:val="20"/>
              </w:rPr>
              <w:t xml:space="preserve">El aumento de 2023 y 2024 no se explica por cambios en la calidad del identificador. Junto con </w:t>
            </w:r>
            <w:hyperlink w:history="1" w:anchor="E_H24">
              <w:r>
                <w:rPr>
                  <w:color w:val="0563C1"/>
                  <w:sz w:val="20"/>
                  <w:szCs w:val="20"/>
                  <w:u w:val="single"/>
                </w:rPr>
                <w:t xml:space="preserve">H24</w:t>
              </w:r>
            </w:hyperlink>
            <w:r>
              <w:rPr>
                <w:sz w:val="20"/>
                <w:szCs w:val="20"/>
              </w:rPr>
              <w:t xml:space="preserve"> (no se debe a los hospitales incorporados y ocurre dentro de cada tipo de ingreso), se trata como un cambio real en el tiempo, que es lo que mide la validación temporal (D37 y D40 de la bitácora de la 2.3).</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Completa a</w:t>
            </w:r>
          </w:p>
        </w:tc>
        <w:tc>
          <w:tcPr>
            <w:tcW w:type="dxa" w:w="7226"/>
            <w:tcMar>
              <w:top w:type="dxa" w:w="70"/>
              <w:left w:type="dxa" w:w="100"/>
              <w:bottom w:type="dxa" w:w="70"/>
              <w:right w:type="dxa" w:w="100"/>
            </w:tcMar>
          </w:tcPr>
          <w:p>
            <w:pPr>
              <w:keepNext/>
              <w:spacing w:after="0" w:before="0"/>
            </w:pPr>
            <w:hyperlink w:history="1" w:anchor="E_H24">
              <w:r>
                <w:rPr>
                  <w:color w:val="0563C1"/>
                  <w:sz w:val="20"/>
                  <w:szCs w:val="20"/>
                  <w:u w:val="single"/>
                </w:rPr>
                <w:t xml:space="preserve">H24</w:t>
              </w:r>
            </w:hyperlink>
            <w:r>
              <w:rPr>
                <w:sz w:val="20"/>
                <w:szCs w:val="20"/>
              </w:rPr>
              <w:t xml:space="preserve">.</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Evidencia</w:t>
            </w:r>
          </w:p>
        </w:tc>
        <w:tc>
          <w:tcPr>
            <w:tcW w:type="dxa" w:w="7226"/>
            <w:tcMar>
              <w:top w:type="dxa" w:w="70"/>
              <w:left w:type="dxa" w:w="100"/>
              <w:bottom w:type="dxa" w:w="70"/>
              <w:right w:type="dxa" w:w="100"/>
            </w:tcMar>
          </w:tcPr>
          <w:p>
            <w:pPr>
              <w:keepNext w:val="false"/>
              <w:spacing w:after="0" w:before="0"/>
            </w:pPr>
            <w:r>
              <w:rPr>
                <w:rFonts w:ascii="Consolas" w:cs="Consolas" w:eastAsia="Consolas" w:hAnsi="Consolas"/>
                <w:sz w:val="18"/>
                <w:szCs w:val="18"/>
                <w:shd w:fill="F2F2F2" w:color="auto" w:val="clear"/>
              </w:rPr>
              <w:t xml:space="preserve">2.2_depuracion_etiquetado/reportes/09_etiquetado.md</w:t>
            </w:r>
            <w:r>
              <w:rPr>
                <w:sz w:val="20"/>
                <w:szCs w:val="20"/>
              </w:rPr>
              <w:t xml:space="preserve">, sección 2 («Calidad del identificador»).</w:t>
            </w:r>
          </w:p>
        </w:tc>
      </w:tr>
    </w:tbl>
    <w:p>
      <w:pPr>
        <w:pStyle w:val="Heading1"/>
      </w:pPr>
      <w:r>
        <w:t xml:space="preserve">Verificación del script 08</w:t>
      </w:r>
    </w:p>
    <w:p>
      <w:r>
        <w:t xml:space="preserve">El script se ejecutó el 6 de octubre de 2026 y dejó </w:t>
      </w:r>
      <w:r>
        <w:rPr>
          <w:rFonts w:ascii="Consolas" w:cs="Consolas" w:eastAsia="Consolas" w:hAnsi="Consolas"/>
          <w:sz w:val="20"/>
          <w:szCs w:val="20"/>
          <w:shd w:fill="F2F2F2" w:color="auto" w:val="clear"/>
        </w:rPr>
        <w:t xml:space="preserve">data/processed/grd_depurado.parquet</w:t>
      </w:r>
      <w:r>
        <w:t xml:space="preserve"> (5.800.973 egresos, 155 columnas). Antes se había probado completo con la salida en una carpeta temporal: el archivo definitivo es idéntico, byte a byte, al de la prueba. El resultado se contrastó con un segundo cálculo escrito de otra forma, sin ninguna diferencia:</w:t>
      </w:r>
    </w:p>
    <w:p>
      <w:pPr>
        <w:pStyle w:val="ListParagraph"/>
        <w:numPr>
          <w:ilvl w:val="0"/>
          <w:numId w:val="2"/>
        </w:numPr>
      </w:pPr>
      <w:r>
        <w:t xml:space="preserve">Las 134 columnas originales de la tabla depurada son idénticas, celda a celda, a las de la tabla integrada.</w:t>
      </w:r>
    </w:p>
    <w:p>
      <w:pPr>
        <w:pStyle w:val="ListParagraph"/>
        <w:numPr>
          <w:ilvl w:val="0"/>
          <w:numId w:val="2"/>
        </w:numPr>
      </w:pPr>
      <w:r>
        <w:t xml:space="preserve">Cada registro repetido eliminado tiene un registro conservado con la misma clave y al menos igual de completo.</w:t>
      </w:r>
    </w:p>
    <w:p>
      <w:pPr>
        <w:pStyle w:val="ListParagraph"/>
        <w:numPr>
          <w:ilvl w:val="0"/>
          <w:numId w:val="2"/>
        </w:numPr>
      </w:pPr>
      <w:r>
        <w:t xml:space="preserve">La asignación de personas coincide con la regla </w:t>
      </w:r>
      <w:hyperlink w:history="1" w:anchor="E_D18">
        <w:r>
          <w:rPr>
            <w:color w:val="0563C1"/>
            <w:u w:val="single"/>
          </w:rPr>
          <w:t xml:space="preserve">D18</w:t>
        </w:r>
      </w:hyperlink>
      <w:r>
        <w:t xml:space="preserve"> en los 23.609 identificadores con dos fechas de nacimiento y en los 149 con tres o más.</w:t>
      </w:r>
    </w:p>
    <w:p>
      <w:pPr>
        <w:pStyle w:val="ListParagraph"/>
        <w:numPr>
          <w:ilvl w:val="0"/>
          <w:numId w:val="2"/>
        </w:numPr>
      </w:pPr>
      <w:r>
        <w:t xml:space="preserve">Los episodios asistenciales, recalculados con un recorrido egreso por egreso, coinciden en los 5.663.585 egresos que se pueden seguir.</w:t>
      </w:r>
    </w:p>
    <w:p>
      <w:pPr>
        <w:pStyle w:val="ListParagraph"/>
        <w:numPr>
          <w:ilvl w:val="0"/>
          <w:numId w:val="2"/>
        </w:numPr>
      </w:pPr>
      <w:r>
        <w:t xml:space="preserve">Los trece criterios, recalculados con otra biblioteca, no tienen ninguna diferencia.</w:t>
      </w:r>
    </w:p>
    <w:p>
      <w:pPr>
        <w:pStyle w:val="Heading1"/>
      </w:pPr>
      <w:r>
        <w:t xml:space="preserve">Verificación del script 09</w:t>
      </w:r>
    </w:p>
    <w:p>
      <w:r>
        <w:t xml:space="preserve">El script se ejecutó el 6 de octubre de 2026 y dejó </w:t>
      </w:r>
      <w:r>
        <w:rPr>
          <w:rFonts w:ascii="Consolas" w:cs="Consolas" w:eastAsia="Consolas" w:hAnsi="Consolas"/>
          <w:sz w:val="20"/>
          <w:szCs w:val="20"/>
          <w:shd w:fill="F2F2F2" w:color="auto" w:val="clear"/>
        </w:rPr>
        <w:t xml:space="preserve">data/processed/grd_etiquetado.parquet</w:t>
      </w:r>
      <w:r>
        <w:t xml:space="preserve"> (5.800.973 egresos, 161 columnas). También se probó antes con la salida en una carpeta temporal, con un resultado idéntico. El contraste independiente no encontró ninguna diferencia:</w:t>
      </w:r>
    </w:p>
    <w:p>
      <w:pPr>
        <w:pStyle w:val="ListParagraph"/>
        <w:numPr>
          <w:ilvl w:val="0"/>
          <w:numId w:val="2"/>
        </w:numPr>
      </w:pPr>
      <w:r>
        <w:t xml:space="preserve">Las cuatro variables, recalculadas caso por caso con un programa escrito de otra forma, coinciden en los 5.154.605 casos de estudio.</w:t>
      </w:r>
    </w:p>
    <w:p>
      <w:pPr>
        <w:pStyle w:val="ListParagraph"/>
        <w:numPr>
          <w:ilvl w:val="0"/>
          <w:numId w:val="2"/>
        </w:numPr>
      </w:pPr>
      <w:r>
        <w:t xml:space="preserve">En una muestra del 4 % de los identificadores (206.713 casos de estudio), el cálculo como unión literal de cada alta con los ingresos posteriores de la misma persona da el mismo resultado.</w:t>
      </w:r>
    </w:p>
    <w:p>
      <w:pPr>
        <w:pStyle w:val="ListParagraph"/>
        <w:numPr>
          <w:ilvl w:val="0"/>
          <w:numId w:val="2"/>
        </w:numPr>
      </w:pPr>
      <w:r>
        <w:t xml:space="preserve">Las 155 columnas de la tabla depurada son idénticas, celda a celda, en la tabla etiquetada.</w:t>
      </w:r>
    </w:p>
    <w:p>
      <w:pPr>
        <w:pStyle w:val="Heading1"/>
      </w:pPr>
      <w:r>
        <w:t xml:space="preserve">Verificación de las ejecuciones del 8 de octubre de 2026</w:t>
      </w:r>
    </w:p>
    <w:p>
      <w:r>
        <w:t xml:space="preserve">Los scripts 08, 09 y 11 se ejecutaron el 8 de octubre de 2026 con las decisiones </w:t>
      </w:r>
      <w:hyperlink w:history="1" w:anchor="E_D30">
        <w:r>
          <w:rPr>
            <w:color w:val="0563C1"/>
            <w:u w:val="single"/>
          </w:rPr>
          <w:t xml:space="preserve">D30</w:t>
        </w:r>
      </w:hyperlink>
      <w:r>
        <w:t xml:space="preserve"> a </w:t>
      </w:r>
      <w:hyperlink w:history="1" w:anchor="E_D34">
        <w:r>
          <w:rPr>
            <w:color w:val="0563C1"/>
            <w:u w:val="single"/>
          </w:rPr>
          <w:t xml:space="preserve">D34</w:t>
        </w:r>
      </w:hyperlink>
      <w:r>
        <w:t xml:space="preserve">. Dejaron </w:t>
      </w:r>
      <w:r>
        <w:rPr>
          <w:rFonts w:ascii="Consolas" w:cs="Consolas" w:eastAsia="Consolas" w:hAnsi="Consolas"/>
          <w:sz w:val="20"/>
          <w:szCs w:val="20"/>
          <w:shd w:fill="F2F2F2" w:color="auto" w:val="clear"/>
        </w:rPr>
        <w:t xml:space="preserve">data/processed/grd_depurado.parquet</w:t>
      </w:r>
      <w:r>
        <w:t xml:space="preserve"> (5.800.973 egresos, 157 columnas) y </w:t>
      </w:r>
      <w:r>
        <w:rPr>
          <w:rFonts w:ascii="Consolas" w:cs="Consolas" w:eastAsia="Consolas" w:hAnsi="Consolas"/>
          <w:sz w:val="20"/>
          <w:szCs w:val="20"/>
          <w:shd w:fill="F2F2F2" w:color="auto" w:val="clear"/>
        </w:rPr>
        <w:t xml:space="preserve">data/processed/grd_etiquetado.parquet</w:t>
      </w:r>
      <w:r>
        <w:t xml:space="preserve"> (163 columnas), que reemplazan a los del 6 de octubre. Cada script se probó antes con la salida en una carpeta temporal: los archivos definitivos son idénticos, byte a byte, a los de la prueba. Al agregar la columna </w:t>
      </w:r>
      <w:r>
        <w:rPr>
          <w:rFonts w:ascii="Consolas" w:cs="Consolas" w:eastAsia="Consolas" w:hAnsi="Consolas"/>
          <w:sz w:val="20"/>
          <w:szCs w:val="20"/>
          <w:shd w:fill="F2F2F2" w:color="auto" w:val="clear"/>
        </w:rPr>
        <w:t xml:space="preserve">IDENTIDAD_AMBIGUA</w:t>
      </w:r>
      <w:r>
        <w:t xml:space="preserve"> (</w:t>
      </w:r>
      <w:hyperlink w:history="1" w:anchor="E_D34">
        <w:r>
          <w:rPr>
            <w:color w:val="0563C1"/>
            <w:u w:val="single"/>
          </w:rPr>
          <w:t xml:space="preserve">D34</w:t>
        </w:r>
      </w:hyperlink>
      <w:r>
        <w:t xml:space="preserve">), las demás columnas y las cuatro variables objetivo no cambiaron.</w:t>
      </w:r>
    </w:p>
    <w:p>
      <w:r>
        <w:t xml:space="preserve">Los contrastes independientes están ahora en </w:t>
      </w:r>
      <w:r>
        <w:rPr>
          <w:rFonts w:ascii="Consolas" w:cs="Consolas" w:eastAsia="Consolas" w:hAnsi="Consolas"/>
          <w:sz w:val="20"/>
          <w:szCs w:val="20"/>
          <w:shd w:fill="F2F2F2" w:color="auto" w:val="clear"/>
        </w:rPr>
        <w:t xml:space="preserve">2.2_depuracion_etiquetado/pruebas/</w:t>
      </w:r>
      <w:r>
        <w:t xml:space="preserve"> y se ejecutan con un solo comando (</w:t>
      </w:r>
      <w:hyperlink w:history="1" w:anchor="E_D36">
        <w:r>
          <w:rPr>
            <w:color w:val="0563C1"/>
            <w:u w:val="single"/>
          </w:rPr>
          <w:t xml:space="preserve">D36</w:t>
        </w:r>
      </w:hyperlink>
      <w:r>
        <w:t xml:space="preserve">). Sobre la versión 1 del conjunto analítico se cumplen las 70 comprobaciones (</w:t>
      </w:r>
      <w:r>
        <w:rPr>
          <w:rFonts w:ascii="Consolas" w:cs="Consolas" w:eastAsia="Consolas" w:hAnsi="Consolas"/>
          <w:sz w:val="20"/>
          <w:szCs w:val="20"/>
          <w:shd w:fill="F2F2F2" w:color="auto" w:val="clear"/>
        </w:rPr>
        <w:t xml:space="preserve">reportes/pruebas_independientes.md</w:t>
      </w:r>
      <w:r>
        <w:t xml:space="preserve">):</w:t>
      </w:r>
    </w:p>
    <w:p>
      <w:pPr>
        <w:pStyle w:val="ListParagraph"/>
        <w:numPr>
          <w:ilvl w:val="0"/>
          <w:numId w:val="2"/>
        </w:numPr>
      </w:pPr>
      <w:r>
        <w:t xml:space="preserve">Depuración (43 comprobaciones): columnas originales idénticas a las de la tabla integrada, duplicados, personas, identidad ambigua, los catorce criterios recalculados con otra biblioteca, episodios recalculados egreso por egreso y la tabla «paso a paso» del reporte 08.</w:t>
      </w:r>
    </w:p>
    <w:p>
      <w:pPr>
        <w:pStyle w:val="ListParagraph"/>
        <w:numPr>
          <w:ilvl w:val="0"/>
          <w:numId w:val="2"/>
        </w:numPr>
      </w:pPr>
      <w:r>
        <w:t xml:space="preserve">Etiquetado (19): las cuatro variables recalculadas caso por caso en los 4.192.410 casos de estudio y, como unión literal de cada alta con los ingresos posteriores, en una muestra del 4 % de los identificadores (167.627 casos de estudio); además, la tabla de las variables y la de verificación de la censura del reporte 09.</w:t>
      </w:r>
    </w:p>
    <w:p>
      <w:pPr>
        <w:pStyle w:val="ListParagraph"/>
        <w:numPr>
          <w:ilvl w:val="0"/>
          <w:numId w:val="2"/>
        </w:numPr>
      </w:pPr>
      <w:r>
        <w:t xml:space="preserve">Análisis de sensibilidad (8): los casos de estudio y las tasas de los siete escenarios, recalculados desde las columnas del archivo sin usar las funciones de los scripts.</w:t>
      </w:r>
    </w:p>
    <w:p>
      <w:pPr>
        <w:pStyle w:val="Heading1"/>
      </w:pPr>
      <w:r>
        <w:t xml:space="preserve">Verificación de las ejecuciones del 20 de octubre de 2026</w:t>
      </w:r>
    </w:p>
    <w:p>
      <w:r>
        <w:t xml:space="preserve">Los scripts 09, 11 y 12 se ejecutaron el 20 de octubre de 2026 con </w:t>
      </w:r>
      <w:hyperlink w:history="1" w:anchor="E_D38">
        <w:r>
          <w:rPr>
            <w:color w:val="0563C1"/>
            <w:u w:val="single"/>
          </w:rPr>
          <w:t xml:space="preserve">D38</w:t>
        </w:r>
      </w:hyperlink>
      <w:r>
        <w:t xml:space="preserve"> y las dos filas nuevas de sensibilidad (</w:t>
      </w:r>
      <w:hyperlink w:history="1" w:anchor="E_H27">
        <w:r>
          <w:rPr>
            <w:color w:val="0563C1"/>
            <w:u w:val="single"/>
          </w:rPr>
          <w:t xml:space="preserve">H27</w:t>
        </w:r>
      </w:hyperlink>
      <w:r>
        <w:t xml:space="preserve"> y </w:t>
      </w:r>
      <w:hyperlink w:history="1" w:anchor="E_D39">
        <w:r>
          <w:rPr>
            <w:color w:val="0563C1"/>
            <w:u w:val="single"/>
          </w:rPr>
          <w:t xml:space="preserve">D39</w:t>
        </w:r>
      </w:hyperlink>
      <w:r>
        <w:t xml:space="preserve">); el script 08 y la tabla depurada no cambiaron. Antes de escribir, el script 09 se probó en memoria y se comparó celda por celda con la versión 1: solo cambiaron </w:t>
      </w:r>
      <w:r>
        <w:rPr>
          <w:rFonts w:ascii="Consolas" w:cs="Consolas" w:eastAsia="Consolas" w:hAnsi="Consolas"/>
          <w:sz w:val="20"/>
          <w:szCs w:val="20"/>
          <w:shd w:fill="F2F2F2" w:color="auto" w:val="clear"/>
        </w:rPr>
        <w:t xml:space="preserve">REING_7D_CDM</w:t>
      </w:r>
      <w:r>
        <w:t xml:space="preserve"> y </w:t>
      </w:r>
      <w:r>
        <w:rPr>
          <w:rFonts w:ascii="Consolas" w:cs="Consolas" w:eastAsia="Consolas" w:hAnsi="Consolas"/>
          <w:sz w:val="20"/>
          <w:szCs w:val="20"/>
          <w:shd w:fill="F2F2F2" w:color="auto" w:val="clear"/>
        </w:rPr>
        <w:t xml:space="preserve">REING_30D_CDM</w:t>
      </w:r>
      <w:r>
        <w:t xml:space="preserve"> de los partos (615.167 y 603.423 celdas, todas de 0 a sin dato); las demás columnas quedaron idénticas. El script 12 registró la versión 2 del conjunto analítico (</w:t>
      </w:r>
      <w:hyperlink w:history="1" w:anchor="E_D36">
        <w:r>
          <w:rPr>
            <w:color w:val="0563C1"/>
            <w:u w:val="single"/>
          </w:rPr>
          <w:t xml:space="preserve">D36</w:t>
        </w:r>
      </w:hyperlink>
      <w:r>
        <w:t xml:space="preserve">).</w:t>
      </w:r>
    </w:p>
    <w:p>
      <w:r>
        <w:t xml:space="preserve">En la primera ejecución del script 11, una verificación nueva falló en la pasada que cuenta todo ingreso (solo se usa para describir las sesiones de tratamiento): al contar todo ingreso, un parto también es reingreso y la exclusión de </w:t>
      </w:r>
      <w:hyperlink w:history="1" w:anchor="E_D38">
        <w:r>
          <w:rPr>
            <w:color w:val="0563C1"/>
            <w:u w:val="single"/>
          </w:rPr>
          <w:t xml:space="preserve">D38</w:t>
        </w:r>
      </w:hyperlink>
      <w:r>
        <w:t xml:space="preserve"> no corresponde. Se corrigió para que </w:t>
      </w:r>
      <w:hyperlink w:history="1" w:anchor="E_D38">
        <w:r>
          <w:rPr>
            <w:color w:val="0563C1"/>
            <w:u w:val="single"/>
          </w:rPr>
          <w:t xml:space="preserve">D38</w:t>
        </w:r>
      </w:hyperlink>
      <w:r>
        <w:t xml:space="preserve"> se aplique solo cuando cuentan únicamente los ingresos no planificados; la tabla de datos quedó idéntica byte a byte y el script 11 se volvió a ejecutar sin fallas.</w:t>
      </w:r>
    </w:p>
    <w:p>
      <w:r>
        <w:t xml:space="preserve">Sobre la versión 2 se cumplen las 74 comprobaciones de los contrastes independientes (</w:t>
      </w:r>
      <w:r>
        <w:rPr>
          <w:rFonts w:ascii="Consolas" w:cs="Consolas" w:eastAsia="Consolas" w:hAnsi="Consolas"/>
          <w:sz w:val="20"/>
          <w:szCs w:val="20"/>
          <w:shd w:fill="F2F2F2" w:color="auto" w:val="clear"/>
        </w:rPr>
        <w:t xml:space="preserve">reportes/pruebas_independientes.md</w:t>
      </w:r>
      <w:r>
        <w:t xml:space="preserve">): depuración (43), etiquetado (20; ahora incluye que los partos tengan dato solo donde corresponde y que su 0 haya sido obligatorio) y análisis de sensibilidad (11; los diez escenarios, incluidos los partos con valor 0, los traslados con marca y los derivados).</w:t>
      </w:r>
    </w:p>
    <w:p>
      <w:pPr>
        <w:pStyle w:val="Heading1"/>
      </w:pPr>
      <w:r>
        <w:t xml:space="preserve">Pendientes</w:t>
      </w:r>
    </w:p>
    <w:p>
      <w:pPr>
        <w:pStyle w:val="ListParagraph"/>
        <w:numPr>
          <w:ilvl w:val="0"/>
          <w:numId w:val="3"/>
        </w:numPr>
        <w:spacing w:after="80"/>
      </w:pPr>
      <w:r>
        <w:t xml:space="preserve">Validar con profesor guía las decisiones </w:t>
      </w:r>
      <w:hyperlink w:history="1" w:anchor="E_D18">
        <w:r>
          <w:rPr>
            <w:color w:val="0563C1"/>
            <w:u w:val="single"/>
          </w:rPr>
          <w:t xml:space="preserve">D18</w:t>
        </w:r>
      </w:hyperlink>
      <w:r>
        <w:t xml:space="preserve"> a </w:t>
      </w:r>
      <w:hyperlink w:history="1" w:anchor="E_D26">
        <w:r>
          <w:rPr>
            <w:color w:val="0563C1"/>
            <w:u w:val="single"/>
          </w:rPr>
          <w:t xml:space="preserve">D26</w:t>
        </w:r>
      </w:hyperlink>
      <w:r>
        <w:t xml:space="preserve"> y las de </w:t>
      </w:r>
      <w:r>
        <w:rPr>
          <w:rFonts w:ascii="Consolas" w:cs="Consolas" w:eastAsia="Consolas" w:hAnsi="Consolas"/>
          <w:sz w:val="20"/>
          <w:szCs w:val="20"/>
          <w:shd w:fill="F2F2F2" w:color="auto" w:val="clear"/>
        </w:rPr>
        <w:t xml:space="preserve">docs/bitacora.md</w:t>
      </w:r>
      <w:r>
        <w:t xml:space="preserve"> que se aplican aquí (D03, D07, D08, D15 y H09). Las revisó el 7 de octubre de 2026; sus correcciones están en </w:t>
      </w:r>
      <w:hyperlink w:history="1" w:anchor="E_D30">
        <w:r>
          <w:rPr>
            <w:color w:val="0563C1"/>
            <w:u w:val="single"/>
          </w:rPr>
          <w:t xml:space="preserve">D30</w:t>
        </w:r>
      </w:hyperlink>
      <w:r>
        <w:t xml:space="preserve"> a </w:t>
      </w:r>
      <w:hyperlink w:history="1" w:anchor="E_D36">
        <w:r>
          <w:rPr>
            <w:color w:val="0563C1"/>
            <w:u w:val="single"/>
          </w:rPr>
          <w:t xml:space="preserve">D36</w:t>
        </w:r>
      </w:hyperlink>
      <w:r>
        <w:t xml:space="preserve">.</w:t>
      </w:r>
    </w:p>
    <w:p>
      <w:pPr>
        <w:pStyle w:val="ListParagraph"/>
        <w:numPr>
          <w:ilvl w:val="0"/>
          <w:numId w:val="3"/>
        </w:numPr>
        <w:spacing w:after="80"/>
      </w:pPr>
      <w:r>
        <w:t xml:space="preserve">Presentar al profesor guía las entradas del 8 de octubre: el margen de la censura (</w:t>
      </w:r>
      <w:hyperlink w:history="1" w:anchor="E_D30">
        <w:r>
          <w:rPr>
            <w:color w:val="0563C1"/>
            <w:u w:val="single"/>
          </w:rPr>
          <w:t xml:space="preserve">D30</w:t>
        </w:r>
      </w:hyperlink>
      <w:r>
        <w:t xml:space="preserve">), la marca de identidad ambigua (</w:t>
      </w:r>
      <w:hyperlink w:history="1" w:anchor="E_D34">
        <w:r>
          <w:rPr>
            <w:color w:val="0563C1"/>
            <w:u w:val="single"/>
          </w:rPr>
          <w:t xml:space="preserve">D34</w:t>
        </w:r>
      </w:hyperlink>
      <w:r>
        <w:t xml:space="preserve">), la tabla final de criterios (</w:t>
      </w:r>
      <w:hyperlink w:history="1" w:anchor="E_D35">
        <w:r>
          <w:rPr>
            <w:color w:val="0563C1"/>
            <w:u w:val="single"/>
          </w:rPr>
          <w:t xml:space="preserve">D35</w:t>
        </w:r>
      </w:hyperlink>
      <w:r>
        <w:t xml:space="preserve">) y el análisis de sensibilidad (</w:t>
      </w:r>
      <w:hyperlink w:history="1" w:anchor="E_H25">
        <w:r>
          <w:rPr>
            <w:color w:val="0563C1"/>
            <w:u w:val="single"/>
          </w:rPr>
          <w:t xml:space="preserve">H25</w:t>
        </w:r>
      </w:hyperlink>
      <w:r>
        <w:t xml:space="preserve">). Las revisó el 13 de octubre de 2026: aprobó </w:t>
      </w:r>
      <w:hyperlink w:history="1" w:anchor="E_D30">
        <w:r>
          <w:rPr>
            <w:color w:val="0563C1"/>
            <w:u w:val="single"/>
          </w:rPr>
          <w:t xml:space="preserve">D30</w:t>
        </w:r>
      </w:hyperlink>
      <w:r>
        <w:t xml:space="preserve"> y </w:t>
      </w:r>
      <w:hyperlink w:history="1" w:anchor="E_D34">
        <w:r>
          <w:rPr>
            <w:color w:val="0563C1"/>
            <w:u w:val="single"/>
          </w:rPr>
          <w:t xml:space="preserve">D34</w:t>
        </w:r>
      </w:hyperlink>
      <w:r>
        <w:t xml:space="preserve">, y </w:t>
      </w:r>
      <w:hyperlink w:history="1" w:anchor="E_D35">
        <w:r>
          <w:rPr>
            <w:color w:val="0563C1"/>
            <w:u w:val="single"/>
          </w:rPr>
          <w:t xml:space="preserve">D35</w:t>
        </w:r>
      </w:hyperlink>
      <w:r>
        <w:t xml:space="preserve"> a condición de incorporar los puntos 2.1 y 2.4 de su revisión.</w:t>
      </w:r>
    </w:p>
    <w:p>
      <w:pPr>
        <w:pStyle w:val="ListParagraph"/>
        <w:numPr>
          <w:ilvl w:val="0"/>
          <w:numId w:val="3"/>
        </w:numPr>
        <w:spacing w:after="80"/>
      </w:pPr>
      <w:r>
        <w:t xml:space="preserve">Incorporar los puntos 2.1 (partos) y 2.4 (traslados y derivados) de la revisión del 13 de octubre. Hecho el 20 de octubre de 2026: </w:t>
      </w:r>
      <w:hyperlink w:history="1" w:anchor="E_H26">
        <w:r>
          <w:rPr>
            <w:color w:val="0563C1"/>
            <w:u w:val="single"/>
          </w:rPr>
          <w:t xml:space="preserve">H26</w:t>
        </w:r>
      </w:hyperlink>
      <w:r>
        <w:t xml:space="preserve">, </w:t>
      </w:r>
      <w:hyperlink w:history="1" w:anchor="E_H27">
        <w:r>
          <w:rPr>
            <w:color w:val="0563C1"/>
            <w:u w:val="single"/>
          </w:rPr>
          <w:t xml:space="preserve">H27</w:t>
        </w:r>
      </w:hyperlink>
      <w:r>
        <w:t xml:space="preserve">, </w:t>
      </w:r>
      <w:hyperlink w:history="1" w:anchor="E_D38">
        <w:r>
          <w:rPr>
            <w:color w:val="0563C1"/>
            <w:u w:val="single"/>
          </w:rPr>
          <w:t xml:space="preserve">D38</w:t>
        </w:r>
      </w:hyperlink>
      <w:r>
        <w:t xml:space="preserve"> y </w:t>
      </w:r>
      <w:hyperlink w:history="1" w:anchor="E_D39">
        <w:r>
          <w:rPr>
            <w:color w:val="0563C1"/>
            <w:u w:val="single"/>
          </w:rPr>
          <w:t xml:space="preserve">D39</w:t>
        </w:r>
      </w:hyperlink>
      <w:r>
        <w:t xml:space="preserve">.</w:t>
      </w:r>
    </w:p>
    <w:p>
      <w:pPr>
        <w:pStyle w:val="ListParagraph"/>
        <w:numPr>
          <w:ilvl w:val="0"/>
          <w:numId w:val="3"/>
        </w:numPr>
        <w:spacing w:after="80"/>
      </w:pPr>
      <w:r>
        <w:t xml:space="preserve">Punto 2.3 de la revisión, en lo que toca a esta actividad: revisar por año los identificadores faltantes o ambiguos antes de tratar el aumento de 2023 y 2024 como un cambio real (</w:t>
      </w:r>
      <w:hyperlink w:history="1" w:anchor="E_H24">
        <w:r>
          <w:rPr>
            <w:color w:val="0563C1"/>
            <w:u w:val="single"/>
          </w:rPr>
          <w:t xml:space="preserve">H24</w:t>
        </w:r>
      </w:hyperlink>
      <w:r>
        <w:t xml:space="preserve">). Hecho el 20 de octubre de 2026: </w:t>
      </w:r>
      <w:hyperlink w:history="1" w:anchor="E_H28">
        <w:r>
          <w:rPr>
            <w:color w:val="0563C1"/>
            <w:u w:val="single"/>
          </w:rPr>
          <w:t xml:space="preserve">H28</w:t>
        </w:r>
      </w:hyperlink>
      <w:r>
        <w:t xml:space="preserve"> y reporte 09, sección 2.</w:t>
      </w:r>
    </w:p>
    <w:p>
      <w:pPr>
        <w:pStyle w:val="ListParagraph"/>
        <w:numPr>
          <w:ilvl w:val="0"/>
          <w:numId w:val="4"/>
        </w:numPr>
        <w:spacing w:after="80"/>
      </w:pPr>
      <w:r>
        <w:t xml:space="preserve">Presentar al profesor guía, en el próximo avance, </w:t>
      </w:r>
      <w:hyperlink w:history="1" w:anchor="E_H26">
        <w:r>
          <w:rPr>
            <w:color w:val="0563C1"/>
            <w:u w:val="single"/>
          </w:rPr>
          <w:t xml:space="preserve">H26</w:t>
        </w:r>
      </w:hyperlink>
      <w:r>
        <w:t xml:space="preserve">, </w:t>
      </w:r>
      <w:hyperlink w:history="1" w:anchor="E_H27">
        <w:r>
          <w:rPr>
            <w:color w:val="0563C1"/>
            <w:u w:val="single"/>
          </w:rPr>
          <w:t xml:space="preserve">H27</w:t>
        </w:r>
      </w:hyperlink>
      <w:r>
        <w:t xml:space="preserve">, </w:t>
      </w:r>
      <w:hyperlink w:history="1" w:anchor="E_H28">
        <w:r>
          <w:rPr>
            <w:color w:val="0563C1"/>
            <w:u w:val="single"/>
          </w:rPr>
          <w:t xml:space="preserve">H28</w:t>
        </w:r>
      </w:hyperlink>
      <w:r>
        <w:t xml:space="preserve">, </w:t>
      </w:r>
      <w:hyperlink w:history="1" w:anchor="E_D38">
        <w:r>
          <w:rPr>
            <w:color w:val="0563C1"/>
            <w:u w:val="single"/>
          </w:rPr>
          <w:t xml:space="preserve">D38</w:t>
        </w:r>
      </w:hyperlink>
      <w:r>
        <w:t xml:space="preserve"> y </w:t>
      </w:r>
      <w:hyperlink w:history="1" w:anchor="E_D39">
        <w:r>
          <w:rPr>
            <w:color w:val="0563C1"/>
            <w:u w:val="single"/>
          </w:rPr>
          <w:t xml:space="preserve">D39</w:t>
        </w:r>
      </w:hyperlink>
      <w:r>
        <w:t xml:space="preserve">.</w:t>
      </w:r>
    </w:p>
    <w:p>
      <w:pPr>
        <w:pStyle w:val="ListParagraph"/>
        <w:numPr>
          <w:ilvl w:val="0"/>
          <w:numId w:val="3"/>
        </w:numPr>
        <w:spacing w:after="80"/>
      </w:pPr>
      <w:r>
        <w:t xml:space="preserve">Ejecutar el script 08 sobre la carpeta de datos y confirmar las cifras de esta bitácora con su reporte. Hecho el 6 de octubre de 2026 y repetido el 8 de octubre.</w:t>
      </w:r>
    </w:p>
    <w:p>
      <w:pPr>
        <w:pStyle w:val="ListParagraph"/>
        <w:numPr>
          <w:ilvl w:val="0"/>
          <w:numId w:val="3"/>
        </w:numPr>
        <w:spacing w:after="80"/>
      </w:pPr>
      <w:r>
        <w:t xml:space="preserve">Script 09: etiquetado del reingreso (</w:t>
      </w:r>
      <w:hyperlink w:history="1" w:anchor="E_D20">
        <w:r>
          <w:rPr>
            <w:color w:val="0563C1"/>
            <w:u w:val="single"/>
          </w:rPr>
          <w:t xml:space="preserve">D20</w:t>
        </w:r>
      </w:hyperlink>
      <w:r>
        <w:t xml:space="preserve">, </w:t>
      </w:r>
      <w:hyperlink w:history="1" w:anchor="E_D25">
        <w:r>
          <w:rPr>
            <w:color w:val="0563C1"/>
            <w:u w:val="single"/>
          </w:rPr>
          <w:t xml:space="preserve">D25</w:t>
        </w:r>
      </w:hyperlink>
      <w:r>
        <w:t xml:space="preserve"> y </w:t>
      </w:r>
      <w:hyperlink w:history="1" w:anchor="E_D26">
        <w:r>
          <w:rPr>
            <w:color w:val="0563C1"/>
            <w:u w:val="single"/>
          </w:rPr>
          <w:t xml:space="preserve">D26</w:t>
        </w:r>
      </w:hyperlink>
      <w:r>
        <w:t xml:space="preserve">) y tasas por año y por definición. Hecho el 6 de octubre de 2026 y repetido el 8 de octubre.</w:t>
      </w:r>
    </w:p>
    <w:p>
      <w:pPr>
        <w:pStyle w:val="ListParagraph"/>
        <w:numPr>
          <w:ilvl w:val="0"/>
          <w:numId w:val="3"/>
        </w:numPr>
        <w:spacing w:after="80"/>
      </w:pPr>
      <w:r>
        <w:t xml:space="preserve">Decidir con profesor guía si la cirugía mayor ambulatoria es caso de estudio (</w:t>
      </w:r>
      <w:hyperlink w:history="1" w:anchor="E_D23">
        <w:r>
          <w:rPr>
            <w:color w:val="0563C1"/>
            <w:u w:val="single"/>
          </w:rPr>
          <w:t xml:space="preserve">D23</w:t>
        </w:r>
      </w:hyperlink>
      <w:r>
        <w:t xml:space="preserve">). Resuelto el 8 de octubre de 2026: no lo es (</w:t>
      </w:r>
      <w:hyperlink w:history="1" w:anchor="E_D32">
        <w:r>
          <w:rPr>
            <w:color w:val="0563C1"/>
            <w:u w:val="single"/>
          </w:rPr>
          <w:t xml:space="preserve">D32</w:t>
        </w:r>
      </w:hyperlink>
      <w:r>
        <w:t xml:space="preserve">).</w:t>
      </w:r>
    </w:p>
    <w:p>
      <w:pPr>
        <w:pStyle w:val="ListParagraph"/>
        <w:numPr>
          <w:ilvl w:val="0"/>
          <w:numId w:val="3"/>
        </w:numPr>
        <w:spacing w:after="80"/>
      </w:pPr>
      <w:r>
        <w:t xml:space="preserve">Decidir con profesor guía si las sesiones de tratamiento son caso de estudio (</w:t>
      </w:r>
      <w:hyperlink w:history="1" w:anchor="E_H18">
        <w:r>
          <w:rPr>
            <w:color w:val="0563C1"/>
            <w:u w:val="single"/>
          </w:rPr>
          <w:t xml:space="preserve">H18</w:t>
        </w:r>
      </w:hyperlink>
      <w:r>
        <w:t xml:space="preserve">). Resuelto el 8 de octubre de 2026: no lo son (</w:t>
      </w:r>
      <w:hyperlink w:history="1" w:anchor="E_D33">
        <w:r>
          <w:rPr>
            <w:color w:val="0563C1"/>
            <w:u w:val="single"/>
          </w:rPr>
          <w:t xml:space="preserve">D33</w:t>
        </w:r>
      </w:hyperlink>
      <w:r>
        <w:t xml:space="preserve">).</w:t>
      </w:r>
    </w:p>
    <w:p>
      <w:pPr>
        <w:pStyle w:val="ListParagraph"/>
        <w:numPr>
          <w:ilvl w:val="0"/>
          <w:numId w:val="3"/>
        </w:numPr>
        <w:spacing w:after="80"/>
      </w:pPr>
      <w:r>
        <w:t xml:space="preserve">Confirmar con profesor guía la agrupación de las CDM 13 y 14 en el reingreso relacionado (</w:t>
      </w:r>
      <w:hyperlink w:history="1" w:anchor="E_D25">
        <w:r>
          <w:rPr>
            <w:color w:val="0563C1"/>
            <w:u w:val="single"/>
          </w:rPr>
          <w:t xml:space="preserve">D25</w:t>
        </w:r>
      </w:hyperlink>
      <w:r>
        <w:t xml:space="preserve">). Resuelto el 8 de octubre de 2026: no se agrupan (</w:t>
      </w:r>
      <w:hyperlink w:history="1" w:anchor="E_D31">
        <w:r>
          <w:rPr>
            <w:color w:val="0563C1"/>
            <w:u w:val="single"/>
          </w:rPr>
          <w:t xml:space="preserve">D31</w:t>
        </w:r>
      </w:hyperlink>
      <w:r>
        <w:t xml:space="preserve">).</w:t>
      </w:r>
    </w:p>
    <w:p>
      <w:pPr>
        <w:pStyle w:val="ListParagraph"/>
        <w:numPr>
          <w:ilvl w:val="0"/>
          <w:numId w:val="4"/>
        </w:numPr>
        <w:spacing w:after="80"/>
      </w:pPr>
      <w:r>
        <w:t xml:space="preserve">Respaldar con bibliografía la regla de traslado del mismo día o el día siguiente (</w:t>
      </w:r>
      <w:hyperlink w:history="1" w:anchor="E_D19">
        <w:r>
          <w:rPr>
            <w:color w:val="0563C1"/>
            <w:u w:val="single"/>
          </w:rPr>
          <w:t xml:space="preserve">D19</w:t>
        </w:r>
      </w:hyperlink>
      <w:r>
        <w:t xml:space="preserve">). La validación con los datos está en </w:t>
      </w:r>
      <w:hyperlink w:history="1" w:anchor="E_H22">
        <w:r>
          <w:rPr>
            <w:color w:val="0563C1"/>
            <w:u w:val="single"/>
          </w:rPr>
          <w:t xml:space="preserve">H22</w:t>
        </w:r>
      </w:hyperlink>
      <w:r>
        <w:t xml:space="preserve">.</w:t>
      </w:r>
    </w:p>
    <w:p>
      <w:pPr>
        <w:pStyle w:val="ListParagraph"/>
        <w:numPr>
          <w:ilvl w:val="0"/>
          <w:numId w:val="4"/>
        </w:numPr>
        <w:spacing w:after="80"/>
      </w:pPr>
      <w:r>
        <w:t xml:space="preserve">Declarar en el informe las limitaciones: los reingresos que no se ven junto al cierre del bloque (</w:t>
      </w:r>
      <w:hyperlink w:history="1" w:anchor="E_H20">
        <w:r>
          <w:rPr>
            <w:color w:val="0563C1"/>
            <w:u w:val="single"/>
          </w:rPr>
          <w:t xml:space="preserve">H20</w:t>
        </w:r>
      </w:hyperlink>
      <w:r>
        <w:t xml:space="preserve">), que las variables relacionadas no incluyen los partos (</w:t>
      </w:r>
      <w:hyperlink w:history="1" w:anchor="E_D38">
        <w:r>
          <w:rPr>
            <w:color w:val="0563C1"/>
            <w:u w:val="single"/>
          </w:rPr>
          <w:t xml:space="preserve">D38</w:t>
        </w:r>
      </w:hyperlink>
      <w:r>
        <w:t xml:space="preserve">), la identidad ambigua (</w:t>
      </w:r>
      <w:hyperlink w:history="1" w:anchor="E_H21">
        <w:r>
          <w:rPr>
            <w:color w:val="0563C1"/>
            <w:u w:val="single"/>
          </w:rPr>
          <w:t xml:space="preserve">H21</w:t>
        </w:r>
      </w:hyperlink>
      <w:r>
        <w:t xml:space="preserve">), el cambio de cobertura en las derivaciones (</w:t>
      </w:r>
      <w:hyperlink w:history="1" w:anchor="E_H23">
        <w:r>
          <w:rPr>
            <w:color w:val="0563C1"/>
            <w:u w:val="single"/>
          </w:rPr>
          <w:t xml:space="preserve">H23</w:t>
        </w:r>
      </w:hyperlink>
      <w:r>
        <w:t xml:space="preserve">) y el aumento de la tasa en 2023 y 2024 (</w:t>
      </w:r>
      <w:hyperlink w:history="1" w:anchor="E_H24">
        <w:r>
          <w:rPr>
            <w:color w:val="0563C1"/>
            <w:u w:val="single"/>
          </w:rPr>
          <w:t xml:space="preserve">H24</w:t>
        </w:r>
      </w:hyperlink>
      <w:r>
        <w:t xml:space="preserv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Bitácora de decisiones · Reingresos hospitalarios GRD 2019–2024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360"/>
      </w:pPr>
      <w:rPr>
        <w:rFonts w:ascii="Segoe UI Symbol" w:cs="Segoe UI Symbol" w:eastAsia="Segoe UI Symbol" w:hAnsi="Segoe UI Symbol"/>
      </w:rPr>
    </w:lvl>
  </w:abstractNum>
  <w:abstractNum w:abstractNumId="3" w15:restartNumberingAfterBreak="0">
    <w:multiLevelType w:val="hybridMultilevel"/>
    <w:lvl w:ilvl="0" w:tentative="1">
      <w:start w:val="1"/>
      <w:numFmt w:val="bullet"/>
      <w:lvlText w:val="☑"/>
      <w:lvlJc w:val="left"/>
      <w:pPr>
        <w:ind w:left="500" w:hanging="360"/>
      </w:pPr>
      <w:rPr>
        <w:rFonts w:ascii="Segoe UI Symbol" w:cs="Segoe UI Symbol" w:eastAsia="Segoe UI Symbol" w:hAnsi="Segoe UI Symbol"/>
      </w:rPr>
    </w:lvl>
  </w:abstractNum>
  <w:abstractNum w:abstractNumId="4" w15:restartNumberingAfterBreak="0">
    <w:multiLevelType w:val="hybridMultilevel"/>
    <w:lvl w:ilvl="0" w:tentative="1">
      <w:start w:val="1"/>
      <w:numFmt w:val="bullet"/>
      <w:lvlText w:val="•"/>
      <w:lvlJc w:val="left"/>
      <w:pPr>
        <w:ind w:left="500" w:hanging="3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lang w:val="es-CL"/>
      </w:rPr>
    </w:rPrDefault>
    <w:pPrDefault>
      <w:pPr>
        <w:spacing w:after="120" w:line="276"/>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keepNext/>
      <w:keepLines/>
      <w:spacing w:after="60" w:before="0"/>
    </w:pPr>
    <w:rPr>
      <w:rFonts w:ascii="Calibri" w:cs="Calibri" w:eastAsia="Calibri" w:hAnsi="Calibri"/>
      <w:b/>
      <w:bCs/>
      <w:color w:val="1F3864"/>
      <w:sz w:val="40"/>
      <w:szCs w:val="40"/>
    </w:rPr>
  </w:style>
  <w:style w:type="paragraph" w:styleId="Heading1">
    <w:name w:val="Heading 1"/>
    <w:basedOn w:val="Normal"/>
    <w:next w:val="Normal"/>
    <w:qFormat/>
    <w:pPr>
      <w:keepNext/>
      <w:keepLines/>
      <w:spacing w:after="160" w:before="400"/>
      <w:outlineLvl w:val="0"/>
    </w:pPr>
    <w:rPr>
      <w:rFonts w:ascii="Calibri" w:cs="Calibri" w:eastAsia="Calibri" w:hAnsi="Calibri"/>
      <w:b/>
      <w:bCs/>
      <w:color w:val="1F3864"/>
      <w:sz w:val="30"/>
      <w:szCs w:val="30"/>
    </w:rPr>
  </w:style>
  <w:style w:type="paragraph" w:styleId="Heading2">
    <w:name w:val="Heading 2"/>
    <w:basedOn w:val="Normal"/>
    <w:next w:val="Normal"/>
    <w:qFormat/>
    <w:pPr>
      <w:keepNext/>
      <w:keepLines/>
      <w:spacing w:after="40" w:before="320"/>
      <w:outlineLvl w:val="1"/>
    </w:pPr>
    <w:rPr>
      <w:rFonts w:ascii="Calibri" w:cs="Calibri" w:eastAsia="Calibri" w:hAnsi="Calibri"/>
      <w:b/>
      <w:bCs/>
      <w:color w:val="1F386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Bitácora de la actividad 2.2: depuración y etiquetado del reingreso</dc:title>
  <dc:creator>Tesis GRD</dc:creator>
  <dc:description>Hallazgos y decisiones del procesamiento de la base GRD 2019–2024</dc:description>
  <cp:lastModifiedBy>Un-named</cp:lastModifiedBy>
  <cp:revision>1</cp:revision>
  <dcterms:created xsi:type="dcterms:W3CDTF">2026-10-21T00:06:08.629Z</dcterms:created>
  <dcterms:modified xsi:type="dcterms:W3CDTF">2026-10-21T00:06:08.630Z</dcterms:modified>
</cp:coreProperties>
</file>

<file path=docProps/custom.xml><?xml version="1.0" encoding="utf-8"?>
<Properties xmlns="http://schemas.openxmlformats.org/officeDocument/2006/custom-properties" xmlns:vt="http://schemas.openxmlformats.org/officeDocument/2006/docPropsVTypes"/>
</file>