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Bitácora de la actividad 3.1: filtro de dimensionalidad (tamaño de efecto)</w:t>
      </w:r>
    </w:p>
    <w:p>
      <w:pPr>
        <w:spacing w:after="60"/>
      </w:pPr>
      <w:r>
        <w:rPr>
          <w:i/>
          <w:iCs/>
          <w:color w:val="595959"/>
          <w:sz w:val="24"/>
          <w:szCs w:val="24"/>
        </w:rPr>
        <w:t xml:space="preserve">Análisis de reingresos hospitalarios mediante selección de variables sobre datos GRD</w:t>
      </w:r>
    </w:p>
    <w:p>
      <w:pPr>
        <w:pBdr>
          <w:bottom w:val="single" w:color="1F3864" w:sz="6" w:space="6"/>
        </w:pBdr>
        <w:spacing w:after="280"/>
      </w:pPr>
      <w:r>
        <w:rPr>
          <w:color w:val="808080"/>
          <w:sz w:val="18"/>
          <w:szCs w:val="18"/>
        </w:rPr>
        <w:t xml:space="preserve">Actualizada al 29 de octubre de 2026 · Versión Word generada a partir de Codigo/3.1_filtro_dimensionalidad/bitacora.md</w:t>
      </w:r>
    </w:p>
    <w:p>
      <w:r>
        <w:t xml:space="preserve">Registro de los hallazgos y decisiones de la actividad 3.1 de la Carta Gantt, que corresponde a la Etapa 3 del procedimiento de la propuesta (ingeniería de variables y reducción de la dimensionalidad). Continúa la numeración de las bitácoras anteriores (</w:t>
      </w:r>
      <w:r>
        <w:rPr>
          <w:rFonts w:ascii="Consolas" w:cs="Consolas" w:eastAsia="Consolas" w:hAnsi="Consolas"/>
          <w:sz w:val="20"/>
          <w:szCs w:val="20"/>
          <w:shd w:fill="F2F2F2" w:color="auto" w:val="clear"/>
        </w:rPr>
        <w:t xml:space="preserve">docs/bitacora.md</w:t>
      </w:r>
      <w:r>
        <w:t xml:space="preserve">, </w:t>
      </w:r>
      <w:r>
        <w:rPr>
          <w:rFonts w:ascii="Consolas" w:cs="Consolas" w:eastAsia="Consolas" w:hAnsi="Consolas"/>
          <w:sz w:val="20"/>
          <w:szCs w:val="20"/>
          <w:shd w:fill="F2F2F2" w:color="auto" w:val="clear"/>
        </w:rPr>
        <w:t xml:space="preserve">2.2_depuracion_etiquetado/bitacora.md</w:t>
      </w:r>
      <w:r>
        <w:t xml:space="preserve"> y </w:t>
      </w:r>
      <w:r>
        <w:rPr>
          <w:rFonts w:ascii="Consolas" w:cs="Consolas" w:eastAsia="Consolas" w:hAnsi="Consolas"/>
          <w:sz w:val="20"/>
          <w:szCs w:val="20"/>
          <w:shd w:fill="F2F2F2" w:color="auto" w:val="clear"/>
        </w:rPr>
        <w:t xml:space="preserve">2.3_validacion_particion/bitacora.md</w:t>
      </w:r>
      <w:r>
        <w:t xml:space="preserve">): aquí están los hallazgos </w:t>
      </w:r>
      <w:hyperlink w:history="1" w:anchor="E_H30">
        <w:r>
          <w:rPr>
            <w:color w:val="0563C1"/>
            <w:u w:val="single"/>
          </w:rPr>
          <w:t xml:space="preserve">H30</w:t>
        </w:r>
      </w:hyperlink>
      <w:r>
        <w:t xml:space="preserve"> a </w:t>
      </w:r>
      <w:hyperlink w:history="1" w:anchor="E_H33">
        <w:r>
          <w:rPr>
            <w:color w:val="0563C1"/>
            <w:u w:val="single"/>
          </w:rPr>
          <w:t xml:space="preserve">H33</w:t>
        </w:r>
      </w:hyperlink>
      <w:r>
        <w:t xml:space="preserve"> y las decisiones </w:t>
      </w:r>
      <w:hyperlink w:history="1" w:anchor="E_D45">
        <w:r>
          <w:rPr>
            <w:color w:val="0563C1"/>
            <w:u w:val="single"/>
          </w:rPr>
          <w:t xml:space="preserve">D45</w:t>
        </w:r>
      </w:hyperlink>
      <w:r>
        <w:t xml:space="preserve"> a </w:t>
      </w:r>
      <w:hyperlink w:history="1" w:anchor="E_D49">
        <w:r>
          <w:rPr>
            <w:color w:val="0563C1"/>
            <w:u w:val="single"/>
          </w:rPr>
          <w:t xml:space="preserve">D49</w:t>
        </w:r>
      </w:hyperlink>
      <w:r>
        <w:t xml:space="preserve">. Una entrada no se borra: si una decisión cambia, se agrega una nueva entrada que la reemplaza y se indica en el campo </w:t>
      </w:r>
      <w:r>
        <w:rPr>
          <w:b/>
          <w:bCs/>
        </w:rPr>
        <w:t xml:space="preserve">Estado</w:t>
      </w:r>
      <w:r>
        <w:t xml:space="preserve">.</w:t>
      </w:r>
    </w:p>
    <w:p>
      <w:r>
        <w:t xml:space="preserve">La actividad se hace en dos pasos y un cierre. El primero, registrado aquí el 28 de octubre de 2026, es el filtro de los códigos de diagnósticos y procedimientos (</w:t>
      </w:r>
      <w:hyperlink w:history="1" w:anchor="E_D45">
        <w:r>
          <w:rPr>
            <w:color w:val="0563C1"/>
            <w:u w:val="single"/>
          </w:rPr>
          <w:t xml:space="preserve">D45</w:t>
        </w:r>
      </w:hyperlink>
      <w:r>
        <w:t xml:space="preserve">). El segundo, registrado el 29 de octubre de 2026, construye las demás variables, que no pasan por el filtro: las administrativas y demográficas de la propuesta, la historia de 12 meses de D42 y D44 de la bitácora de la 2.3, el índice de comorbilidad y las demás columnas del CMBD (</w:t>
      </w:r>
      <w:hyperlink w:history="1" w:anchor="E_D46">
        <w:r>
          <w:rPr>
            <w:color w:val="0563C1"/>
            <w:u w:val="single"/>
          </w:rPr>
          <w:t xml:space="preserve">D46</w:t>
        </w:r>
      </w:hyperlink>
      <w:r>
        <w:t xml:space="preserve"> a </w:t>
      </w:r>
      <w:hyperlink w:history="1" w:anchor="E_D49">
        <w:r>
          <w:rPr>
            <w:color w:val="0563C1"/>
            <w:u w:val="single"/>
          </w:rPr>
          <w:t xml:space="preserve">D49</w:t>
        </w:r>
      </w:hyperlink>
      <w:r>
        <w:t xml:space="preserve">). El cierre armará las tablas que usarán los modelos. Todo se calcula solo con el conjunto de desarrollo; el conjunto de prueba no se abre. Al terminar se pedirá una sola revisión al profesor guía, que incluirá la consulta sobre el umbral de V (</w:t>
      </w:r>
      <w:hyperlink w:history="1" w:anchor="E_H30">
        <w:r>
          <w:rPr>
            <w:color w:val="0563C1"/>
            <w:u w:val="single"/>
          </w:rPr>
          <w:t xml:space="preserve">H30</w:t>
        </w:r>
      </w:hyperlink>
      <w:r>
        <w:t xml:space="preserve">), el índice de comorbilidad (</w:t>
      </w:r>
      <w:hyperlink w:history="1" w:anchor="E_D48">
        <w:r>
          <w:rPr>
            <w:color w:val="0563C1"/>
            <w:u w:val="single"/>
          </w:rPr>
          <w:t xml:space="preserve">D48</w:t>
        </w:r>
      </w:hyperlink>
      <w:r>
        <w:t xml:space="preserve">) y el hospital como predictora (</w:t>
      </w:r>
      <w:hyperlink w:history="1" w:anchor="E_D49">
        <w:r>
          <w:rPr>
            <w:color w:val="0563C1"/>
            <w:u w:val="single"/>
          </w:rPr>
          <w:t xml:space="preserve">D49</w:t>
        </w:r>
      </w:hyperlink>
      <w:r>
        <w:t xml:space="preserve">).</w:t>
      </w:r>
    </w:p>
    <w:p>
      <w:r>
        <w:rPr>
          <w:b/>
          <w:bCs/>
        </w:rPr>
        <w:t xml:space="preserve">Tipos de entrada:</w:t>
      </w:r>
      <w:r>
        <w:t xml:space="preserve"> </w:t>
      </w:r>
      <w:r>
        <w:rPr>
          <w:rFonts w:ascii="Consolas" w:cs="Consolas" w:eastAsia="Consolas" w:hAnsi="Consolas"/>
          <w:sz w:val="20"/>
          <w:szCs w:val="20"/>
          <w:shd w:fill="F2F2F2" w:color="auto" w:val="clear"/>
        </w:rPr>
        <w:t xml:space="preserve">H</w:t>
      </w:r>
      <w:r>
        <w:t xml:space="preserve"> = hallazgo (algo que se observó en los datos), </w:t>
      </w:r>
      <w:r>
        <w:rPr>
          <w:rFonts w:ascii="Consolas" w:cs="Consolas" w:eastAsia="Consolas" w:hAnsi="Consolas"/>
          <w:sz w:val="20"/>
          <w:szCs w:val="20"/>
          <w:shd w:fill="F2F2F2" w:color="auto" w:val="clear"/>
        </w:rPr>
        <w:t xml:space="preserve">D</w:t>
      </w:r>
      <w:r>
        <w:t xml:space="preserve"> = decisión (algo que se resolvió hacer).</w:t>
      </w:r>
    </w:p>
    <w:p>
      <w:r>
        <w:rPr>
          <w:b/>
          <w:bCs/>
        </w:rPr>
        <w:t xml:space="preserve">Estados:</w:t>
      </w:r>
      <w:r>
        <w:t xml:space="preserve"> </w:t>
      </w:r>
      <w:r>
        <w:rPr>
          <w:i/>
          <w:iCs/>
        </w:rPr>
        <w:t xml:space="preserve">Adoptada</w:t>
      </w:r>
      <w:r>
        <w:t xml:space="preserve"> · </w:t>
      </w:r>
      <w:r>
        <w:rPr>
          <w:i/>
          <w:iCs/>
        </w:rPr>
        <w:t xml:space="preserve">Pendiente de validar con profesor guía</w:t>
      </w:r>
      <w:r>
        <w:t xml:space="preserve"> · </w:t>
      </w:r>
      <w:r>
        <w:rPr>
          <w:i/>
          <w:iCs/>
        </w:rPr>
        <w:t xml:space="preserve">Reemplazada por …</w:t>
      </w:r>
    </w:p>
    <w:p>
      <w:pPr>
        <w:pStyle w:val="Heading1"/>
      </w:pPr>
      <w:r>
        <w:t xml:space="preserve">Resumen de las definiciones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974"/>
        <w:gridCol w:w="1107"/>
        <w:gridCol w:w="4945"/>
      </w:tblGrid>
      <w:tr>
        <w:trPr>
          <w:cantSplit/>
          <w:tblHeader/>
        </w:trPr>
        <w:tc>
          <w:tcPr>
            <w:tcW w:type="dxa" w:w="2974"/>
            <w:shd w:fill="D9E2F3" w:color="auto" w:val="clear"/>
            <w:tcMar>
              <w:top w:type="dxa" w:w="70"/>
              <w:left w:type="dxa" w:w="100"/>
              <w:bottom w:type="dxa" w:w="70"/>
              <w:right w:type="dxa" w:w="100"/>
            </w:tcMar>
            <w:vAlign w:val="center"/>
          </w:tcPr>
          <w:p>
            <w:pPr>
              <w:spacing w:after="0"/>
            </w:pPr>
            <w:r>
              <w:rPr>
                <w:b/>
                <w:bCs/>
                <w:sz w:val="20"/>
                <w:szCs w:val="20"/>
              </w:rPr>
              <w:t xml:space="preserve">Tema</w:t>
            </w:r>
          </w:p>
        </w:tc>
        <w:tc>
          <w:tcPr>
            <w:tcW w:type="dxa" w:w="1107"/>
            <w:shd w:fill="D9E2F3" w:color="auto" w:val="clear"/>
            <w:tcMar>
              <w:top w:type="dxa" w:w="70"/>
              <w:left w:type="dxa" w:w="100"/>
              <w:bottom w:type="dxa" w:w="70"/>
              <w:right w:type="dxa" w:w="100"/>
            </w:tcMar>
            <w:vAlign w:val="center"/>
          </w:tcPr>
          <w:p>
            <w:pPr>
              <w:spacing w:after="0"/>
            </w:pPr>
            <w:r>
              <w:rPr>
                <w:b/>
                <w:bCs/>
                <w:sz w:val="20"/>
                <w:szCs w:val="20"/>
              </w:rPr>
              <w:t xml:space="preserve">Entrada</w:t>
            </w:r>
          </w:p>
        </w:tc>
        <w:tc>
          <w:tcPr>
            <w:tcW w:type="dxa" w:w="4945"/>
            <w:shd w:fill="D9E2F3" w:color="auto" w:val="clear"/>
            <w:tcMar>
              <w:top w:type="dxa" w:w="70"/>
              <w:left w:type="dxa" w:w="100"/>
              <w:bottom w:type="dxa" w:w="70"/>
              <w:right w:type="dxa" w:w="100"/>
            </w:tcMar>
            <w:vAlign w:val="center"/>
          </w:tcPr>
          <w:p>
            <w:pPr>
              <w:spacing w:after="0"/>
            </w:pPr>
            <w:r>
              <w:rPr>
                <w:b/>
                <w:bCs/>
                <w:sz w:val="20"/>
                <w:szCs w:val="20"/>
              </w:rPr>
              <w:t xml:space="preserve">Definición</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Filtro de códigos</w:t>
            </w:r>
          </w:p>
        </w:tc>
        <w:tc>
          <w:tcPr>
            <w:tcW w:type="dxa" w:w="1107"/>
            <w:tcMar>
              <w:top w:type="dxa" w:w="70"/>
              <w:left w:type="dxa" w:w="100"/>
              <w:bottom w:type="dxa" w:w="70"/>
              <w:right w:type="dxa" w:w="100"/>
            </w:tcMar>
            <w:vAlign w:val="center"/>
          </w:tcPr>
          <w:p>
            <w:pPr>
              <w:spacing w:after="0"/>
            </w:pPr>
            <w:hyperlink w:history="1" w:anchor="E_D45">
              <w:r>
                <w:rPr>
                  <w:color w:val="0563C1"/>
                  <w:sz w:val="20"/>
                  <w:szCs w:val="20"/>
                  <w:u w:val="single"/>
                </w:rPr>
                <w:t xml:space="preserve">D45</w:t>
              </w:r>
            </w:hyperlink>
          </w:p>
        </w:tc>
        <w:tc>
          <w:tcPr>
            <w:tcW w:type="dxa" w:w="4945"/>
            <w:tcMar>
              <w:top w:type="dxa" w:w="70"/>
              <w:left w:type="dxa" w:w="100"/>
              <w:bottom w:type="dxa" w:w="70"/>
              <w:right w:type="dxa" w:w="100"/>
            </w:tcMar>
            <w:vAlign w:val="center"/>
          </w:tcPr>
          <w:p>
            <w:pPr>
              <w:spacing w:after="0"/>
            </w:pPr>
            <w:r>
              <w:rPr>
                <w:sz w:val="20"/>
                <w:szCs w:val="20"/>
              </w:rPr>
              <w:t xml:space="preserve">Para cada variable de reingreso pasa un código de diagnóstico o de procedimiento si su V de Cramér es mayor o igual a 0,01 y lo tienen al menos 100 casos de estudio con dato en esa variable. Se calcula una sola vez con todo el conjunto de desarrollo y la lista queda fija.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La V y los códigos poco frecuentes</w:t>
            </w:r>
          </w:p>
        </w:tc>
        <w:tc>
          <w:tcPr>
            <w:tcW w:type="dxa" w:w="1107"/>
            <w:tcMar>
              <w:top w:type="dxa" w:w="70"/>
              <w:left w:type="dxa" w:w="100"/>
              <w:bottom w:type="dxa" w:w="70"/>
              <w:right w:type="dxa" w:w="100"/>
            </w:tcMar>
            <w:vAlign w:val="center"/>
          </w:tcPr>
          <w:p>
            <w:pPr>
              <w:spacing w:after="0"/>
            </w:pPr>
            <w:hyperlink w:history="1" w:anchor="E_H30">
              <w:r>
                <w:rPr>
                  <w:color w:val="0563C1"/>
                  <w:sz w:val="20"/>
                  <w:szCs w:val="20"/>
                  <w:u w:val="single"/>
                </w:rPr>
                <w:t xml:space="preserve">H30</w:t>
              </w:r>
            </w:hyperlink>
          </w:p>
        </w:tc>
        <w:tc>
          <w:tcPr>
            <w:tcW w:type="dxa" w:w="4945"/>
            <w:tcMar>
              <w:top w:type="dxa" w:w="70"/>
              <w:left w:type="dxa" w:w="100"/>
              <w:bottom w:type="dxa" w:w="70"/>
              <w:right w:type="dxa" w:w="100"/>
            </w:tcMar>
            <w:vAlign w:val="center"/>
          </w:tcPr>
          <w:p>
            <w:pPr>
              <w:spacing w:after="0"/>
            </w:pPr>
            <w:r>
              <w:rPr>
                <w:sz w:val="20"/>
                <w:szCs w:val="20"/>
              </w:rPr>
              <w:t xml:space="preserve">La V mezcla la fuerza del efecto con la frecuencia del código. Con </w:t>
            </w:r>
            <w:r>
              <w:rPr>
                <w:rFonts w:ascii="Consolas" w:cs="Consolas" w:eastAsia="Consolas" w:hAnsi="Consolas"/>
                <w:sz w:val="18"/>
                <w:szCs w:val="18"/>
                <w:shd w:fill="F2F2F2" w:color="auto" w:val="clear"/>
              </w:rPr>
              <w:t xml:space="preserve">REING_30D</w:t>
            </w:r>
            <w:r>
              <w:rPr>
                <w:sz w:val="20"/>
                <w:szCs w:val="20"/>
              </w:rPr>
              <w:t xml:space="preserve"> deja fuera 1.178 códigos con 100 casos o más que duplican o reducen a la mitad el riesgo. Se propone comparar en la 3.2 los modelos con la lista actual y con una lista ampliada.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Códigos que cambian con los años</w:t>
            </w:r>
          </w:p>
        </w:tc>
        <w:tc>
          <w:tcPr>
            <w:tcW w:type="dxa" w:w="1107"/>
            <w:tcMar>
              <w:top w:type="dxa" w:w="70"/>
              <w:left w:type="dxa" w:w="100"/>
              <w:bottom w:type="dxa" w:w="70"/>
              <w:right w:type="dxa" w:w="100"/>
            </w:tcMar>
            <w:vAlign w:val="center"/>
          </w:tcPr>
          <w:p>
            <w:pPr>
              <w:spacing w:after="0"/>
            </w:pPr>
            <w:hyperlink w:history="1" w:anchor="E_H31">
              <w:r>
                <w:rPr>
                  <w:color w:val="0563C1"/>
                  <w:sz w:val="20"/>
                  <w:szCs w:val="20"/>
                  <w:u w:val="single"/>
                </w:rPr>
                <w:t xml:space="preserve">H31</w:t>
              </w:r>
            </w:hyperlink>
          </w:p>
        </w:tc>
        <w:tc>
          <w:tcPr>
            <w:tcW w:type="dxa" w:w="4945"/>
            <w:tcMar>
              <w:top w:type="dxa" w:w="70"/>
              <w:left w:type="dxa" w:w="100"/>
              <w:bottom w:type="dxa" w:w="70"/>
              <w:right w:type="dxa" w:w="100"/>
            </w:tcMar>
            <w:vAlign w:val="center"/>
          </w:tcPr>
          <w:p>
            <w:pPr>
              <w:spacing w:after="0"/>
            </w:pPr>
            <w:r>
              <w:rPr>
                <w:sz w:val="20"/>
                <w:szCs w:val="20"/>
              </w:rPr>
              <w:t xml:space="preserve">27 de los 423 códigos que pasan con </w:t>
            </w:r>
            <w:r>
              <w:rPr>
                <w:rFonts w:ascii="Consolas" w:cs="Consolas" w:eastAsia="Consolas" w:hAnsi="Consolas"/>
                <w:sz w:val="18"/>
                <w:szCs w:val="18"/>
                <w:shd w:fill="F2F2F2" w:color="auto" w:val="clear"/>
              </w:rPr>
              <w:t xml:space="preserve">REING_30D</w:t>
            </w:r>
            <w:r>
              <w:rPr>
                <w:sz w:val="20"/>
                <w:szCs w:val="20"/>
              </w:rPr>
              <w:t xml:space="preserve"> cambian su frecuencia más del triple entre años; varios siguen el ritmo de la pandemia.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Códigos que dependen de una persona</w:t>
            </w:r>
          </w:p>
        </w:tc>
        <w:tc>
          <w:tcPr>
            <w:tcW w:type="dxa" w:w="1107"/>
            <w:tcMar>
              <w:top w:type="dxa" w:w="70"/>
              <w:left w:type="dxa" w:w="100"/>
              <w:bottom w:type="dxa" w:w="70"/>
              <w:right w:type="dxa" w:w="100"/>
            </w:tcMar>
            <w:vAlign w:val="center"/>
          </w:tcPr>
          <w:p>
            <w:pPr>
              <w:spacing w:after="0"/>
            </w:pPr>
            <w:hyperlink w:history="1" w:anchor="E_H32">
              <w:r>
                <w:rPr>
                  <w:color w:val="0563C1"/>
                  <w:sz w:val="20"/>
                  <w:szCs w:val="20"/>
                  <w:u w:val="single"/>
                </w:rPr>
                <w:t xml:space="preserve">H32</w:t>
              </w:r>
            </w:hyperlink>
          </w:p>
        </w:tc>
        <w:tc>
          <w:tcPr>
            <w:tcW w:type="dxa" w:w="4945"/>
            <w:tcMar>
              <w:top w:type="dxa" w:w="70"/>
              <w:left w:type="dxa" w:w="100"/>
              <w:bottom w:type="dxa" w:w="70"/>
              <w:right w:type="dxa" w:w="100"/>
            </w:tcMar>
            <w:vAlign w:val="center"/>
          </w:tcPr>
          <w:p>
            <w:pPr>
              <w:spacing w:after="0"/>
            </w:pPr>
            <w:r>
              <w:rPr>
                <w:sz w:val="20"/>
                <w:szCs w:val="20"/>
              </w:rPr>
              <w:t xml:space="preserve">El único código que deja fuera solo el mínimo de 100 casos debe 18 de sus 19 reingresos a una misma paciente. Entre los que pasan, solo dos dependen así de una persona.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Variables de la propuesta</w:t>
            </w:r>
          </w:p>
        </w:tc>
        <w:tc>
          <w:tcPr>
            <w:tcW w:type="dxa" w:w="1107"/>
            <w:tcMar>
              <w:top w:type="dxa" w:w="70"/>
              <w:left w:type="dxa" w:w="100"/>
              <w:bottom w:type="dxa" w:w="70"/>
              <w:right w:type="dxa" w:w="100"/>
            </w:tcMar>
            <w:vAlign w:val="center"/>
          </w:tcPr>
          <w:p>
            <w:pPr>
              <w:spacing w:after="0"/>
            </w:pPr>
            <w:hyperlink w:history="1" w:anchor="E_D46">
              <w:r>
                <w:rPr>
                  <w:color w:val="0563C1"/>
                  <w:sz w:val="20"/>
                  <w:szCs w:val="20"/>
                  <w:u w:val="single"/>
                </w:rPr>
                <w:t xml:space="preserve">D46</w:t>
              </w:r>
            </w:hyperlink>
          </w:p>
        </w:tc>
        <w:tc>
          <w:tcPr>
            <w:tcW w:type="dxa" w:w="4945"/>
            <w:tcMar>
              <w:top w:type="dxa" w:w="70"/>
              <w:left w:type="dxa" w:w="100"/>
              <w:bottom w:type="dxa" w:w="70"/>
              <w:right w:type="dxa" w:w="100"/>
            </w:tcMar>
            <w:vAlign w:val="center"/>
          </w:tcPr>
          <w:p>
            <w:pPr>
              <w:spacing w:after="0"/>
            </w:pPr>
            <w:r>
              <w:rPr>
                <w:sz w:val="20"/>
                <w:szCs w:val="20"/>
              </w:rPr>
              <w:t xml:space="preserve">Edad al propio ingreso, sexo, previsión en 8 grupos, región desde la provincia, tipo de ingreso, estadía del episodio completo, CDM y peso GRD. Los faltantes quedan como SIN DATO, sin imputar.</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Historia de 12 meses</w:t>
            </w:r>
          </w:p>
        </w:tc>
        <w:tc>
          <w:tcPr>
            <w:tcW w:type="dxa" w:w="1107"/>
            <w:tcMar>
              <w:top w:type="dxa" w:w="70"/>
              <w:left w:type="dxa" w:w="100"/>
              <w:bottom w:type="dxa" w:w="70"/>
              <w:right w:type="dxa" w:w="100"/>
            </w:tcMar>
            <w:vAlign w:val="center"/>
          </w:tcPr>
          <w:p>
            <w:pPr>
              <w:spacing w:after="0"/>
            </w:pPr>
            <w:hyperlink w:history="1" w:anchor="E_D47">
              <w:r>
                <w:rPr>
                  <w:color w:val="0563C1"/>
                  <w:sz w:val="20"/>
                  <w:szCs w:val="20"/>
                  <w:u w:val="single"/>
                </w:rPr>
                <w:t xml:space="preserve">D47</w:t>
              </w:r>
            </w:hyperlink>
          </w:p>
        </w:tc>
        <w:tc>
          <w:tcPr>
            <w:tcW w:type="dxa" w:w="4945"/>
            <w:tcMar>
              <w:top w:type="dxa" w:w="70"/>
              <w:left w:type="dxa" w:w="100"/>
              <w:bottom w:type="dxa" w:w="70"/>
              <w:right w:type="dxa" w:w="100"/>
            </w:tcMar>
            <w:vAlign w:val="center"/>
          </w:tcPr>
          <w:p>
            <w:pPr>
              <w:spacing w:after="0"/>
            </w:pPr>
            <w:r>
              <w:rPr>
                <w:sz w:val="20"/>
                <w:szCs w:val="20"/>
              </w:rPr>
              <w:t xml:space="preserve">Hospitalizaciones previas (todas y las no planificadas), días desde la última, cirugías mayores ambulatorias y sesiones en los 365 días antes del ingreso índice, sin el propio episodio, y la marca de ventana cortada.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Índice de comorbilidad</w:t>
            </w:r>
          </w:p>
        </w:tc>
        <w:tc>
          <w:tcPr>
            <w:tcW w:type="dxa" w:w="1107"/>
            <w:tcMar>
              <w:top w:type="dxa" w:w="70"/>
              <w:left w:type="dxa" w:w="100"/>
              <w:bottom w:type="dxa" w:w="70"/>
              <w:right w:type="dxa" w:w="100"/>
            </w:tcMar>
            <w:vAlign w:val="center"/>
          </w:tcPr>
          <w:p>
            <w:pPr>
              <w:spacing w:after="0"/>
            </w:pPr>
            <w:hyperlink w:history="1" w:anchor="E_D48">
              <w:r>
                <w:rPr>
                  <w:color w:val="0563C1"/>
                  <w:sz w:val="20"/>
                  <w:szCs w:val="20"/>
                  <w:u w:val="single"/>
                </w:rPr>
                <w:t xml:space="preserve">D48</w:t>
              </w:r>
            </w:hyperlink>
          </w:p>
        </w:tc>
        <w:tc>
          <w:tcPr>
            <w:tcW w:type="dxa" w:w="4945"/>
            <w:tcMar>
              <w:top w:type="dxa" w:w="70"/>
              <w:left w:type="dxa" w:w="100"/>
              <w:bottom w:type="dxa" w:w="70"/>
              <w:right w:type="dxa" w:w="100"/>
            </w:tcMar>
            <w:vAlign w:val="center"/>
          </w:tcPr>
          <w:p>
            <w:pPr>
              <w:spacing w:after="0"/>
            </w:pPr>
            <w:r>
              <w:rPr>
                <w:sz w:val="20"/>
                <w:szCs w:val="20"/>
              </w:rPr>
              <w:t xml:space="preserve">Número de condiciones de Elixhauser (Quan et al., 2005) en todos los diagnósticos del egreso, con tres jerarquías; Charlson con los pesos de Quan et al. (2011) como comparación.</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Demás columnas del CMBD</w:t>
            </w:r>
          </w:p>
        </w:tc>
        <w:tc>
          <w:tcPr>
            <w:tcW w:type="dxa" w:w="1107"/>
            <w:tcMar>
              <w:top w:type="dxa" w:w="70"/>
              <w:left w:type="dxa" w:w="100"/>
              <w:bottom w:type="dxa" w:w="70"/>
              <w:right w:type="dxa" w:w="100"/>
            </w:tcMar>
            <w:vAlign w:val="center"/>
          </w:tcPr>
          <w:p>
            <w:pPr>
              <w:spacing w:after="0"/>
            </w:pPr>
            <w:hyperlink w:history="1" w:anchor="E_D49">
              <w:r>
                <w:rPr>
                  <w:color w:val="0563C1"/>
                  <w:sz w:val="20"/>
                  <w:szCs w:val="20"/>
                  <w:u w:val="single"/>
                </w:rPr>
                <w:t xml:space="preserve">D49</w:t>
              </w:r>
            </w:hyperlink>
          </w:p>
        </w:tc>
        <w:tc>
          <w:tcPr>
            <w:tcW w:type="dxa" w:w="4945"/>
            <w:tcMar>
              <w:top w:type="dxa" w:w="70"/>
              <w:left w:type="dxa" w:w="100"/>
              <w:bottom w:type="dxa" w:w="70"/>
              <w:right w:type="dxa" w:w="100"/>
            </w:tcMar>
            <w:vAlign w:val="center"/>
          </w:tcPr>
          <w:p>
            <w:pPr>
              <w:spacing w:after="0"/>
            </w:pPr>
            <w:r>
              <w:rPr>
                <w:sz w:val="20"/>
                <w:szCs w:val="20"/>
              </w:rPr>
              <w:t xml:space="preserve">Entran sin filtro las 15 columnas que describen al paciente o su hospitalización; en las tomadas tal cual, los valores con menos de 100 casos pasan a OTRO. El hospital queda en la tabla y su uso como predictora se consulta.</w:t>
            </w:r>
          </w:p>
        </w:tc>
      </w:tr>
      <w:tr>
        <w:trPr>
          <w:cantSplit/>
          <w:tblHeader w:val="off"/>
        </w:trPr>
        <w:tc>
          <w:tcPr>
            <w:tcW w:type="dxa" w:w="2974"/>
            <w:tcMar>
              <w:top w:type="dxa" w:w="70"/>
              <w:left w:type="dxa" w:w="100"/>
              <w:bottom w:type="dxa" w:w="70"/>
              <w:right w:type="dxa" w:w="100"/>
            </w:tcMar>
            <w:vAlign w:val="center"/>
          </w:tcPr>
          <w:p>
            <w:pPr>
              <w:spacing w:after="0"/>
            </w:pPr>
            <w:r>
              <w:rPr>
                <w:sz w:val="20"/>
                <w:szCs w:val="20"/>
              </w:rPr>
              <w:t xml:space="preserve">Tratamientos periódicos</w:t>
            </w:r>
          </w:p>
        </w:tc>
        <w:tc>
          <w:tcPr>
            <w:tcW w:type="dxa" w:w="1107"/>
            <w:tcMar>
              <w:top w:type="dxa" w:w="70"/>
              <w:left w:type="dxa" w:w="100"/>
              <w:bottom w:type="dxa" w:w="70"/>
              <w:right w:type="dxa" w:w="100"/>
            </w:tcMar>
            <w:vAlign w:val="center"/>
          </w:tcPr>
          <w:p>
            <w:pPr>
              <w:spacing w:after="0"/>
            </w:pPr>
            <w:hyperlink w:history="1" w:anchor="E_H33">
              <w:r>
                <w:rPr>
                  <w:color w:val="0563C1"/>
                  <w:sz w:val="20"/>
                  <w:szCs w:val="20"/>
                  <w:u w:val="single"/>
                </w:rPr>
                <w:t xml:space="preserve">H33</w:t>
              </w:r>
            </w:hyperlink>
          </w:p>
        </w:tc>
        <w:tc>
          <w:tcPr>
            <w:tcW w:type="dxa" w:w="4945"/>
            <w:tcMar>
              <w:top w:type="dxa" w:w="70"/>
              <w:left w:type="dxa" w:w="100"/>
              <w:bottom w:type="dxa" w:w="70"/>
              <w:right w:type="dxa" w:w="100"/>
            </w:tcMar>
            <w:vAlign w:val="center"/>
          </w:tcPr>
          <w:p>
            <w:pPr>
              <w:spacing w:after="0"/>
            </w:pPr>
            <w:r>
              <w:rPr>
                <w:sz w:val="20"/>
                <w:szCs w:val="20"/>
              </w:rPr>
              <w:t xml:space="preserve">Trece personas con tratamientos de un día sin código Z51 suman 697 casos con 50 o más hospitalizaciones previas.</w:t>
            </w:r>
          </w:p>
        </w:tc>
      </w:tr>
    </w:tbl>
    <w:p>
      <w:pPr>
        <w:spacing w:after="0"/>
      </w:pPr>
    </w:p>
    <w:p>
      <w:pPr>
        <w:pStyle w:val="Heading1"/>
      </w:pPr>
      <w:r>
        <w:t xml:space="preserve">Entradas</w:t>
      </w:r>
    </w:p>
    <w:p>
      <w:pPr>
        <w:pStyle w:val="Heading2"/>
      </w:pPr>
      <w:bookmarkStart w:name="E_D45" w:id="1"/>
      <w:r>
        <w:rPr>
          <w:color w:val="548235"/>
        </w:rPr>
        <w:t xml:space="preserve">D45</w:t>
      </w:r>
      <w:bookmarkEnd w:id="1"/>
      <w:r>
        <w:t xml:space="preserve"> · Filtro de los códigos por tamaño de efecto</w:t>
      </w:r>
    </w:p>
    <w:p>
      <w:pPr>
        <w:keepNext/>
        <w:spacing w:after="100"/>
      </w:pPr>
      <w:r>
        <w:rPr>
          <w:b/>
          <w:bCs/>
          <w:color w:val="548235"/>
          <w:sz w:val="18"/>
          <w:szCs w:val="18"/>
        </w:rPr>
        <w:t xml:space="preserve">Decisión</w:t>
      </w:r>
      <w:r>
        <w:rPr>
          <w:color w:val="808080"/>
          <w:sz w:val="18"/>
          <w:szCs w:val="18"/>
        </w:rPr>
        <w:t xml:space="preserve">  ·  28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Los diagnósticos (CIE-10) y los procedimientos (CIE-9-MC) de cada caso de estudio se usan como indicadores sí/no. Para cada una de las cuatro variables de reingreso y cada código se arma la tabla de 2×2 (tiene o no el código, reingresa o no) con los casos de estudio que tienen dato en esa variable, y se calculan el chi-cuadrado de Pearson (sin corrección de Yates), su valor p y la V de Cramér, que en una tabla de 2×2 es la raíz de chi-cuadrado dividido por el número de casos. Pasa un código si su V es mayor o igual a 0,01 y lo tienen al menos 100 casos. El valor p se informa, pero no decide.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Detalle</w:t>
            </w:r>
          </w:p>
        </w:tc>
        <w:tc>
          <w:tcPr>
            <w:tcW w:type="dxa" w:w="7226"/>
            <w:tcMar>
              <w:top w:type="dxa" w:w="70"/>
              <w:left w:type="dxa" w:w="100"/>
              <w:bottom w:type="dxa" w:w="70"/>
              <w:right w:type="dxa" w:w="100"/>
            </w:tcMar>
          </w:tcPr>
          <w:p>
            <w:pPr>
              <w:keepNext/>
              <w:spacing w:after="0" w:before="0"/>
            </w:pPr>
            <w:r>
              <w:rPr>
                <w:sz w:val="20"/>
                <w:szCs w:val="20"/>
              </w:rPr>
              <w:t xml:space="preserve">Se usa el código completo, tal como viene (E11.9), en cualquier posición; un código repetido en un caso cuenta una vez. Los casos sin dato en una variable no entran en su filtro: las variables de 30 días no incluyen los casos sin 60 días de seguimiento (D30 de la bitácora de la 2.2), y las de misma CDM no incluyen los partos (D38). Pasan tanto los códigos que suben el riesgo como los que lo bajan.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Una sola vez y fijo</w:t>
            </w:r>
          </w:p>
        </w:tc>
        <w:tc>
          <w:tcPr>
            <w:tcW w:type="dxa" w:w="7226"/>
            <w:tcMar>
              <w:top w:type="dxa" w:w="70"/>
              <w:left w:type="dxa" w:w="100"/>
              <w:bottom w:type="dxa" w:w="70"/>
              <w:right w:type="dxa" w:w="100"/>
            </w:tcMar>
          </w:tcPr>
          <w:p>
            <w:pPr>
              <w:keepNext/>
              <w:spacing w:after="0" w:before="0"/>
            </w:pPr>
            <w:r>
              <w:rPr>
                <w:sz w:val="20"/>
                <w:szCs w:val="20"/>
              </w:rPr>
              <w:t xml:space="preserve">El filtro se calcula una vez con todo el conjunto de desarrollo y la lista queda fija: las etapas siguientes la aplican sin recalcularla, también al conjunto de prueba en la evaluación final. Es lo que dice la Etapa 3 de la propuesta («los umbrales y los códigos retenidos quedan fijados aquí y se aplican después sin recalcular»); la reserva previa del conjunto de prueba controla la fuga desde la selección hacia la estimación final (Etapa 4). El ajuste dentro de cada partición de D37 vale para los pasos de los modelos de la actividad 3.2, como el desbalance o los datos faltantes.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80" w:before="0"/>
            </w:pPr>
            <w:r>
              <w:rPr>
                <w:sz w:val="20"/>
                <w:szCs w:val="20"/>
              </w:rPr>
              <w:t xml:space="preserve">En los 3.354.118 casos de estudio de desarrollo hay 16.336 diagnósticos y 3.753 procedimientos distintos (18.458.052 y 29.327.510 pares caso–código; 5,50 y 8,74 por caso).</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10"/>
              <w:gridCol w:w="1027"/>
              <w:gridCol w:w="1123"/>
              <w:gridCol w:w="1314"/>
              <w:gridCol w:w="1506"/>
              <w:gridCol w:w="646"/>
            </w:tblGrid>
            <w:tr>
              <w:trPr>
                <w:cantSplit/>
                <w:tblHeader/>
              </w:trPr>
              <w:tc>
                <w:tcPr>
                  <w:tcW w:type="dxa" w:w="1410"/>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1027"/>
                  <w:shd w:fill="D9E2F3" w:color="auto" w:val="clear"/>
                  <w:tcMar>
                    <w:top w:type="dxa" w:w="70"/>
                    <w:left w:type="dxa" w:w="100"/>
                    <w:bottom w:type="dxa" w:w="70"/>
                    <w:right w:type="dxa" w:w="100"/>
                  </w:tcMar>
                  <w:vAlign w:val="center"/>
                </w:tcPr>
                <w:p>
                  <w:pPr>
                    <w:spacing w:after="0"/>
                  </w:pPr>
                  <w:r>
                    <w:rPr>
                      <w:b/>
                      <w:bCs/>
                      <w:sz w:val="18"/>
                      <w:szCs w:val="18"/>
                    </w:rPr>
                    <w:t xml:space="preserve">Casos con dato</w:t>
                  </w:r>
                </w:p>
              </w:tc>
              <w:tc>
                <w:tcPr>
                  <w:tcW w:type="dxa" w:w="1123"/>
                  <w:shd w:fill="D9E2F3" w:color="auto" w:val="clear"/>
                  <w:tcMar>
                    <w:top w:type="dxa" w:w="70"/>
                    <w:left w:type="dxa" w:w="100"/>
                    <w:bottom w:type="dxa" w:w="70"/>
                    <w:right w:type="dxa" w:w="100"/>
                  </w:tcMar>
                  <w:vAlign w:val="center"/>
                </w:tcPr>
                <w:p>
                  <w:pPr>
                    <w:spacing w:after="0"/>
                  </w:pPr>
                  <w:r>
                    <w:rPr>
                      <w:b/>
                      <w:bCs/>
                      <w:sz w:val="18"/>
                      <w:szCs w:val="18"/>
                    </w:rPr>
                    <w:t xml:space="preserve">Reingresos</w:t>
                  </w:r>
                </w:p>
              </w:tc>
              <w:tc>
                <w:tcPr>
                  <w:tcW w:type="dxa" w:w="1314"/>
                  <w:shd w:fill="D9E2F3" w:color="auto" w:val="clear"/>
                  <w:tcMar>
                    <w:top w:type="dxa" w:w="70"/>
                    <w:left w:type="dxa" w:w="100"/>
                    <w:bottom w:type="dxa" w:w="70"/>
                    <w:right w:type="dxa" w:w="100"/>
                  </w:tcMar>
                  <w:vAlign w:val="center"/>
                </w:tcPr>
                <w:p>
                  <w:pPr>
                    <w:spacing w:after="0"/>
                  </w:pPr>
                  <w:r>
                    <w:rPr>
                      <w:b/>
                      <w:bCs/>
                      <w:sz w:val="18"/>
                      <w:szCs w:val="18"/>
                    </w:rPr>
                    <w:t xml:space="preserve">Diagnósticos que pasan</w:t>
                  </w:r>
                </w:p>
              </w:tc>
              <w:tc>
                <w:tcPr>
                  <w:tcW w:type="dxa" w:w="1506"/>
                  <w:shd w:fill="D9E2F3" w:color="auto" w:val="clear"/>
                  <w:tcMar>
                    <w:top w:type="dxa" w:w="70"/>
                    <w:left w:type="dxa" w:w="100"/>
                    <w:bottom w:type="dxa" w:w="70"/>
                    <w:right w:type="dxa" w:w="100"/>
                  </w:tcMar>
                  <w:vAlign w:val="center"/>
                </w:tcPr>
                <w:p>
                  <w:pPr>
                    <w:spacing w:after="0"/>
                  </w:pPr>
                  <w:r>
                    <w:rPr>
                      <w:b/>
                      <w:bCs/>
                      <w:sz w:val="18"/>
                      <w:szCs w:val="18"/>
                    </w:rPr>
                    <w:t xml:space="preserve">Procedimientos que pasan</w:t>
                  </w:r>
                </w:p>
              </w:tc>
              <w:tc>
                <w:tcPr>
                  <w:tcW w:type="dxa" w:w="646"/>
                  <w:shd w:fill="D9E2F3" w:color="auto" w:val="clear"/>
                  <w:tcMar>
                    <w:top w:type="dxa" w:w="70"/>
                    <w:left w:type="dxa" w:w="100"/>
                    <w:bottom w:type="dxa" w:w="70"/>
                    <w:right w:type="dxa" w:w="100"/>
                  </w:tcMar>
                  <w:vAlign w:val="center"/>
                </w:tcPr>
                <w:p>
                  <w:pPr>
                    <w:spacing w:after="0"/>
                  </w:pPr>
                  <w:r>
                    <w:rPr>
                      <w:b/>
                      <w:bCs/>
                      <w:sz w:val="18"/>
                      <w:szCs w:val="18"/>
                    </w:rPr>
                    <w:t xml:space="preserve">Total</w:t>
                  </w:r>
                </w:p>
              </w:tc>
            </w:tr>
            <w:tr>
              <w:trPr>
                <w:cantSplit/>
                <w:tblHeader w:val="off"/>
              </w:trPr>
              <w:tc>
                <w:tcPr>
                  <w:tcW w:type="dxa" w:w="1410"/>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w:t>
                  </w:r>
                </w:p>
              </w:tc>
              <w:tc>
                <w:tcPr>
                  <w:tcW w:type="dxa" w:w="1027"/>
                  <w:tcMar>
                    <w:top w:type="dxa" w:w="70"/>
                    <w:left w:type="dxa" w:w="100"/>
                    <w:bottom w:type="dxa" w:w="70"/>
                    <w:right w:type="dxa" w:w="100"/>
                  </w:tcMar>
                  <w:vAlign w:val="center"/>
                </w:tcPr>
                <w:p>
                  <w:pPr>
                    <w:spacing w:after="0"/>
                  </w:pPr>
                  <w:r>
                    <w:rPr>
                      <w:sz w:val="18"/>
                      <w:szCs w:val="18"/>
                    </w:rPr>
                    <w:t xml:space="preserve">3.354.118</w:t>
                  </w:r>
                </w:p>
              </w:tc>
              <w:tc>
                <w:tcPr>
                  <w:tcW w:type="dxa" w:w="1123"/>
                  <w:tcMar>
                    <w:top w:type="dxa" w:w="70"/>
                    <w:left w:type="dxa" w:w="100"/>
                    <w:bottom w:type="dxa" w:w="70"/>
                    <w:right w:type="dxa" w:w="100"/>
                  </w:tcMar>
                  <w:vAlign w:val="center"/>
                </w:tcPr>
                <w:p>
                  <w:pPr>
                    <w:spacing w:after="0"/>
                  </w:pPr>
                  <w:r>
                    <w:rPr>
                      <w:sz w:val="18"/>
                      <w:szCs w:val="18"/>
                    </w:rPr>
                    <w:t xml:space="preserve">69.299 (2,07 %)</w:t>
                  </w:r>
                </w:p>
              </w:tc>
              <w:tc>
                <w:tcPr>
                  <w:tcW w:type="dxa" w:w="1314"/>
                  <w:tcMar>
                    <w:top w:type="dxa" w:w="70"/>
                    <w:left w:type="dxa" w:w="100"/>
                    <w:bottom w:type="dxa" w:w="70"/>
                    <w:right w:type="dxa" w:w="100"/>
                  </w:tcMar>
                  <w:vAlign w:val="center"/>
                </w:tcPr>
                <w:p>
                  <w:pPr>
                    <w:spacing w:after="0"/>
                  </w:pPr>
                  <w:r>
                    <w:rPr>
                      <w:sz w:val="18"/>
                      <w:szCs w:val="18"/>
                    </w:rPr>
                    <w:t xml:space="preserve">60</w:t>
                  </w:r>
                </w:p>
              </w:tc>
              <w:tc>
                <w:tcPr>
                  <w:tcW w:type="dxa" w:w="1506"/>
                  <w:tcMar>
                    <w:top w:type="dxa" w:w="70"/>
                    <w:left w:type="dxa" w:w="100"/>
                    <w:bottom w:type="dxa" w:w="70"/>
                    <w:right w:type="dxa" w:w="100"/>
                  </w:tcMar>
                  <w:vAlign w:val="center"/>
                </w:tcPr>
                <w:p>
                  <w:pPr>
                    <w:spacing w:after="0"/>
                  </w:pPr>
                  <w:r>
                    <w:rPr>
                      <w:sz w:val="18"/>
                      <w:szCs w:val="18"/>
                    </w:rPr>
                    <w:t xml:space="preserve">48</w:t>
                  </w:r>
                </w:p>
              </w:tc>
              <w:tc>
                <w:tcPr>
                  <w:tcW w:type="dxa" w:w="646"/>
                  <w:tcMar>
                    <w:top w:type="dxa" w:w="70"/>
                    <w:left w:type="dxa" w:w="100"/>
                    <w:bottom w:type="dxa" w:w="70"/>
                    <w:right w:type="dxa" w:w="100"/>
                  </w:tcMar>
                  <w:vAlign w:val="center"/>
                </w:tcPr>
                <w:p>
                  <w:pPr>
                    <w:spacing w:after="0"/>
                  </w:pPr>
                  <w:r>
                    <w:rPr>
                      <w:sz w:val="18"/>
                      <w:szCs w:val="18"/>
                    </w:rPr>
                    <w:t xml:space="preserve">108</w:t>
                  </w:r>
                </w:p>
              </w:tc>
            </w:tr>
            <w:tr>
              <w:trPr>
                <w:cantSplit/>
                <w:tblHeader w:val="off"/>
              </w:trPr>
              <w:tc>
                <w:tcPr>
                  <w:tcW w:type="dxa" w:w="1410"/>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REING_7D_CDM</w:t>
                  </w:r>
                </w:p>
              </w:tc>
              <w:tc>
                <w:tcPr>
                  <w:tcW w:type="dxa" w:w="1027"/>
                  <w:tcMar>
                    <w:top w:type="dxa" w:w="70"/>
                    <w:left w:type="dxa" w:w="100"/>
                    <w:bottom w:type="dxa" w:w="70"/>
                    <w:right w:type="dxa" w:w="100"/>
                  </w:tcMar>
                  <w:vAlign w:val="center"/>
                </w:tcPr>
                <w:p>
                  <w:pPr>
                    <w:spacing w:after="0"/>
                  </w:pPr>
                  <w:r>
                    <w:rPr>
                      <w:sz w:val="18"/>
                      <w:szCs w:val="18"/>
                    </w:rPr>
                    <w:t xml:space="preserve">2.861.785</w:t>
                  </w:r>
                </w:p>
              </w:tc>
              <w:tc>
                <w:tcPr>
                  <w:tcW w:type="dxa" w:w="1123"/>
                  <w:tcMar>
                    <w:top w:type="dxa" w:w="70"/>
                    <w:left w:type="dxa" w:w="100"/>
                    <w:bottom w:type="dxa" w:w="70"/>
                    <w:right w:type="dxa" w:w="100"/>
                  </w:tcMar>
                  <w:vAlign w:val="center"/>
                </w:tcPr>
                <w:p>
                  <w:pPr>
                    <w:spacing w:after="0"/>
                  </w:pPr>
                  <w:r>
                    <w:rPr>
                      <w:sz w:val="18"/>
                      <w:szCs w:val="18"/>
                    </w:rPr>
                    <w:t xml:space="preserve">36.200 (1,26 %)</w:t>
                  </w:r>
                </w:p>
              </w:tc>
              <w:tc>
                <w:tcPr>
                  <w:tcW w:type="dxa" w:w="1314"/>
                  <w:tcMar>
                    <w:top w:type="dxa" w:w="70"/>
                    <w:left w:type="dxa" w:w="100"/>
                    <w:bottom w:type="dxa" w:w="70"/>
                    <w:right w:type="dxa" w:w="100"/>
                  </w:tcMar>
                  <w:vAlign w:val="center"/>
                </w:tcPr>
                <w:p>
                  <w:pPr>
                    <w:spacing w:after="0"/>
                  </w:pPr>
                  <w:r>
                    <w:rPr>
                      <w:sz w:val="18"/>
                      <w:szCs w:val="18"/>
                    </w:rPr>
                    <w:t xml:space="preserve">43</w:t>
                  </w:r>
                </w:p>
              </w:tc>
              <w:tc>
                <w:tcPr>
                  <w:tcW w:type="dxa" w:w="1506"/>
                  <w:tcMar>
                    <w:top w:type="dxa" w:w="70"/>
                    <w:left w:type="dxa" w:w="100"/>
                    <w:bottom w:type="dxa" w:w="70"/>
                    <w:right w:type="dxa" w:w="100"/>
                  </w:tcMar>
                  <w:vAlign w:val="center"/>
                </w:tcPr>
                <w:p>
                  <w:pPr>
                    <w:spacing w:after="0"/>
                  </w:pPr>
                  <w:r>
                    <w:rPr>
                      <w:sz w:val="18"/>
                      <w:szCs w:val="18"/>
                    </w:rPr>
                    <w:t xml:space="preserve">14</w:t>
                  </w:r>
                </w:p>
              </w:tc>
              <w:tc>
                <w:tcPr>
                  <w:tcW w:type="dxa" w:w="646"/>
                  <w:tcMar>
                    <w:top w:type="dxa" w:w="70"/>
                    <w:left w:type="dxa" w:w="100"/>
                    <w:bottom w:type="dxa" w:w="70"/>
                    <w:right w:type="dxa" w:w="100"/>
                  </w:tcMar>
                  <w:vAlign w:val="center"/>
                </w:tcPr>
                <w:p>
                  <w:pPr>
                    <w:spacing w:after="0"/>
                  </w:pPr>
                  <w:r>
                    <w:rPr>
                      <w:sz w:val="18"/>
                      <w:szCs w:val="18"/>
                    </w:rPr>
                    <w:t xml:space="preserve">57</w:t>
                  </w:r>
                </w:p>
              </w:tc>
            </w:tr>
            <w:tr>
              <w:trPr>
                <w:cantSplit/>
                <w:tblHeader w:val="off"/>
              </w:trPr>
              <w:tc>
                <w:tcPr>
                  <w:tcW w:type="dxa" w:w="1410"/>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w:t>
                  </w:r>
                </w:p>
              </w:tc>
              <w:tc>
                <w:tcPr>
                  <w:tcW w:type="dxa" w:w="1027"/>
                  <w:tcMar>
                    <w:top w:type="dxa" w:w="70"/>
                    <w:left w:type="dxa" w:w="100"/>
                    <w:bottom w:type="dxa" w:w="70"/>
                    <w:right w:type="dxa" w:w="100"/>
                  </w:tcMar>
                  <w:vAlign w:val="center"/>
                </w:tcPr>
                <w:p>
                  <w:pPr>
                    <w:spacing w:after="0"/>
                  </w:pPr>
                  <w:r>
                    <w:rPr>
                      <w:sz w:val="18"/>
                      <w:szCs w:val="18"/>
                    </w:rPr>
                    <w:t xml:space="preserve">3.281.764</w:t>
                  </w:r>
                </w:p>
              </w:tc>
              <w:tc>
                <w:tcPr>
                  <w:tcW w:type="dxa" w:w="1123"/>
                  <w:tcMar>
                    <w:top w:type="dxa" w:w="70"/>
                    <w:left w:type="dxa" w:w="100"/>
                    <w:bottom w:type="dxa" w:w="70"/>
                    <w:right w:type="dxa" w:w="100"/>
                  </w:tcMar>
                  <w:vAlign w:val="center"/>
                </w:tcPr>
                <w:p>
                  <w:pPr>
                    <w:spacing w:after="0"/>
                  </w:pPr>
                  <w:r>
                    <w:rPr>
                      <w:sz w:val="18"/>
                      <w:szCs w:val="18"/>
                    </w:rPr>
                    <w:t xml:space="preserve">193.589 (5,90 %)</w:t>
                  </w:r>
                </w:p>
              </w:tc>
              <w:tc>
                <w:tcPr>
                  <w:tcW w:type="dxa" w:w="1314"/>
                  <w:tcMar>
                    <w:top w:type="dxa" w:w="70"/>
                    <w:left w:type="dxa" w:w="100"/>
                    <w:bottom w:type="dxa" w:w="70"/>
                    <w:right w:type="dxa" w:w="100"/>
                  </w:tcMar>
                  <w:vAlign w:val="center"/>
                </w:tcPr>
                <w:p>
                  <w:pPr>
                    <w:spacing w:after="0"/>
                  </w:pPr>
                  <w:r>
                    <w:rPr>
                      <w:sz w:val="18"/>
                      <w:szCs w:val="18"/>
                    </w:rPr>
                    <w:t xml:space="preserve">281</w:t>
                  </w:r>
                </w:p>
              </w:tc>
              <w:tc>
                <w:tcPr>
                  <w:tcW w:type="dxa" w:w="1506"/>
                  <w:tcMar>
                    <w:top w:type="dxa" w:w="70"/>
                    <w:left w:type="dxa" w:w="100"/>
                    <w:bottom w:type="dxa" w:w="70"/>
                    <w:right w:type="dxa" w:w="100"/>
                  </w:tcMar>
                  <w:vAlign w:val="center"/>
                </w:tcPr>
                <w:p>
                  <w:pPr>
                    <w:spacing w:after="0"/>
                  </w:pPr>
                  <w:r>
                    <w:rPr>
                      <w:sz w:val="18"/>
                      <w:szCs w:val="18"/>
                    </w:rPr>
                    <w:t xml:space="preserve">142</w:t>
                  </w:r>
                </w:p>
              </w:tc>
              <w:tc>
                <w:tcPr>
                  <w:tcW w:type="dxa" w:w="646"/>
                  <w:tcMar>
                    <w:top w:type="dxa" w:w="70"/>
                    <w:left w:type="dxa" w:w="100"/>
                    <w:bottom w:type="dxa" w:w="70"/>
                    <w:right w:type="dxa" w:w="100"/>
                  </w:tcMar>
                  <w:vAlign w:val="center"/>
                </w:tcPr>
                <w:p>
                  <w:pPr>
                    <w:spacing w:after="0"/>
                  </w:pPr>
                  <w:r>
                    <w:rPr>
                      <w:sz w:val="18"/>
                      <w:szCs w:val="18"/>
                    </w:rPr>
                    <w:t xml:space="preserve">423</w:t>
                  </w:r>
                </w:p>
              </w:tc>
            </w:tr>
            <w:tr>
              <w:trPr>
                <w:cantSplit/>
                <w:tblHeader w:val="off"/>
              </w:trPr>
              <w:tc>
                <w:tcPr>
                  <w:tcW w:type="dxa" w:w="1410"/>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REING_30D_CDM</w:t>
                  </w:r>
                </w:p>
              </w:tc>
              <w:tc>
                <w:tcPr>
                  <w:tcW w:type="dxa" w:w="1027"/>
                  <w:tcMar>
                    <w:top w:type="dxa" w:w="70"/>
                    <w:left w:type="dxa" w:w="100"/>
                    <w:bottom w:type="dxa" w:w="70"/>
                    <w:right w:type="dxa" w:w="100"/>
                  </w:tcMar>
                  <w:vAlign w:val="center"/>
                </w:tcPr>
                <w:p>
                  <w:pPr>
                    <w:spacing w:after="0"/>
                  </w:pPr>
                  <w:r>
                    <w:rPr>
                      <w:sz w:val="18"/>
                      <w:szCs w:val="18"/>
                    </w:rPr>
                    <w:t xml:space="preserve">2.798.814</w:t>
                  </w:r>
                </w:p>
              </w:tc>
              <w:tc>
                <w:tcPr>
                  <w:tcW w:type="dxa" w:w="1123"/>
                  <w:tcMar>
                    <w:top w:type="dxa" w:w="70"/>
                    <w:left w:type="dxa" w:w="100"/>
                    <w:bottom w:type="dxa" w:w="70"/>
                    <w:right w:type="dxa" w:w="100"/>
                  </w:tcMar>
                  <w:vAlign w:val="center"/>
                </w:tcPr>
                <w:p>
                  <w:pPr>
                    <w:spacing w:after="0"/>
                  </w:pPr>
                  <w:r>
                    <w:rPr>
                      <w:sz w:val="18"/>
                      <w:szCs w:val="18"/>
                    </w:rPr>
                    <w:t xml:space="preserve">99.444 (3,55 %)</w:t>
                  </w:r>
                </w:p>
              </w:tc>
              <w:tc>
                <w:tcPr>
                  <w:tcW w:type="dxa" w:w="1314"/>
                  <w:tcMar>
                    <w:top w:type="dxa" w:w="70"/>
                    <w:left w:type="dxa" w:w="100"/>
                    <w:bottom w:type="dxa" w:w="70"/>
                    <w:right w:type="dxa" w:w="100"/>
                  </w:tcMar>
                  <w:vAlign w:val="center"/>
                </w:tcPr>
                <w:p>
                  <w:pPr>
                    <w:spacing w:after="0"/>
                  </w:pPr>
                  <w:r>
                    <w:rPr>
                      <w:sz w:val="18"/>
                      <w:szCs w:val="18"/>
                    </w:rPr>
                    <w:t xml:space="preserve">131</w:t>
                  </w:r>
                </w:p>
              </w:tc>
              <w:tc>
                <w:tcPr>
                  <w:tcW w:type="dxa" w:w="1506"/>
                  <w:tcMar>
                    <w:top w:type="dxa" w:w="70"/>
                    <w:left w:type="dxa" w:w="100"/>
                    <w:bottom w:type="dxa" w:w="70"/>
                    <w:right w:type="dxa" w:w="100"/>
                  </w:tcMar>
                  <w:vAlign w:val="center"/>
                </w:tcPr>
                <w:p>
                  <w:pPr>
                    <w:spacing w:after="0"/>
                  </w:pPr>
                  <w:r>
                    <w:rPr>
                      <w:sz w:val="18"/>
                      <w:szCs w:val="18"/>
                    </w:rPr>
                    <w:t xml:space="preserve">59</w:t>
                  </w:r>
                </w:p>
              </w:tc>
              <w:tc>
                <w:tcPr>
                  <w:tcW w:type="dxa" w:w="646"/>
                  <w:tcMar>
                    <w:top w:type="dxa" w:w="70"/>
                    <w:left w:type="dxa" w:w="100"/>
                    <w:bottom w:type="dxa" w:w="70"/>
                    <w:right w:type="dxa" w:w="100"/>
                  </w:tcMar>
                  <w:vAlign w:val="center"/>
                </w:tcPr>
                <w:p>
                  <w:pPr>
                    <w:spacing w:after="0"/>
                  </w:pPr>
                  <w:r>
                    <w:rPr>
                      <w:sz w:val="18"/>
                      <w:szCs w:val="18"/>
                    </w:rPr>
                    <w:t xml:space="preserve">190</w:t>
                  </w:r>
                </w:p>
              </w:tc>
            </w:tr>
          </w:tbl>
          <w:p>
            <w:pPr>
              <w:keepNext/>
              <w:spacing w:after="0" w:before="100"/>
            </w:pPr>
            <w:r>
              <w:rPr>
                <w:sz w:val="20"/>
                <w:szCs w:val="20"/>
              </w:rPr>
              <w:t xml:space="preserve">En las cuatro listas aparecen 490 códigos distintos (337 diagnósticos y 153 procedimientos); 19.599 no pasan en ninguna variable, y solo 5 diagnósticos y 9 procedimientos pasan en las cuatro.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Qué queda fuera y por qué</w:t>
            </w:r>
          </w:p>
        </w:tc>
        <w:tc>
          <w:tcPr>
            <w:tcW w:type="dxa" w:w="7226"/>
            <w:tcMar>
              <w:top w:type="dxa" w:w="70"/>
              <w:left w:type="dxa" w:w="100"/>
              <w:bottom w:type="dxa" w:w="70"/>
              <w:right w:type="dxa" w:w="100"/>
            </w:tcMar>
          </w:tcPr>
          <w:p>
            <w:pPr>
              <w:keepNext/>
              <w:spacing w:after="80" w:before="0"/>
            </w:pPr>
            <w:r>
              <w:rPr>
                <w:sz w:val="20"/>
                <w:szCs w:val="20"/>
              </w:rPr>
              <w:t xml:space="preserve">Cada código tiene que cumplir los dos umbrales. El primero, el mínimo de casos, deja fuera sobre todo códigos muy raros: 6.234 diagnósticos tienen menos de 10 casos. El segundo, la V, deja fuera códigos frecuentes que casi no cambian el reingreso, pero también algunos de efecto grande (</w:t>
            </w:r>
            <w:hyperlink w:history="1" w:anchor="E_H30">
              <w:r>
                <w:rPr>
                  <w:color w:val="0563C1"/>
                  <w:sz w:val="20"/>
                  <w:szCs w:val="20"/>
                  <w:u w:val="single"/>
                </w:rPr>
                <w:t xml:space="preserve">H30</w:t>
              </w:r>
            </w:hyperlink>
            <w:r>
              <w:rPr>
                <w:sz w:val="20"/>
                <w:szCs w:val="20"/>
              </w:rPr>
              <w:t xml:space="preserve">). El número de códigos con menos de 100 casos cambia según la variable porque cada una cuenta solo sus casos con dato: 115 y 170 códigos, como Z37.0 (nacido vivo, único), no tienen ningún caso en las variables de misma CDM, que no incluyen los partos.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50"/>
              <w:gridCol w:w="1108"/>
              <w:gridCol w:w="1564"/>
              <w:gridCol w:w="1222"/>
              <w:gridCol w:w="1682"/>
            </w:tblGrid>
            <w:tr>
              <w:trPr>
                <w:cantSplit/>
                <w:tblHeader/>
              </w:trPr>
              <w:tc>
                <w:tcPr>
                  <w:tcW w:type="dxa" w:w="1450"/>
                  <w:shd w:fill="D9E2F3" w:color="auto" w:val="clear"/>
                  <w:tcMar>
                    <w:top w:type="dxa" w:w="70"/>
                    <w:left w:type="dxa" w:w="100"/>
                    <w:bottom w:type="dxa" w:w="70"/>
                    <w:right w:type="dxa" w:w="100"/>
                  </w:tcMar>
                  <w:vAlign w:val="center"/>
                </w:tcPr>
                <w:p>
                  <w:pPr>
                    <w:spacing w:after="0"/>
                  </w:pPr>
                </w:p>
              </w:tc>
              <w:tc>
                <w:tcPr>
                  <w:tcW w:type="dxa" w:w="1108"/>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w:t>
                  </w:r>
                </w:p>
              </w:tc>
              <w:tc>
                <w:tcPr>
                  <w:tcW w:type="dxa" w:w="1564"/>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REING_7D_CDM</w:t>
                  </w:r>
                </w:p>
              </w:tc>
              <w:tc>
                <w:tcPr>
                  <w:tcW w:type="dxa" w:w="1222"/>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w:t>
                  </w:r>
                </w:p>
              </w:tc>
              <w:tc>
                <w:tcPr>
                  <w:tcW w:type="dxa" w:w="1682"/>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REING_30D_CDM</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Códigos distintos</w:t>
                  </w:r>
                </w:p>
              </w:tc>
              <w:tc>
                <w:tcPr>
                  <w:tcW w:type="dxa" w:w="1108"/>
                  <w:tcMar>
                    <w:top w:type="dxa" w:w="70"/>
                    <w:left w:type="dxa" w:w="100"/>
                    <w:bottom w:type="dxa" w:w="70"/>
                    <w:right w:type="dxa" w:w="100"/>
                  </w:tcMar>
                  <w:vAlign w:val="center"/>
                </w:tcPr>
                <w:p>
                  <w:pPr>
                    <w:spacing w:after="0"/>
                  </w:pPr>
                  <w:r>
                    <w:rPr>
                      <w:sz w:val="18"/>
                      <w:szCs w:val="18"/>
                    </w:rPr>
                    <w:t xml:space="preserve">20.089</w:t>
                  </w:r>
                </w:p>
              </w:tc>
              <w:tc>
                <w:tcPr>
                  <w:tcW w:type="dxa" w:w="1564"/>
                  <w:tcMar>
                    <w:top w:type="dxa" w:w="70"/>
                    <w:left w:type="dxa" w:w="100"/>
                    <w:bottom w:type="dxa" w:w="70"/>
                    <w:right w:type="dxa" w:w="100"/>
                  </w:tcMar>
                  <w:vAlign w:val="center"/>
                </w:tcPr>
                <w:p>
                  <w:pPr>
                    <w:spacing w:after="0"/>
                  </w:pPr>
                  <w:r>
                    <w:rPr>
                      <w:sz w:val="18"/>
                      <w:szCs w:val="18"/>
                    </w:rPr>
                    <w:t xml:space="preserve">20.089</w:t>
                  </w:r>
                </w:p>
              </w:tc>
              <w:tc>
                <w:tcPr>
                  <w:tcW w:type="dxa" w:w="1222"/>
                  <w:tcMar>
                    <w:top w:type="dxa" w:w="70"/>
                    <w:left w:type="dxa" w:w="100"/>
                    <w:bottom w:type="dxa" w:w="70"/>
                    <w:right w:type="dxa" w:w="100"/>
                  </w:tcMar>
                  <w:vAlign w:val="center"/>
                </w:tcPr>
                <w:p>
                  <w:pPr>
                    <w:spacing w:after="0"/>
                  </w:pPr>
                  <w:r>
                    <w:rPr>
                      <w:sz w:val="18"/>
                      <w:szCs w:val="18"/>
                    </w:rPr>
                    <w:t xml:space="preserve">20.089</w:t>
                  </w:r>
                </w:p>
              </w:tc>
              <w:tc>
                <w:tcPr>
                  <w:tcW w:type="dxa" w:w="1682"/>
                  <w:tcMar>
                    <w:top w:type="dxa" w:w="70"/>
                    <w:left w:type="dxa" w:w="100"/>
                    <w:bottom w:type="dxa" w:w="70"/>
                    <w:right w:type="dxa" w:w="100"/>
                  </w:tcMar>
                  <w:vAlign w:val="center"/>
                </w:tcPr>
                <w:p>
                  <w:pPr>
                    <w:spacing w:after="0"/>
                  </w:pPr>
                  <w:r>
                    <w:rPr>
                      <w:sz w:val="18"/>
                      <w:szCs w:val="18"/>
                    </w:rPr>
                    <w:t xml:space="preserve">20.089</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Fuera por tener menos de 100 casos</w:t>
                  </w:r>
                </w:p>
              </w:tc>
              <w:tc>
                <w:tcPr>
                  <w:tcW w:type="dxa" w:w="1108"/>
                  <w:tcMar>
                    <w:top w:type="dxa" w:w="70"/>
                    <w:left w:type="dxa" w:w="100"/>
                    <w:bottom w:type="dxa" w:w="70"/>
                    <w:right w:type="dxa" w:w="100"/>
                  </w:tcMar>
                  <w:vAlign w:val="center"/>
                </w:tcPr>
                <w:p>
                  <w:pPr>
                    <w:spacing w:after="0"/>
                  </w:pPr>
                  <w:r>
                    <w:rPr>
                      <w:sz w:val="18"/>
                      <w:szCs w:val="18"/>
                    </w:rPr>
                    <w:t xml:space="preserve">12.893</w:t>
                  </w:r>
                </w:p>
              </w:tc>
              <w:tc>
                <w:tcPr>
                  <w:tcW w:type="dxa" w:w="1564"/>
                  <w:tcMar>
                    <w:top w:type="dxa" w:w="70"/>
                    <w:left w:type="dxa" w:w="100"/>
                    <w:bottom w:type="dxa" w:w="70"/>
                    <w:right w:type="dxa" w:w="100"/>
                  </w:tcMar>
                  <w:vAlign w:val="center"/>
                </w:tcPr>
                <w:p>
                  <w:pPr>
                    <w:spacing w:after="0"/>
                  </w:pPr>
                  <w:r>
                    <w:rPr>
                      <w:sz w:val="18"/>
                      <w:szCs w:val="18"/>
                    </w:rPr>
                    <w:t xml:space="preserve">13.101</w:t>
                  </w:r>
                </w:p>
              </w:tc>
              <w:tc>
                <w:tcPr>
                  <w:tcW w:type="dxa" w:w="1222"/>
                  <w:tcMar>
                    <w:top w:type="dxa" w:w="70"/>
                    <w:left w:type="dxa" w:w="100"/>
                    <w:bottom w:type="dxa" w:w="70"/>
                    <w:right w:type="dxa" w:w="100"/>
                  </w:tcMar>
                  <w:vAlign w:val="center"/>
                </w:tcPr>
                <w:p>
                  <w:pPr>
                    <w:spacing w:after="0"/>
                  </w:pPr>
                  <w:r>
                    <w:rPr>
                      <w:sz w:val="18"/>
                      <w:szCs w:val="18"/>
                    </w:rPr>
                    <w:t xml:space="preserve">12.963</w:t>
                  </w:r>
                </w:p>
              </w:tc>
              <w:tc>
                <w:tcPr>
                  <w:tcW w:type="dxa" w:w="1682"/>
                  <w:tcMar>
                    <w:top w:type="dxa" w:w="70"/>
                    <w:left w:type="dxa" w:w="100"/>
                    <w:bottom w:type="dxa" w:w="70"/>
                    <w:right w:type="dxa" w:w="100"/>
                  </w:tcMar>
                  <w:vAlign w:val="center"/>
                </w:tcPr>
                <w:p>
                  <w:pPr>
                    <w:spacing w:after="0"/>
                  </w:pPr>
                  <w:r>
                    <w:rPr>
                      <w:sz w:val="18"/>
                      <w:szCs w:val="18"/>
                    </w:rPr>
                    <w:t xml:space="preserve">13.166</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Fuera por V menor que 0,01, con 100 casos o más</w:t>
                  </w:r>
                </w:p>
              </w:tc>
              <w:tc>
                <w:tcPr>
                  <w:tcW w:type="dxa" w:w="1108"/>
                  <w:tcMar>
                    <w:top w:type="dxa" w:w="70"/>
                    <w:left w:type="dxa" w:w="100"/>
                    <w:bottom w:type="dxa" w:w="70"/>
                    <w:right w:type="dxa" w:w="100"/>
                  </w:tcMar>
                  <w:vAlign w:val="center"/>
                </w:tcPr>
                <w:p>
                  <w:pPr>
                    <w:spacing w:after="0"/>
                  </w:pPr>
                  <w:r>
                    <w:rPr>
                      <w:sz w:val="18"/>
                      <w:szCs w:val="18"/>
                    </w:rPr>
                    <w:t xml:space="preserve">7.088</w:t>
                  </w:r>
                </w:p>
              </w:tc>
              <w:tc>
                <w:tcPr>
                  <w:tcW w:type="dxa" w:w="1564"/>
                  <w:tcMar>
                    <w:top w:type="dxa" w:w="70"/>
                    <w:left w:type="dxa" w:w="100"/>
                    <w:bottom w:type="dxa" w:w="70"/>
                    <w:right w:type="dxa" w:w="100"/>
                  </w:tcMar>
                  <w:vAlign w:val="center"/>
                </w:tcPr>
                <w:p>
                  <w:pPr>
                    <w:spacing w:after="0"/>
                  </w:pPr>
                  <w:r>
                    <w:rPr>
                      <w:sz w:val="18"/>
                      <w:szCs w:val="18"/>
                    </w:rPr>
                    <w:t xml:space="preserve">6.931</w:t>
                  </w:r>
                </w:p>
              </w:tc>
              <w:tc>
                <w:tcPr>
                  <w:tcW w:type="dxa" w:w="1222"/>
                  <w:tcMar>
                    <w:top w:type="dxa" w:w="70"/>
                    <w:left w:type="dxa" w:w="100"/>
                    <w:bottom w:type="dxa" w:w="70"/>
                    <w:right w:type="dxa" w:w="100"/>
                  </w:tcMar>
                  <w:vAlign w:val="center"/>
                </w:tcPr>
                <w:p>
                  <w:pPr>
                    <w:spacing w:after="0"/>
                  </w:pPr>
                  <w:r>
                    <w:rPr>
                      <w:sz w:val="18"/>
                      <w:szCs w:val="18"/>
                    </w:rPr>
                    <w:t xml:space="preserve">6.703</w:t>
                  </w:r>
                </w:p>
              </w:tc>
              <w:tc>
                <w:tcPr>
                  <w:tcW w:type="dxa" w:w="1682"/>
                  <w:tcMar>
                    <w:top w:type="dxa" w:w="70"/>
                    <w:left w:type="dxa" w:w="100"/>
                    <w:bottom w:type="dxa" w:w="70"/>
                    <w:right w:type="dxa" w:w="100"/>
                  </w:tcMar>
                  <w:vAlign w:val="center"/>
                </w:tcPr>
                <w:p>
                  <w:pPr>
                    <w:spacing w:after="0"/>
                  </w:pPr>
                  <w:r>
                    <w:rPr>
                      <w:sz w:val="18"/>
                      <w:szCs w:val="18"/>
                    </w:rPr>
                    <w:t xml:space="preserve">6.733</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Pasan</w:t>
                  </w:r>
                </w:p>
              </w:tc>
              <w:tc>
                <w:tcPr>
                  <w:tcW w:type="dxa" w:w="1108"/>
                  <w:tcMar>
                    <w:top w:type="dxa" w:w="70"/>
                    <w:left w:type="dxa" w:w="100"/>
                    <w:bottom w:type="dxa" w:w="70"/>
                    <w:right w:type="dxa" w:w="100"/>
                  </w:tcMar>
                  <w:vAlign w:val="center"/>
                </w:tcPr>
                <w:p>
                  <w:pPr>
                    <w:spacing w:after="0"/>
                  </w:pPr>
                  <w:r>
                    <w:rPr>
                      <w:sz w:val="18"/>
                      <w:szCs w:val="18"/>
                    </w:rPr>
                    <w:t xml:space="preserve">108</w:t>
                  </w:r>
                </w:p>
              </w:tc>
              <w:tc>
                <w:tcPr>
                  <w:tcW w:type="dxa" w:w="1564"/>
                  <w:tcMar>
                    <w:top w:type="dxa" w:w="70"/>
                    <w:left w:type="dxa" w:w="100"/>
                    <w:bottom w:type="dxa" w:w="70"/>
                    <w:right w:type="dxa" w:w="100"/>
                  </w:tcMar>
                  <w:vAlign w:val="center"/>
                </w:tcPr>
                <w:p>
                  <w:pPr>
                    <w:spacing w:after="0"/>
                  </w:pPr>
                  <w:r>
                    <w:rPr>
                      <w:sz w:val="18"/>
                      <w:szCs w:val="18"/>
                    </w:rPr>
                    <w:t xml:space="preserve">57</w:t>
                  </w:r>
                </w:p>
              </w:tc>
              <w:tc>
                <w:tcPr>
                  <w:tcW w:type="dxa" w:w="1222"/>
                  <w:tcMar>
                    <w:top w:type="dxa" w:w="70"/>
                    <w:left w:type="dxa" w:w="100"/>
                    <w:bottom w:type="dxa" w:w="70"/>
                    <w:right w:type="dxa" w:w="100"/>
                  </w:tcMar>
                  <w:vAlign w:val="center"/>
                </w:tcPr>
                <w:p>
                  <w:pPr>
                    <w:spacing w:after="0"/>
                  </w:pPr>
                  <w:r>
                    <w:rPr>
                      <w:sz w:val="18"/>
                      <w:szCs w:val="18"/>
                    </w:rPr>
                    <w:t xml:space="preserve">423</w:t>
                  </w:r>
                </w:p>
              </w:tc>
              <w:tc>
                <w:tcPr>
                  <w:tcW w:type="dxa" w:w="1682"/>
                  <w:tcMar>
                    <w:top w:type="dxa" w:w="70"/>
                    <w:left w:type="dxa" w:w="100"/>
                    <w:bottom w:type="dxa" w:w="70"/>
                    <w:right w:type="dxa" w:w="100"/>
                  </w:tcMar>
                  <w:vAlign w:val="center"/>
                </w:tcPr>
                <w:p>
                  <w:pPr>
                    <w:spacing w:after="0"/>
                  </w:pPr>
                  <w:r>
                    <w:rPr>
                      <w:sz w:val="18"/>
                      <w:szCs w:val="18"/>
                    </w:rPr>
                    <w:t xml:space="preserve">190</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Parte de las apariciones de códigos que corresponde a los que pasan</w:t>
                  </w:r>
                </w:p>
              </w:tc>
              <w:tc>
                <w:tcPr>
                  <w:tcW w:type="dxa" w:w="1108"/>
                  <w:tcMar>
                    <w:top w:type="dxa" w:w="70"/>
                    <w:left w:type="dxa" w:w="100"/>
                    <w:bottom w:type="dxa" w:w="70"/>
                    <w:right w:type="dxa" w:w="100"/>
                  </w:tcMar>
                  <w:vAlign w:val="center"/>
                </w:tcPr>
                <w:p>
                  <w:pPr>
                    <w:spacing w:after="0"/>
                  </w:pPr>
                  <w:r>
                    <w:rPr>
                      <w:sz w:val="18"/>
                      <w:szCs w:val="18"/>
                    </w:rPr>
                    <w:t xml:space="preserve">34,8 %</w:t>
                  </w:r>
                </w:p>
              </w:tc>
              <w:tc>
                <w:tcPr>
                  <w:tcW w:type="dxa" w:w="1564"/>
                  <w:tcMar>
                    <w:top w:type="dxa" w:w="70"/>
                    <w:left w:type="dxa" w:w="100"/>
                    <w:bottom w:type="dxa" w:w="70"/>
                    <w:right w:type="dxa" w:w="100"/>
                  </w:tcMar>
                  <w:vAlign w:val="center"/>
                </w:tcPr>
                <w:p>
                  <w:pPr>
                    <w:spacing w:after="0"/>
                  </w:pPr>
                  <w:r>
                    <w:rPr>
                      <w:sz w:val="18"/>
                      <w:szCs w:val="18"/>
                    </w:rPr>
                    <w:t xml:space="preserve">14,3 %</w:t>
                  </w:r>
                </w:p>
              </w:tc>
              <w:tc>
                <w:tcPr>
                  <w:tcW w:type="dxa" w:w="1222"/>
                  <w:tcMar>
                    <w:top w:type="dxa" w:w="70"/>
                    <w:left w:type="dxa" w:w="100"/>
                    <w:bottom w:type="dxa" w:w="70"/>
                    <w:right w:type="dxa" w:w="100"/>
                  </w:tcMar>
                  <w:vAlign w:val="center"/>
                </w:tcPr>
                <w:p>
                  <w:pPr>
                    <w:spacing w:after="0"/>
                  </w:pPr>
                  <w:r>
                    <w:rPr>
                      <w:sz w:val="18"/>
                      <w:szCs w:val="18"/>
                    </w:rPr>
                    <w:t xml:space="preserve">65,0 %</w:t>
                  </w:r>
                </w:p>
              </w:tc>
              <w:tc>
                <w:tcPr>
                  <w:tcW w:type="dxa" w:w="1682"/>
                  <w:tcMar>
                    <w:top w:type="dxa" w:w="70"/>
                    <w:left w:type="dxa" w:w="100"/>
                    <w:bottom w:type="dxa" w:w="70"/>
                    <w:right w:type="dxa" w:w="100"/>
                  </w:tcMar>
                  <w:vAlign w:val="center"/>
                </w:tcPr>
                <w:p>
                  <w:pPr>
                    <w:spacing w:after="0"/>
                  </w:pPr>
                  <w:r>
                    <w:rPr>
                      <w:sz w:val="18"/>
                      <w:szCs w:val="18"/>
                    </w:rPr>
                    <w:t xml:space="preserve">35,9 %</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Casos con al menos un código de la lista</w:t>
                  </w:r>
                </w:p>
              </w:tc>
              <w:tc>
                <w:tcPr>
                  <w:tcW w:type="dxa" w:w="1108"/>
                  <w:tcMar>
                    <w:top w:type="dxa" w:w="70"/>
                    <w:left w:type="dxa" w:w="100"/>
                    <w:bottom w:type="dxa" w:w="70"/>
                    <w:right w:type="dxa" w:w="100"/>
                  </w:tcMar>
                  <w:vAlign w:val="center"/>
                </w:tcPr>
                <w:p>
                  <w:pPr>
                    <w:spacing w:after="0"/>
                  </w:pPr>
                  <w:r>
                    <w:rPr>
                      <w:sz w:val="18"/>
                      <w:szCs w:val="18"/>
                    </w:rPr>
                    <w:t xml:space="preserve">92,1 %</w:t>
                  </w:r>
                </w:p>
              </w:tc>
              <w:tc>
                <w:tcPr>
                  <w:tcW w:type="dxa" w:w="1564"/>
                  <w:tcMar>
                    <w:top w:type="dxa" w:w="70"/>
                    <w:left w:type="dxa" w:w="100"/>
                    <w:bottom w:type="dxa" w:w="70"/>
                    <w:right w:type="dxa" w:w="100"/>
                  </w:tcMar>
                  <w:vAlign w:val="center"/>
                </w:tcPr>
                <w:p>
                  <w:pPr>
                    <w:spacing w:after="0"/>
                  </w:pPr>
                  <w:r>
                    <w:rPr>
                      <w:sz w:val="18"/>
                      <w:szCs w:val="18"/>
                    </w:rPr>
                    <w:t xml:space="preserve">83,5 %</w:t>
                  </w:r>
                </w:p>
              </w:tc>
              <w:tc>
                <w:tcPr>
                  <w:tcW w:type="dxa" w:w="1222"/>
                  <w:tcMar>
                    <w:top w:type="dxa" w:w="70"/>
                    <w:left w:type="dxa" w:w="100"/>
                    <w:bottom w:type="dxa" w:w="70"/>
                    <w:right w:type="dxa" w:w="100"/>
                  </w:tcMar>
                  <w:vAlign w:val="center"/>
                </w:tcPr>
                <w:p>
                  <w:pPr>
                    <w:spacing w:after="0"/>
                  </w:pPr>
                  <w:r>
                    <w:rPr>
                      <w:sz w:val="18"/>
                      <w:szCs w:val="18"/>
                    </w:rPr>
                    <w:t xml:space="preserve">98,2 %</w:t>
                  </w:r>
                </w:p>
              </w:tc>
              <w:tc>
                <w:tcPr>
                  <w:tcW w:type="dxa" w:w="1682"/>
                  <w:tcMar>
                    <w:top w:type="dxa" w:w="70"/>
                    <w:left w:type="dxa" w:w="100"/>
                    <w:bottom w:type="dxa" w:w="70"/>
                    <w:right w:type="dxa" w:w="100"/>
                  </w:tcMar>
                  <w:vAlign w:val="center"/>
                </w:tcPr>
                <w:p>
                  <w:pPr>
                    <w:spacing w:after="0"/>
                  </w:pPr>
                  <w:r>
                    <w:rPr>
                      <w:sz w:val="18"/>
                      <w:szCs w:val="18"/>
                    </w:rPr>
                    <w:t xml:space="preserve">95,5 %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Ejemplos con `REING_30D`</w:t>
            </w:r>
          </w:p>
        </w:tc>
        <w:tc>
          <w:tcPr>
            <w:tcW w:type="dxa" w:w="7226"/>
            <w:tcMar>
              <w:top w:type="dxa" w:w="70"/>
              <w:left w:type="dxa" w:w="100"/>
              <w:bottom w:type="dxa" w:w="70"/>
              <w:right w:type="dxa" w:w="100"/>
            </w:tcMar>
          </w:tcPr>
          <w:p>
            <w:pPr>
              <w:keepNext/>
              <w:spacing w:after="0" w:before="0"/>
            </w:pPr>
            <w:r>
              <w:rPr>
                <w:sz w:val="20"/>
                <w:szCs w:val="20"/>
              </w:rPr>
              <w:t xml:space="preserve">N18.5 (enfermedad renal crónica, estadio 5) está en 76.223 casos; reingresa el 15,31 % frente al 5,68 % sin el código, chi-cuadrado 12.441 y V 0,0616: pasa. Z37.0 (nacido vivo, único) reingresa el 1,43 % frente al 6,65 %, V 0,0777: pasa, porque baja el riesgo. K80.2 (cálculo de la vesícula biliar sin colecistitis) tiene p = 0,0000000004 pero V 0,0035: no pasa. U07.1 (COVID-19, virus identificado) reingresa el 5,84 % frente al 5,90 %: no pasa.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qué un mínimo de 100 casos</w:t>
            </w:r>
          </w:p>
        </w:tc>
        <w:tc>
          <w:tcPr>
            <w:tcW w:type="dxa" w:w="7226"/>
            <w:tcMar>
              <w:top w:type="dxa" w:w="70"/>
              <w:left w:type="dxa" w:w="100"/>
              <w:bottom w:type="dxa" w:w="70"/>
              <w:right w:type="dxa" w:w="100"/>
            </w:tcMar>
          </w:tcPr>
          <w:p>
            <w:pPr>
              <w:keepNext/>
              <w:spacing w:after="80" w:before="0"/>
            </w:pPr>
            <w:r>
              <w:rPr>
                <w:sz w:val="20"/>
                <w:szCs w:val="20"/>
              </w:rPr>
              <w:t xml:space="preserve">El valor viene de la propuesta («una prevalencia mínima de 100 egresos»). Lo respaldan cuatro razones: 1. Con pocos casos, la tasa de reingreso de un código es demasiado imprecisa. Para una tasa observada de 5,9 %, el intervalo de confianza al 95 % (de Wilson) va de 1,2 % a 24,8 % con 20 casos, de 2,7 % a 12,3 % con 100 y de 4,6 % a 7,5 % con 1.000. Un código que pasa con unos 100 casos necesita al menos 48,6 % de reingreso a 30 días, y su intervalo (39,0 % a 58,3 %) queda lejos de 5,9 %. 2. Con pocos casos, un código puede reflejar a una sola persona hospitalizada muchas veces. El único código que el mínimo deja fuera tiene ese problema (</w:t>
            </w:r>
            <w:hyperlink w:history="1" w:anchor="E_H32">
              <w:r>
                <w:rPr>
                  <w:color w:val="0563C1"/>
                  <w:sz w:val="20"/>
                  <w:szCs w:val="20"/>
                  <w:u w:val="single"/>
                </w:rPr>
                <w:t xml:space="preserve">H32</w:t>
              </w:r>
            </w:hyperlink>
            <w:r>
              <w:rPr>
                <w:sz w:val="20"/>
                <w:szCs w:val="20"/>
              </w:rPr>
              <w:t xml:space="preserve">). 3. Los modelos necesitan ver el código en todas las particiones: con 100 casos quedan unos 80 para entrenar y unos 20 para evaluar en cada partición de la validación cruzada. Todos los códigos que pasan conservan al menos 134 casos en 2019–2022 (validación temporal) y 61 en 2020 y 2022 (sensibilidad de D44). Una variable con muy pocos casos da coeficientes exagerados en la regresión logística (sesgo por datos escasos). 4. Es un valor laxo: 100 casos son el 0,003 % de los casos de estudio. Los códigos con menos de 100 casos son el 67,9 % de los diagnósticos distintos y el 47,9 % de los procedimientos, pero solo el 1,09 % y el 0,19 % de sus apariciones.</w:t>
            </w:r>
          </w:p>
          <w:p>
            <w:pPr>
              <w:keepNext/>
              <w:spacing w:after="0" w:before="0"/>
            </w:pPr>
            <w:r>
              <w:rPr>
                <w:sz w:val="20"/>
                <w:szCs w:val="20"/>
              </w:rPr>
              <w:t xml:space="preserve">Además, con 100 casos y la tasa a 30 días (5,9 %) se esperan 5,9 reingresos si el código no tuviera relación con el reingreso, lo que cumple la regla de al menos 5 casos esperados por celda del chi-cuadrado (Cochran). En las variables de 7 días no se cumple (harían falta 242 y 395 casos), otra razón para que el filtro decida con la V y no con el valor p.</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80" w:before="0"/>
            </w:pPr>
            <w:r>
              <w:rPr>
                <w:sz w:val="20"/>
                <w:szCs w:val="20"/>
              </w:rPr>
              <w:t xml:space="preserve">Con V mínima de 0,005 pasarían 417, 206, 1.074 y 601 códigos; con 0,02, 19, 10, 145 y 54. El mínimo de casos casi no cambia el resultado:</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50"/>
              <w:gridCol w:w="1108"/>
              <w:gridCol w:w="1564"/>
              <w:gridCol w:w="1222"/>
              <w:gridCol w:w="1682"/>
            </w:tblGrid>
            <w:tr>
              <w:trPr>
                <w:cantSplit/>
                <w:tblHeader/>
              </w:trPr>
              <w:tc>
                <w:tcPr>
                  <w:tcW w:type="dxa" w:w="1450"/>
                  <w:shd w:fill="D9E2F3" w:color="auto" w:val="clear"/>
                  <w:tcMar>
                    <w:top w:type="dxa" w:w="70"/>
                    <w:left w:type="dxa" w:w="100"/>
                    <w:bottom w:type="dxa" w:w="70"/>
                    <w:right w:type="dxa" w:w="100"/>
                  </w:tcMar>
                  <w:vAlign w:val="center"/>
                </w:tcPr>
                <w:p>
                  <w:pPr>
                    <w:spacing w:after="0"/>
                  </w:pPr>
                  <w:r>
                    <w:rPr>
                      <w:b/>
                      <w:bCs/>
                      <w:sz w:val="18"/>
                      <w:szCs w:val="18"/>
                    </w:rPr>
                    <w:t xml:space="preserve">Casos mínimos (con V de 0,01)</w:t>
                  </w:r>
                </w:p>
              </w:tc>
              <w:tc>
                <w:tcPr>
                  <w:tcW w:type="dxa" w:w="1108"/>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w:t>
                  </w:r>
                </w:p>
              </w:tc>
              <w:tc>
                <w:tcPr>
                  <w:tcW w:type="dxa" w:w="1564"/>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REING_7D_CDM</w:t>
                  </w:r>
                </w:p>
              </w:tc>
              <w:tc>
                <w:tcPr>
                  <w:tcW w:type="dxa" w:w="1222"/>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w:t>
                  </w:r>
                </w:p>
              </w:tc>
              <w:tc>
                <w:tcPr>
                  <w:tcW w:type="dxa" w:w="1682"/>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REING_30D_CDM</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Sin mínimo</w:t>
                  </w:r>
                </w:p>
              </w:tc>
              <w:tc>
                <w:tcPr>
                  <w:tcW w:type="dxa" w:w="1108"/>
                  <w:tcMar>
                    <w:top w:type="dxa" w:w="70"/>
                    <w:left w:type="dxa" w:w="100"/>
                    <w:bottom w:type="dxa" w:w="70"/>
                    <w:right w:type="dxa" w:w="100"/>
                  </w:tcMar>
                  <w:vAlign w:val="center"/>
                </w:tcPr>
                <w:p>
                  <w:pPr>
                    <w:spacing w:after="0"/>
                  </w:pPr>
                  <w:r>
                    <w:rPr>
                      <w:sz w:val="18"/>
                      <w:szCs w:val="18"/>
                    </w:rPr>
                    <w:t xml:space="preserve">108</w:t>
                  </w:r>
                </w:p>
              </w:tc>
              <w:tc>
                <w:tcPr>
                  <w:tcW w:type="dxa" w:w="1564"/>
                  <w:tcMar>
                    <w:top w:type="dxa" w:w="70"/>
                    <w:left w:type="dxa" w:w="100"/>
                    <w:bottom w:type="dxa" w:w="70"/>
                    <w:right w:type="dxa" w:w="100"/>
                  </w:tcMar>
                  <w:vAlign w:val="center"/>
                </w:tcPr>
                <w:p>
                  <w:pPr>
                    <w:spacing w:after="0"/>
                  </w:pPr>
                  <w:r>
                    <w:rPr>
                      <w:sz w:val="18"/>
                      <w:szCs w:val="18"/>
                    </w:rPr>
                    <w:t xml:space="preserve">58</w:t>
                  </w:r>
                </w:p>
              </w:tc>
              <w:tc>
                <w:tcPr>
                  <w:tcW w:type="dxa" w:w="1222"/>
                  <w:tcMar>
                    <w:top w:type="dxa" w:w="70"/>
                    <w:left w:type="dxa" w:w="100"/>
                    <w:bottom w:type="dxa" w:w="70"/>
                    <w:right w:type="dxa" w:w="100"/>
                  </w:tcMar>
                  <w:vAlign w:val="center"/>
                </w:tcPr>
                <w:p>
                  <w:pPr>
                    <w:spacing w:after="0"/>
                  </w:pPr>
                  <w:r>
                    <w:rPr>
                      <w:sz w:val="18"/>
                      <w:szCs w:val="18"/>
                    </w:rPr>
                    <w:t xml:space="preserve">423</w:t>
                  </w:r>
                </w:p>
              </w:tc>
              <w:tc>
                <w:tcPr>
                  <w:tcW w:type="dxa" w:w="1682"/>
                  <w:tcMar>
                    <w:top w:type="dxa" w:w="70"/>
                    <w:left w:type="dxa" w:w="100"/>
                    <w:bottom w:type="dxa" w:w="70"/>
                    <w:right w:type="dxa" w:w="100"/>
                  </w:tcMar>
                  <w:vAlign w:val="center"/>
                </w:tcPr>
                <w:p>
                  <w:pPr>
                    <w:spacing w:after="0"/>
                  </w:pPr>
                  <w:r>
                    <w:rPr>
                      <w:sz w:val="18"/>
                      <w:szCs w:val="18"/>
                    </w:rPr>
                    <w:t xml:space="preserve">190</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50</w:t>
                  </w:r>
                </w:p>
              </w:tc>
              <w:tc>
                <w:tcPr>
                  <w:tcW w:type="dxa" w:w="1108"/>
                  <w:tcMar>
                    <w:top w:type="dxa" w:w="70"/>
                    <w:left w:type="dxa" w:w="100"/>
                    <w:bottom w:type="dxa" w:w="70"/>
                    <w:right w:type="dxa" w:w="100"/>
                  </w:tcMar>
                  <w:vAlign w:val="center"/>
                </w:tcPr>
                <w:p>
                  <w:pPr>
                    <w:spacing w:after="0"/>
                  </w:pPr>
                  <w:r>
                    <w:rPr>
                      <w:sz w:val="18"/>
                      <w:szCs w:val="18"/>
                    </w:rPr>
                    <w:t xml:space="preserve">108</w:t>
                  </w:r>
                </w:p>
              </w:tc>
              <w:tc>
                <w:tcPr>
                  <w:tcW w:type="dxa" w:w="1564"/>
                  <w:tcMar>
                    <w:top w:type="dxa" w:w="70"/>
                    <w:left w:type="dxa" w:w="100"/>
                    <w:bottom w:type="dxa" w:w="70"/>
                    <w:right w:type="dxa" w:w="100"/>
                  </w:tcMar>
                  <w:vAlign w:val="center"/>
                </w:tcPr>
                <w:p>
                  <w:pPr>
                    <w:spacing w:after="0"/>
                  </w:pPr>
                  <w:r>
                    <w:rPr>
                      <w:sz w:val="18"/>
                      <w:szCs w:val="18"/>
                    </w:rPr>
                    <w:t xml:space="preserve">58</w:t>
                  </w:r>
                </w:p>
              </w:tc>
              <w:tc>
                <w:tcPr>
                  <w:tcW w:type="dxa" w:w="1222"/>
                  <w:tcMar>
                    <w:top w:type="dxa" w:w="70"/>
                    <w:left w:type="dxa" w:w="100"/>
                    <w:bottom w:type="dxa" w:w="70"/>
                    <w:right w:type="dxa" w:w="100"/>
                  </w:tcMar>
                  <w:vAlign w:val="center"/>
                </w:tcPr>
                <w:p>
                  <w:pPr>
                    <w:spacing w:after="0"/>
                  </w:pPr>
                  <w:r>
                    <w:rPr>
                      <w:sz w:val="18"/>
                      <w:szCs w:val="18"/>
                    </w:rPr>
                    <w:t xml:space="preserve">423</w:t>
                  </w:r>
                </w:p>
              </w:tc>
              <w:tc>
                <w:tcPr>
                  <w:tcW w:type="dxa" w:w="1682"/>
                  <w:tcMar>
                    <w:top w:type="dxa" w:w="70"/>
                    <w:left w:type="dxa" w:w="100"/>
                    <w:bottom w:type="dxa" w:w="70"/>
                    <w:right w:type="dxa" w:w="100"/>
                  </w:tcMar>
                  <w:vAlign w:val="center"/>
                </w:tcPr>
                <w:p>
                  <w:pPr>
                    <w:spacing w:after="0"/>
                  </w:pPr>
                  <w:r>
                    <w:rPr>
                      <w:sz w:val="18"/>
                      <w:szCs w:val="18"/>
                    </w:rPr>
                    <w:t xml:space="preserve">190</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100 (principal)</w:t>
                  </w:r>
                </w:p>
              </w:tc>
              <w:tc>
                <w:tcPr>
                  <w:tcW w:type="dxa" w:w="1108"/>
                  <w:tcMar>
                    <w:top w:type="dxa" w:w="70"/>
                    <w:left w:type="dxa" w:w="100"/>
                    <w:bottom w:type="dxa" w:w="70"/>
                    <w:right w:type="dxa" w:w="100"/>
                  </w:tcMar>
                  <w:vAlign w:val="center"/>
                </w:tcPr>
                <w:p>
                  <w:pPr>
                    <w:spacing w:after="0"/>
                  </w:pPr>
                  <w:r>
                    <w:rPr>
                      <w:sz w:val="18"/>
                      <w:szCs w:val="18"/>
                    </w:rPr>
                    <w:t xml:space="preserve">108</w:t>
                  </w:r>
                </w:p>
              </w:tc>
              <w:tc>
                <w:tcPr>
                  <w:tcW w:type="dxa" w:w="1564"/>
                  <w:tcMar>
                    <w:top w:type="dxa" w:w="70"/>
                    <w:left w:type="dxa" w:w="100"/>
                    <w:bottom w:type="dxa" w:w="70"/>
                    <w:right w:type="dxa" w:w="100"/>
                  </w:tcMar>
                  <w:vAlign w:val="center"/>
                </w:tcPr>
                <w:p>
                  <w:pPr>
                    <w:spacing w:after="0"/>
                  </w:pPr>
                  <w:r>
                    <w:rPr>
                      <w:sz w:val="18"/>
                      <w:szCs w:val="18"/>
                    </w:rPr>
                    <w:t xml:space="preserve">57</w:t>
                  </w:r>
                </w:p>
              </w:tc>
              <w:tc>
                <w:tcPr>
                  <w:tcW w:type="dxa" w:w="1222"/>
                  <w:tcMar>
                    <w:top w:type="dxa" w:w="70"/>
                    <w:left w:type="dxa" w:w="100"/>
                    <w:bottom w:type="dxa" w:w="70"/>
                    <w:right w:type="dxa" w:w="100"/>
                  </w:tcMar>
                  <w:vAlign w:val="center"/>
                </w:tcPr>
                <w:p>
                  <w:pPr>
                    <w:spacing w:after="0"/>
                  </w:pPr>
                  <w:r>
                    <w:rPr>
                      <w:sz w:val="18"/>
                      <w:szCs w:val="18"/>
                    </w:rPr>
                    <w:t xml:space="preserve">423</w:t>
                  </w:r>
                </w:p>
              </w:tc>
              <w:tc>
                <w:tcPr>
                  <w:tcW w:type="dxa" w:w="1682"/>
                  <w:tcMar>
                    <w:top w:type="dxa" w:w="70"/>
                    <w:left w:type="dxa" w:w="100"/>
                    <w:bottom w:type="dxa" w:w="70"/>
                    <w:right w:type="dxa" w:w="100"/>
                  </w:tcMar>
                  <w:vAlign w:val="center"/>
                </w:tcPr>
                <w:p>
                  <w:pPr>
                    <w:spacing w:after="0"/>
                  </w:pPr>
                  <w:r>
                    <w:rPr>
                      <w:sz w:val="18"/>
                      <w:szCs w:val="18"/>
                    </w:rPr>
                    <w:t xml:space="preserve">190</w:t>
                  </w:r>
                </w:p>
              </w:tc>
            </w:tr>
            <w:tr>
              <w:trPr>
                <w:cantSplit/>
                <w:tblHeader w:val="off"/>
              </w:trPr>
              <w:tc>
                <w:tcPr>
                  <w:tcW w:type="dxa" w:w="1450"/>
                  <w:tcMar>
                    <w:top w:type="dxa" w:w="70"/>
                    <w:left w:type="dxa" w:w="100"/>
                    <w:bottom w:type="dxa" w:w="70"/>
                    <w:right w:type="dxa" w:w="100"/>
                  </w:tcMar>
                  <w:vAlign w:val="center"/>
                </w:tcPr>
                <w:p>
                  <w:pPr>
                    <w:spacing w:after="0"/>
                  </w:pPr>
                  <w:r>
                    <w:rPr>
                      <w:sz w:val="18"/>
                      <w:szCs w:val="18"/>
                    </w:rPr>
                    <w:t xml:space="preserve">500</w:t>
                  </w:r>
                </w:p>
              </w:tc>
              <w:tc>
                <w:tcPr>
                  <w:tcW w:type="dxa" w:w="1108"/>
                  <w:tcMar>
                    <w:top w:type="dxa" w:w="70"/>
                    <w:left w:type="dxa" w:w="100"/>
                    <w:bottom w:type="dxa" w:w="70"/>
                    <w:right w:type="dxa" w:w="100"/>
                  </w:tcMar>
                  <w:vAlign w:val="center"/>
                </w:tcPr>
                <w:p>
                  <w:pPr>
                    <w:spacing w:after="0"/>
                  </w:pPr>
                  <w:r>
                    <w:rPr>
                      <w:sz w:val="18"/>
                      <w:szCs w:val="18"/>
                    </w:rPr>
                    <w:t xml:space="preserve">108</w:t>
                  </w:r>
                </w:p>
              </w:tc>
              <w:tc>
                <w:tcPr>
                  <w:tcW w:type="dxa" w:w="1564"/>
                  <w:tcMar>
                    <w:top w:type="dxa" w:w="70"/>
                    <w:left w:type="dxa" w:w="100"/>
                    <w:bottom w:type="dxa" w:w="70"/>
                    <w:right w:type="dxa" w:w="100"/>
                  </w:tcMar>
                  <w:vAlign w:val="center"/>
                </w:tcPr>
                <w:p>
                  <w:pPr>
                    <w:spacing w:after="0"/>
                  </w:pPr>
                  <w:r>
                    <w:rPr>
                      <w:sz w:val="18"/>
                      <w:szCs w:val="18"/>
                    </w:rPr>
                    <w:t xml:space="preserve">53</w:t>
                  </w:r>
                </w:p>
              </w:tc>
              <w:tc>
                <w:tcPr>
                  <w:tcW w:type="dxa" w:w="1222"/>
                  <w:tcMar>
                    <w:top w:type="dxa" w:w="70"/>
                    <w:left w:type="dxa" w:w="100"/>
                    <w:bottom w:type="dxa" w:w="70"/>
                    <w:right w:type="dxa" w:w="100"/>
                  </w:tcMar>
                  <w:vAlign w:val="center"/>
                </w:tcPr>
                <w:p>
                  <w:pPr>
                    <w:spacing w:after="0"/>
                  </w:pPr>
                  <w:r>
                    <w:rPr>
                      <w:sz w:val="18"/>
                      <w:szCs w:val="18"/>
                    </w:rPr>
                    <w:t xml:space="preserve">421</w:t>
                  </w:r>
                </w:p>
              </w:tc>
              <w:tc>
                <w:tcPr>
                  <w:tcW w:type="dxa" w:w="1682"/>
                  <w:tcMar>
                    <w:top w:type="dxa" w:w="70"/>
                    <w:left w:type="dxa" w:w="100"/>
                    <w:bottom w:type="dxa" w:w="70"/>
                    <w:right w:type="dxa" w:w="100"/>
                  </w:tcMar>
                  <w:vAlign w:val="center"/>
                </w:tcPr>
                <w:p>
                  <w:pPr>
                    <w:spacing w:after="0"/>
                  </w:pPr>
                  <w:r>
                    <w:rPr>
                      <w:sz w:val="18"/>
                      <w:szCs w:val="18"/>
                    </w:rPr>
                    <w:t xml:space="preserve">188</w:t>
                  </w:r>
                </w:p>
              </w:tc>
            </w:tr>
          </w:tbl>
          <w:p>
            <w:pPr>
              <w:keepNext/>
              <w:spacing w:after="0" w:before="100"/>
            </w:pPr>
            <w:r>
              <w:rPr>
                <w:sz w:val="20"/>
                <w:szCs w:val="20"/>
              </w:rPr>
              <w:t xml:space="preserve">Es tan estable porque la V ya exige mucho a un código raro: con </w:t>
            </w:r>
            <w:r>
              <w:rPr>
                <w:rFonts w:ascii="Consolas" w:cs="Consolas" w:eastAsia="Consolas" w:hAnsi="Consolas"/>
                <w:sz w:val="18"/>
                <w:szCs w:val="18"/>
                <w:shd w:fill="F2F2F2" w:color="auto" w:val="clear"/>
              </w:rPr>
              <w:t xml:space="preserve">REING_30D</w:t>
            </w:r>
            <w:r>
              <w:rPr>
                <w:sz w:val="20"/>
                <w:szCs w:val="20"/>
              </w:rPr>
              <w:t xml:space="preserve">, un código necesita al menos 21 casos para llegar a 0,01 aunque todos reingresen (</w:t>
            </w:r>
            <w:hyperlink w:history="1" w:anchor="E_H30">
              <w:r>
                <w:rPr>
                  <w:color w:val="0563C1"/>
                  <w:sz w:val="20"/>
                  <w:szCs w:val="20"/>
                  <w:u w:val="single"/>
                </w:rPr>
                <w:t xml:space="preserve">H30</w:t>
              </w:r>
            </w:hyperlink>
            <w:r>
              <w:rPr>
                <w:sz w:val="20"/>
                <w:szCs w:val="20"/>
              </w:rPr>
              <w:t xml:space="preserve">). La tabla completa de la sensibilidad está en la sección 3 del reporte 14; la fila «sin mínimo» y el desglose de los códigos que quedan fuera salen de una exploración de solo lectura del 28 de octubre de 2026 sobre </w:t>
            </w:r>
            <w:r>
              <w:rPr>
                <w:rFonts w:ascii="Consolas" w:cs="Consolas" w:eastAsia="Consolas" w:hAnsi="Consolas"/>
                <w:sz w:val="18"/>
                <w:szCs w:val="18"/>
                <w:shd w:fill="F2F2F2" w:color="auto" w:val="clear"/>
              </w:rPr>
              <w:t xml:space="preserve">filtro_codigos.parquet</w:t>
            </w:r>
            <w:r>
              <w:rPr>
                <w:sz w:val="20"/>
                <w:szCs w:val="20"/>
              </w:rPr>
              <w:t xml:space="preserve"> y el conjunto de desarrollo.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descartadas</w:t>
            </w:r>
          </w:p>
        </w:tc>
        <w:tc>
          <w:tcPr>
            <w:tcW w:type="dxa" w:w="7226"/>
            <w:tcMar>
              <w:top w:type="dxa" w:w="70"/>
              <w:left w:type="dxa" w:w="100"/>
              <w:bottom w:type="dxa" w:w="70"/>
              <w:right w:type="dxa" w:w="100"/>
            </w:tcMar>
          </w:tcPr>
          <w:p>
            <w:pPr>
              <w:keepNext/>
              <w:spacing w:after="0" w:before="0"/>
            </w:pPr>
            <w:r>
              <w:rPr>
                <w:sz w:val="20"/>
                <w:szCs w:val="20"/>
              </w:rPr>
              <w:t xml:space="preserve">(1) Usar solo la categoría del código, los tres primeros caracteres (E11): juntaría códigos con riesgos distintos, como I50.0 (insuficiencia cardíaca congestiva, 12,76 % de reingreso a 30 días) e I50.9 (no especificada, 10,52 %); queda como parámetro (</w:t>
            </w:r>
            <w:r>
              <w:rPr>
                <w:rFonts w:ascii="Consolas" w:cs="Consolas" w:eastAsia="Consolas" w:hAnsi="Consolas"/>
                <w:sz w:val="18"/>
                <w:szCs w:val="18"/>
                <w:shd w:fill="F2F2F2" w:color="auto" w:val="clear"/>
              </w:rPr>
              <w:t xml:space="preserve">nivel_codigo</w:t>
            </w:r>
            <w:r>
              <w:rPr>
                <w:sz w:val="20"/>
                <w:szCs w:val="20"/>
              </w:rPr>
              <w:t xml:space="preserve">). (2) Calcular el filtro dentro de cada partición de la validación cruzada: no es lo que dice la propuesta; en un ensayo del 26 de octubre las listas de cinco particiones al azar diferían de la de todo el conjunto de desarrollo en 12 a 21 de los 281 diagnósticos de </w:t>
            </w:r>
            <w:r>
              <w:rPr>
                <w:rFonts w:ascii="Consolas" w:cs="Consolas" w:eastAsia="Consolas" w:hAnsi="Consolas"/>
                <w:sz w:val="18"/>
                <w:szCs w:val="18"/>
                <w:shd w:fill="F2F2F2" w:color="auto" w:val="clear"/>
              </w:rPr>
              <w:t xml:space="preserve">REING_30D</w:t>
            </w:r>
            <w:r>
              <w:rPr>
                <w:sz w:val="20"/>
                <w:szCs w:val="20"/>
              </w:rPr>
              <w:t xml:space="preserve">, todos cerca del umbral. (3) Agregar el GRD como tercer bloque del filtro: no está en la propuesta.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El script tiene 12 verificaciones internas, todas cumplidas. La prueba independiente (</w:t>
            </w:r>
            <w:r>
              <w:rPr>
                <w:rFonts w:ascii="Consolas" w:cs="Consolas" w:eastAsia="Consolas" w:hAnsi="Consolas"/>
                <w:sz w:val="18"/>
                <w:szCs w:val="18"/>
                <w:shd w:fill="F2F2F2" w:color="auto" w:val="clear"/>
              </w:rPr>
              <w:t xml:space="preserve">pruebas/verificar_14_filtro_codigos.py</w:t>
            </w:r>
            <w:r>
              <w:rPr>
                <w:sz w:val="20"/>
                <w:szCs w:val="20"/>
              </w:rPr>
              <w:t xml:space="preserve">) vuelve a calcular, sin usar las funciones del script, 358 códigos (300 al azar con la semilla 2026, los que quedan en el límite de los umbrales y los cinco ejemplos) revisando columna por columna, calcula la V como la correlación entre «tiene el código» y «reingresa» y el valor p con la distribución normal, y revisa la tabla completa y la lista: 17 de 17 comprobaciones cumplidas. Con una copia de los resultados con dos errores puestos a propósito, la prueba los detectó.</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variables_objetivo</w:t>
            </w:r>
            <w:r>
              <w:rPr>
                <w:sz w:val="20"/>
                <w:szCs w:val="20"/>
              </w:rPr>
              <w:t xml:space="preserve">, </w:t>
            </w:r>
            <w:r>
              <w:rPr>
                <w:rFonts w:ascii="Consolas" w:cs="Consolas" w:eastAsia="Consolas" w:hAnsi="Consolas"/>
                <w:sz w:val="18"/>
                <w:szCs w:val="18"/>
                <w:shd w:fill="F2F2F2" w:color="auto" w:val="clear"/>
              </w:rPr>
              <w:t xml:space="preserve">nivel_codigo</w:t>
            </w:r>
            <w:r>
              <w:rPr>
                <w:sz w:val="20"/>
                <w:szCs w:val="20"/>
              </w:rPr>
              <w:t xml:space="preserve"> (</w:t>
            </w:r>
            <w:r>
              <w:rPr>
                <w:rFonts w:ascii="Consolas" w:cs="Consolas" w:eastAsia="Consolas" w:hAnsi="Consolas"/>
                <w:sz w:val="18"/>
                <w:szCs w:val="18"/>
                <w:shd w:fill="F2F2F2" w:color="auto" w:val="clear"/>
              </w:rPr>
              <w:t xml:space="preserve">COMPLETO</w:t>
            </w:r>
            <w:r>
              <w:rPr>
                <w:sz w:val="20"/>
                <w:szCs w:val="20"/>
              </w:rPr>
              <w:t xml:space="preserve">), </w:t>
            </w:r>
            <w:r>
              <w:rPr>
                <w:rFonts w:ascii="Consolas" w:cs="Consolas" w:eastAsia="Consolas" w:hAnsi="Consolas"/>
                <w:sz w:val="18"/>
                <w:szCs w:val="18"/>
                <w:shd w:fill="F2F2F2" w:color="auto" w:val="clear"/>
              </w:rPr>
              <w:t xml:space="preserve">v_minima</w:t>
            </w:r>
            <w:r>
              <w:rPr>
                <w:sz w:val="20"/>
                <w:szCs w:val="20"/>
              </w:rPr>
              <w:t xml:space="preserve"> (0,01), </w:t>
            </w:r>
            <w:r>
              <w:rPr>
                <w:rFonts w:ascii="Consolas" w:cs="Consolas" w:eastAsia="Consolas" w:hAnsi="Consolas"/>
                <w:sz w:val="18"/>
                <w:szCs w:val="18"/>
                <w:shd w:fill="F2F2F2" w:color="auto" w:val="clear"/>
              </w:rPr>
              <w:t xml:space="preserve">casos_minimos</w:t>
            </w:r>
            <w:r>
              <w:rPr>
                <w:sz w:val="20"/>
                <w:szCs w:val="20"/>
              </w:rPr>
              <w:t xml:space="preserve"> (100), </w:t>
            </w:r>
            <w:r>
              <w:rPr>
                <w:rFonts w:ascii="Consolas" w:cs="Consolas" w:eastAsia="Consolas" w:hAnsi="Consolas"/>
                <w:sz w:val="18"/>
                <w:szCs w:val="18"/>
                <w:shd w:fill="F2F2F2" w:color="auto" w:val="clear"/>
              </w:rPr>
              <w:t xml:space="preserve">v_sensibilidad</w:t>
            </w:r>
            <w:r>
              <w:rPr>
                <w:sz w:val="20"/>
                <w:szCs w:val="20"/>
              </w:rPr>
              <w:t xml:space="preserve"> (0,005, 0,01 y 0,02) y </w:t>
            </w:r>
            <w:r>
              <w:rPr>
                <w:rFonts w:ascii="Consolas" w:cs="Consolas" w:eastAsia="Consolas" w:hAnsi="Consolas"/>
                <w:sz w:val="18"/>
                <w:szCs w:val="18"/>
                <w:shd w:fill="F2F2F2" w:color="auto" w:val="clear"/>
              </w:rPr>
              <w:t xml:space="preserve">casos_sensibilidad</w:t>
            </w:r>
            <w:r>
              <w:rPr>
                <w:sz w:val="20"/>
                <w:szCs w:val="20"/>
              </w:rPr>
              <w:t xml:space="preserve"> (50, 100 y 500), en </w:t>
            </w:r>
            <w:r>
              <w:rPr>
                <w:rFonts w:ascii="Consolas" w:cs="Consolas" w:eastAsia="Consolas" w:hAnsi="Consolas"/>
                <w:sz w:val="18"/>
                <w:szCs w:val="18"/>
                <w:shd w:fill="F2F2F2" w:color="auto" w:val="clear"/>
              </w:rPr>
              <w:t xml:space="preserve">reglas/parametros.csv</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3.1_filtro_dimensionalidad/scripts/14_filtro_codigos.py</w:t>
            </w:r>
            <w:r>
              <w:rPr>
                <w:sz w:val="20"/>
                <w:szCs w:val="20"/>
              </w:rPr>
              <w:t xml:space="preserve"> → </w:t>
            </w:r>
            <w:r>
              <w:rPr>
                <w:rFonts w:ascii="Consolas" w:cs="Consolas" w:eastAsia="Consolas" w:hAnsi="Consolas"/>
                <w:sz w:val="18"/>
                <w:szCs w:val="18"/>
                <w:shd w:fill="F2F2F2" w:color="auto" w:val="clear"/>
              </w:rPr>
              <w:t xml:space="preserve">data/processed/filtro_codigos.parquet</w:t>
            </w:r>
            <w:r>
              <w:rPr>
                <w:sz w:val="20"/>
                <w:szCs w:val="20"/>
              </w:rPr>
              <w:t xml:space="preserve"> (80.356 filas: cada código con cada variable, pase o no), </w:t>
            </w:r>
            <w:r>
              <w:rPr>
                <w:rFonts w:ascii="Consolas" w:cs="Consolas" w:eastAsia="Consolas" w:hAnsi="Consolas"/>
                <w:sz w:val="18"/>
                <w:szCs w:val="18"/>
                <w:shd w:fill="F2F2F2" w:color="auto" w:val="clear"/>
              </w:rPr>
              <w:t xml:space="preserve">reportes/14_codigos_retenidos.csv</w:t>
            </w:r>
            <w:r>
              <w:rPr>
                <w:sz w:val="20"/>
                <w:szCs w:val="20"/>
              </w:rPr>
              <w:t xml:space="preserve"> (la lista fija, 778 filas) y </w:t>
            </w:r>
            <w:r>
              <w:rPr>
                <w:rFonts w:ascii="Consolas" w:cs="Consolas" w:eastAsia="Consolas" w:hAnsi="Consolas"/>
                <w:sz w:val="18"/>
                <w:szCs w:val="18"/>
                <w:shd w:fill="F2F2F2" w:color="auto" w:val="clear"/>
              </w:rPr>
              <w:t xml:space="preserve">reportes/14_filtro_codigos.md</w:t>
            </w:r>
            <w:r>
              <w:rPr>
                <w:sz w:val="20"/>
                <w:szCs w:val="20"/>
              </w:rPr>
              <w:t xml:space="preserve">; prueba en </w:t>
            </w:r>
            <w:r>
              <w:rPr>
                <w:rFonts w:ascii="Consolas" w:cs="Consolas" w:eastAsia="Consolas" w:hAnsi="Consolas"/>
                <w:sz w:val="18"/>
                <w:szCs w:val="18"/>
                <w:shd w:fill="F2F2F2" w:color="auto" w:val="clear"/>
              </w:rPr>
              <w:t xml:space="preserve">reportes/pruebas_filtro_codigos.md</w:t>
            </w:r>
            <w:r>
              <w:rPr>
                <w:sz w:val="20"/>
                <w:szCs w:val="20"/>
              </w:rPr>
              <w:t xml:space="preserve">. Las descripciones vienen de </w:t>
            </w:r>
            <w:r>
              <w:rPr>
                <w:rFonts w:ascii="Consolas" w:cs="Consolas" w:eastAsia="Consolas" w:hAnsi="Consolas"/>
                <w:sz w:val="18"/>
                <w:szCs w:val="18"/>
                <w:shd w:fill="F2F2F2" w:color="auto" w:val="clear"/>
              </w:rPr>
              <w:t xml:space="preserve">Datos/Tablas auxiliares/CIE-10.xlsx</w:t>
            </w:r>
            <w:r>
              <w:rPr>
                <w:sz w:val="20"/>
                <w:szCs w:val="20"/>
              </w:rPr>
              <w:t xml:space="preserve"> y </w:t>
            </w:r>
            <w:r>
              <w:rPr>
                <w:rFonts w:ascii="Consolas" w:cs="Consolas" w:eastAsia="Consolas" w:hAnsi="Consolas"/>
                <w:sz w:val="18"/>
                <w:szCs w:val="18"/>
                <w:shd w:fill="F2F2F2" w:color="auto" w:val="clear"/>
              </w:rPr>
              <w:t xml:space="preserve">CIE-9.xlsx</w:t>
            </w:r>
            <w:r>
              <w:rPr>
                <w:sz w:val="20"/>
                <w:szCs w:val="20"/>
              </w:rPr>
              <w:t xml:space="preserve">, que describen todos los códigos que pasan.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Referencias del mínimo</w:t>
            </w:r>
          </w:p>
        </w:tc>
        <w:tc>
          <w:tcPr>
            <w:tcW w:type="dxa" w:w="7226"/>
            <w:tcMar>
              <w:top w:type="dxa" w:w="70"/>
              <w:left w:type="dxa" w:w="100"/>
              <w:bottom w:type="dxa" w:w="70"/>
              <w:right w:type="dxa" w:w="100"/>
            </w:tcMar>
          </w:tcPr>
          <w:p>
            <w:pPr>
              <w:keepNext/>
              <w:spacing w:after="0" w:before="0"/>
            </w:pPr>
            <w:r>
              <w:rPr>
                <w:sz w:val="20"/>
                <w:szCs w:val="20"/>
              </w:rPr>
              <w:t xml:space="preserve">Wilson, E. B. (1927), </w:t>
            </w:r>
            <w:r>
              <w:rPr>
                <w:i/>
                <w:iCs/>
                <w:sz w:val="20"/>
                <w:szCs w:val="20"/>
              </w:rPr>
              <w:t xml:space="preserve">Journal of the American Statistical Association</w:t>
            </w:r>
            <w:r>
              <w:rPr>
                <w:sz w:val="20"/>
                <w:szCs w:val="20"/>
              </w:rPr>
              <w:t xml:space="preserve">, 22, 209–212 (intervalo de confianza); Cochran, W. G. (1954), </w:t>
            </w:r>
            <w:r>
              <w:rPr>
                <w:i/>
                <w:iCs/>
                <w:sz w:val="20"/>
                <w:szCs w:val="20"/>
              </w:rPr>
              <w:t xml:space="preserve">Biometrics</w:t>
            </w:r>
            <w:r>
              <w:rPr>
                <w:sz w:val="20"/>
                <w:szCs w:val="20"/>
              </w:rPr>
              <w:t xml:space="preserve">, 10(4), 417–451 (casos esperados en el chi-cuadrado); Greenland, S., Mansournia, M. A. y Altman, D. G. (2016), </w:t>
            </w:r>
            <w:r>
              <w:rPr>
                <w:i/>
                <w:iCs/>
                <w:sz w:val="20"/>
                <w:szCs w:val="20"/>
              </w:rPr>
              <w:t xml:space="preserve">BMJ</w:t>
            </w:r>
            <w:r>
              <w:rPr>
                <w:sz w:val="20"/>
                <w:szCs w:val="20"/>
              </w:rPr>
              <w:t xml:space="preserve">, 352, i1981 (sesgo por datos escasos).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(aprobada por la persona a cargo el 26 de octubre de 2026). Pendiente de validar con profesor guía, en especial el umbral de V (</w:t>
            </w:r>
            <w:hyperlink w:history="1" w:anchor="E_H30">
              <w:r>
                <w:rPr>
                  <w:color w:val="0563C1"/>
                  <w:sz w:val="20"/>
                  <w:szCs w:val="20"/>
                  <w:u w:val="single"/>
                </w:rPr>
                <w:t xml:space="preserve">H30</w:t>
              </w:r>
            </w:hyperlink>
            <w:r>
              <w:rPr>
                <w:sz w:val="20"/>
                <w:szCs w:val="20"/>
              </w:rPr>
              <w:t xml:space="preserve">).</w:t>
            </w:r>
          </w:p>
        </w:tc>
      </w:tr>
    </w:tbl>
    <w:p>
      <w:pPr>
        <w:pStyle w:val="Heading2"/>
      </w:pPr>
      <w:bookmarkStart w:name="E_H30" w:id="2"/>
      <w:r>
        <w:rPr>
          <w:color w:val="2E75B6"/>
        </w:rPr>
        <w:t xml:space="preserve">H30</w:t>
      </w:r>
      <w:bookmarkEnd w:id="2"/>
      <w:r>
        <w:t xml:space="preserve"> · La V castiga a los códigos poco frecuentes</w:t>
      </w:r>
    </w:p>
    <w:p>
      <w:pPr>
        <w:keepNext/>
        <w:spacing w:after="100"/>
      </w:pPr>
      <w:r>
        <w:rPr>
          <w:b/>
          <w:bCs/>
          <w:color w:val="2E75B6"/>
          <w:sz w:val="18"/>
          <w:szCs w:val="18"/>
        </w:rPr>
        <w:t xml:space="preserve">Hallazgo</w:t>
      </w:r>
      <w:r>
        <w:rPr>
          <w:color w:val="808080"/>
          <w:sz w:val="18"/>
          <w:szCs w:val="18"/>
        </w:rPr>
        <w:t xml:space="preserve">  ·  28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La V mide cuánto explica un código el reingreso de todos los casos, no solo el de los suyos, así que mezcla dos cosas: la fuerza del efecto y la frecuencia del código. Un código con pocos casos explica poco aunque su efecto sea grande, y necesita una tasa de reingreso muy alta para llegar a 0,01. Con </w:t>
            </w:r>
            <w:r>
              <w:rPr>
                <w:rFonts w:ascii="Consolas" w:cs="Consolas" w:eastAsia="Consolas" w:hAnsi="Consolas"/>
                <w:sz w:val="18"/>
                <w:szCs w:val="18"/>
                <w:shd w:fill="F2F2F2" w:color="auto" w:val="clear"/>
              </w:rPr>
              <w:t xml:space="preserve">REING_30D</w:t>
            </w:r>
            <w:r>
              <w:rPr>
                <w:sz w:val="20"/>
                <w:szCs w:val="20"/>
              </w:rPr>
              <w:t xml:space="preserve"> (tasa general 5,90 %):</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48"/>
              <w:gridCol w:w="2892"/>
              <w:gridCol w:w="2686"/>
            </w:tblGrid>
            <w:tr>
              <w:trPr>
                <w:cantSplit/>
                <w:tblHeader/>
              </w:trPr>
              <w:tc>
                <w:tcPr>
                  <w:tcW w:type="dxa" w:w="1448"/>
                  <w:shd w:fill="D9E2F3" w:color="auto" w:val="clear"/>
                  <w:tcMar>
                    <w:top w:type="dxa" w:w="70"/>
                    <w:left w:type="dxa" w:w="100"/>
                    <w:bottom w:type="dxa" w:w="70"/>
                    <w:right w:type="dxa" w:w="100"/>
                  </w:tcMar>
                  <w:vAlign w:val="center"/>
                </w:tcPr>
                <w:p>
                  <w:pPr>
                    <w:spacing w:after="0"/>
                  </w:pPr>
                  <w:r>
                    <w:rPr>
                      <w:b/>
                      <w:bCs/>
                      <w:sz w:val="18"/>
                      <w:szCs w:val="18"/>
                    </w:rPr>
                    <w:t xml:space="preserve">Casos con el código</w:t>
                  </w:r>
                </w:p>
              </w:tc>
              <w:tc>
                <w:tcPr>
                  <w:tcW w:type="dxa" w:w="2892"/>
                  <w:shd w:fill="D9E2F3" w:color="auto" w:val="clear"/>
                  <w:tcMar>
                    <w:top w:type="dxa" w:w="70"/>
                    <w:left w:type="dxa" w:w="100"/>
                    <w:bottom w:type="dxa" w:w="70"/>
                    <w:right w:type="dxa" w:w="100"/>
                  </w:tcMar>
                  <w:vAlign w:val="center"/>
                </w:tcPr>
                <w:p>
                  <w:pPr>
                    <w:spacing w:after="0"/>
                  </w:pPr>
                  <w:r>
                    <w:rPr>
                      <w:b/>
                      <w:bCs/>
                      <w:sz w:val="18"/>
                      <w:szCs w:val="18"/>
                    </w:rPr>
                    <w:t xml:space="preserve">Reingreso a 30 días necesario para pasar</w:t>
                  </w:r>
                </w:p>
              </w:tc>
              <w:tc>
                <w:tcPr>
                  <w:tcW w:type="dxa" w:w="2686"/>
                  <w:shd w:fill="D9E2F3" w:color="auto" w:val="clear"/>
                  <w:tcMar>
                    <w:top w:type="dxa" w:w="70"/>
                    <w:left w:type="dxa" w:w="100"/>
                    <w:bottom w:type="dxa" w:w="70"/>
                    <w:right w:type="dxa" w:w="100"/>
                  </w:tcMar>
                  <w:vAlign w:val="center"/>
                </w:tcPr>
                <w:p>
                  <w:pPr>
                    <w:spacing w:after="0"/>
                  </w:pPr>
                  <w:r>
                    <w:rPr>
                      <w:b/>
                      <w:bCs/>
                      <w:sz w:val="18"/>
                      <w:szCs w:val="18"/>
                    </w:rPr>
                    <w:t xml:space="preserve">V máxima posible, si todos reingresan</w:t>
                  </w:r>
                </w:p>
              </w:tc>
            </w:tr>
            <w:tr>
              <w:trPr>
                <w:cantSplit/>
                <w:tblHeader w:val="off"/>
              </w:trPr>
              <w:tc>
                <w:tcPr>
                  <w:tcW w:type="dxa" w:w="1448"/>
                  <w:tcMar>
                    <w:top w:type="dxa" w:w="70"/>
                    <w:left w:type="dxa" w:w="100"/>
                    <w:bottom w:type="dxa" w:w="70"/>
                    <w:right w:type="dxa" w:w="100"/>
                  </w:tcMar>
                  <w:vAlign w:val="center"/>
                </w:tcPr>
                <w:p>
                  <w:pPr>
                    <w:spacing w:after="0"/>
                  </w:pPr>
                  <w:r>
                    <w:rPr>
                      <w:sz w:val="18"/>
                      <w:szCs w:val="18"/>
                    </w:rPr>
                    <w:t xml:space="preserve">100</w:t>
                  </w:r>
                </w:p>
              </w:tc>
              <w:tc>
                <w:tcPr>
                  <w:tcW w:type="dxa" w:w="2892"/>
                  <w:tcMar>
                    <w:top w:type="dxa" w:w="70"/>
                    <w:left w:type="dxa" w:w="100"/>
                    <w:bottom w:type="dxa" w:w="70"/>
                    <w:right w:type="dxa" w:w="100"/>
                  </w:tcMar>
                  <w:vAlign w:val="center"/>
                </w:tcPr>
                <w:p>
                  <w:pPr>
                    <w:spacing w:after="0"/>
                  </w:pPr>
                  <w:r>
                    <w:rPr>
                      <w:sz w:val="18"/>
                      <w:szCs w:val="18"/>
                    </w:rPr>
                    <w:t xml:space="preserve">48,6 %</w:t>
                  </w:r>
                </w:p>
              </w:tc>
              <w:tc>
                <w:tcPr>
                  <w:tcW w:type="dxa" w:w="2686"/>
                  <w:tcMar>
                    <w:top w:type="dxa" w:w="70"/>
                    <w:left w:type="dxa" w:w="100"/>
                    <w:bottom w:type="dxa" w:w="70"/>
                    <w:right w:type="dxa" w:w="100"/>
                  </w:tcMar>
                  <w:vAlign w:val="center"/>
                </w:tcPr>
                <w:p>
                  <w:pPr>
                    <w:spacing w:after="0"/>
                  </w:pPr>
                  <w:r>
                    <w:rPr>
                      <w:sz w:val="18"/>
                      <w:szCs w:val="18"/>
                    </w:rPr>
                    <w:t xml:space="preserve">0,022</w:t>
                  </w:r>
                </w:p>
              </w:tc>
            </w:tr>
            <w:tr>
              <w:trPr>
                <w:cantSplit/>
                <w:tblHeader w:val="off"/>
              </w:trPr>
              <w:tc>
                <w:tcPr>
                  <w:tcW w:type="dxa" w:w="1448"/>
                  <w:tcMar>
                    <w:top w:type="dxa" w:w="70"/>
                    <w:left w:type="dxa" w:w="100"/>
                    <w:bottom w:type="dxa" w:w="70"/>
                    <w:right w:type="dxa" w:w="100"/>
                  </w:tcMar>
                  <w:vAlign w:val="center"/>
                </w:tcPr>
                <w:p>
                  <w:pPr>
                    <w:spacing w:after="0"/>
                  </w:pPr>
                  <w:r>
                    <w:rPr>
                      <w:sz w:val="18"/>
                      <w:szCs w:val="18"/>
                    </w:rPr>
                    <w:t xml:space="preserve">1.000</w:t>
                  </w:r>
                </w:p>
              </w:tc>
              <w:tc>
                <w:tcPr>
                  <w:tcW w:type="dxa" w:w="2892"/>
                  <w:tcMar>
                    <w:top w:type="dxa" w:w="70"/>
                    <w:left w:type="dxa" w:w="100"/>
                    <w:bottom w:type="dxa" w:w="70"/>
                    <w:right w:type="dxa" w:w="100"/>
                  </w:tcMar>
                  <w:vAlign w:val="center"/>
                </w:tcPr>
                <w:p>
                  <w:pPr>
                    <w:spacing w:after="0"/>
                  </w:pPr>
                  <w:r>
                    <w:rPr>
                      <w:sz w:val="18"/>
                      <w:szCs w:val="18"/>
                    </w:rPr>
                    <w:t xml:space="preserve">19,4 %</w:t>
                  </w:r>
                </w:p>
              </w:tc>
              <w:tc>
                <w:tcPr>
                  <w:tcW w:type="dxa" w:w="2686"/>
                  <w:tcMar>
                    <w:top w:type="dxa" w:w="70"/>
                    <w:left w:type="dxa" w:w="100"/>
                    <w:bottom w:type="dxa" w:w="70"/>
                    <w:right w:type="dxa" w:w="100"/>
                  </w:tcMar>
                  <w:vAlign w:val="center"/>
                </w:tcPr>
                <w:p>
                  <w:pPr>
                    <w:spacing w:after="0"/>
                  </w:pPr>
                  <w:r>
                    <w:rPr>
                      <w:sz w:val="18"/>
                      <w:szCs w:val="18"/>
                    </w:rPr>
                    <w:t xml:space="preserve">0,070</w:t>
                  </w:r>
                </w:p>
              </w:tc>
            </w:tr>
            <w:tr>
              <w:trPr>
                <w:cantSplit/>
                <w:tblHeader w:val="off"/>
              </w:trPr>
              <w:tc>
                <w:tcPr>
                  <w:tcW w:type="dxa" w:w="1448"/>
                  <w:tcMar>
                    <w:top w:type="dxa" w:w="70"/>
                    <w:left w:type="dxa" w:w="100"/>
                    <w:bottom w:type="dxa" w:w="70"/>
                    <w:right w:type="dxa" w:w="100"/>
                  </w:tcMar>
                  <w:vAlign w:val="center"/>
                </w:tcPr>
                <w:p>
                  <w:pPr>
                    <w:spacing w:after="0"/>
                  </w:pPr>
                  <w:r>
                    <w:rPr>
                      <w:sz w:val="18"/>
                      <w:szCs w:val="18"/>
                    </w:rPr>
                    <w:t xml:space="preserve">10.000</w:t>
                  </w:r>
                </w:p>
              </w:tc>
              <w:tc>
                <w:tcPr>
                  <w:tcW w:type="dxa" w:w="2892"/>
                  <w:tcMar>
                    <w:top w:type="dxa" w:w="70"/>
                    <w:left w:type="dxa" w:w="100"/>
                    <w:bottom w:type="dxa" w:w="70"/>
                    <w:right w:type="dxa" w:w="100"/>
                  </w:tcMar>
                  <w:vAlign w:val="center"/>
                </w:tcPr>
                <w:p>
                  <w:pPr>
                    <w:spacing w:after="0"/>
                  </w:pPr>
                  <w:r>
                    <w:rPr>
                      <w:sz w:val="18"/>
                      <w:szCs w:val="18"/>
                    </w:rPr>
                    <w:t xml:space="preserve">10,2 %</w:t>
                  </w:r>
                </w:p>
              </w:tc>
              <w:tc>
                <w:tcPr>
                  <w:tcW w:type="dxa" w:w="2686"/>
                  <w:tcMar>
                    <w:top w:type="dxa" w:w="70"/>
                    <w:left w:type="dxa" w:w="100"/>
                    <w:bottom w:type="dxa" w:w="70"/>
                    <w:right w:type="dxa" w:w="100"/>
                  </w:tcMar>
                  <w:vAlign w:val="center"/>
                </w:tcPr>
                <w:p>
                  <w:pPr>
                    <w:spacing w:after="0"/>
                  </w:pPr>
                  <w:r>
                    <w:rPr>
                      <w:sz w:val="18"/>
                      <w:szCs w:val="18"/>
                    </w:rPr>
                    <w:t xml:space="preserve">0,221</w:t>
                  </w:r>
                </w:p>
              </w:tc>
            </w:tr>
            <w:tr>
              <w:trPr>
                <w:cantSplit/>
                <w:tblHeader w:val="off"/>
              </w:trPr>
              <w:tc>
                <w:tcPr>
                  <w:tcW w:type="dxa" w:w="1448"/>
                  <w:tcMar>
                    <w:top w:type="dxa" w:w="70"/>
                    <w:left w:type="dxa" w:w="100"/>
                    <w:bottom w:type="dxa" w:w="70"/>
                    <w:right w:type="dxa" w:w="100"/>
                  </w:tcMar>
                  <w:vAlign w:val="center"/>
                </w:tcPr>
                <w:p>
                  <w:pPr>
                    <w:spacing w:after="0"/>
                  </w:pPr>
                  <w:r>
                    <w:rPr>
                      <w:sz w:val="18"/>
                      <w:szCs w:val="18"/>
                    </w:rPr>
                    <w:t xml:space="preserve">100.000</w:t>
                  </w:r>
                </w:p>
              </w:tc>
              <w:tc>
                <w:tcPr>
                  <w:tcW w:type="dxa" w:w="2892"/>
                  <w:tcMar>
                    <w:top w:type="dxa" w:w="70"/>
                    <w:left w:type="dxa" w:w="100"/>
                    <w:bottom w:type="dxa" w:w="70"/>
                    <w:right w:type="dxa" w:w="100"/>
                  </w:tcMar>
                  <w:vAlign w:val="center"/>
                </w:tcPr>
                <w:p>
                  <w:pPr>
                    <w:spacing w:after="0"/>
                  </w:pPr>
                  <w:r>
                    <w:rPr>
                      <w:sz w:val="18"/>
                      <w:szCs w:val="18"/>
                    </w:rPr>
                    <w:t xml:space="preserve">7,2 %</w:t>
                  </w:r>
                </w:p>
              </w:tc>
              <w:tc>
                <w:tcPr>
                  <w:tcW w:type="dxa" w:w="2686"/>
                  <w:tcMar>
                    <w:top w:type="dxa" w:w="70"/>
                    <w:left w:type="dxa" w:w="100"/>
                    <w:bottom w:type="dxa" w:w="70"/>
                    <w:right w:type="dxa" w:w="100"/>
                  </w:tcMar>
                  <w:vAlign w:val="center"/>
                </w:tcPr>
                <w:p>
                  <w:pPr>
                    <w:spacing w:after="0"/>
                  </w:pPr>
                  <w:r>
                    <w:rPr>
                      <w:sz w:val="18"/>
                      <w:szCs w:val="18"/>
                    </w:rPr>
                    <w:t xml:space="preserve">0,708</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w:t>
            </w:r>
          </w:p>
        </w:tc>
        <w:tc>
          <w:tcPr>
            <w:tcW w:type="dxa" w:w="7226"/>
            <w:tcMar>
              <w:top w:type="dxa" w:w="70"/>
              <w:left w:type="dxa" w:w="100"/>
              <w:bottom w:type="dxa" w:w="70"/>
              <w:right w:type="dxa" w:w="100"/>
            </w:tcMar>
          </w:tcPr>
          <w:p>
            <w:pPr>
              <w:keepNext/>
              <w:spacing w:after="0" w:before="0"/>
            </w:pPr>
            <w:r>
              <w:rPr>
                <w:sz w:val="20"/>
                <w:szCs w:val="20"/>
              </w:rPr>
              <w:t xml:space="preserve">D61.3 (anemia aplástica idiopática) tiene 149 casos y 35,6 % de reingreso a 30 días, seis veces la tasa general, y no pasa (V 0,0085).</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Códigos que bajan el riesgo</w:t>
            </w:r>
          </w:p>
        </w:tc>
        <w:tc>
          <w:tcPr>
            <w:tcW w:type="dxa" w:w="7226"/>
            <w:tcMar>
              <w:top w:type="dxa" w:w="70"/>
              <w:left w:type="dxa" w:w="100"/>
              <w:bottom w:type="dxa" w:w="70"/>
              <w:right w:type="dxa" w:w="100"/>
            </w:tcMar>
          </w:tcPr>
          <w:p>
            <w:pPr>
              <w:keepNext/>
              <w:spacing w:after="0" w:before="0"/>
            </w:pPr>
            <w:r>
              <w:rPr>
                <w:sz w:val="20"/>
                <w:szCs w:val="20"/>
              </w:rPr>
              <w:t xml:space="preserve">Aunque ninguno de sus casos reingrese, un código necesita al menos 5.227 casos para pasar con </w:t>
            </w:r>
            <w:r>
              <w:rPr>
                <w:rFonts w:ascii="Consolas" w:cs="Consolas" w:eastAsia="Consolas" w:hAnsi="Consolas"/>
                <w:sz w:val="18"/>
                <w:szCs w:val="18"/>
                <w:shd w:fill="F2F2F2" w:color="auto" w:val="clear"/>
              </w:rPr>
              <w:t xml:space="preserve">REING_30D</w:t>
            </w:r>
            <w:r>
              <w:rPr>
                <w:sz w:val="20"/>
                <w:szCs w:val="20"/>
              </w:rPr>
              <w:t xml:space="preserve"> (15.824 con </w:t>
            </w:r>
            <w:r>
              <w:rPr>
                <w:rFonts w:ascii="Consolas" w:cs="Consolas" w:eastAsia="Consolas" w:hAnsi="Consolas"/>
                <w:sz w:val="18"/>
                <w:szCs w:val="18"/>
                <w:shd w:fill="F2F2F2" w:color="auto" w:val="clear"/>
              </w:rPr>
              <w:t xml:space="preserve">REING_7D</w:t>
            </w:r>
            <w:r>
              <w:rPr>
                <w:sz w:val="20"/>
                <w:szCs w:val="20"/>
              </w:rPr>
              <w:t xml:space="preserve">, 22.165 con </w:t>
            </w:r>
            <w:r>
              <w:rPr>
                <w:rFonts w:ascii="Consolas" w:cs="Consolas" w:eastAsia="Consolas" w:hAnsi="Consolas"/>
                <w:sz w:val="18"/>
                <w:szCs w:val="18"/>
                <w:shd w:fill="F2F2F2" w:color="auto" w:val="clear"/>
              </w:rPr>
              <w:t xml:space="preserve">REING_7D_CDM</w:t>
            </w:r>
            <w:r>
              <w:rPr>
                <w:sz w:val="20"/>
                <w:szCs w:val="20"/>
              </w:rPr>
              <w:t xml:space="preserve"> y 7.577 con </w:t>
            </w:r>
            <w:r>
              <w:rPr>
                <w:rFonts w:ascii="Consolas" w:cs="Consolas" w:eastAsia="Consolas" w:hAnsi="Consolas"/>
                <w:sz w:val="18"/>
                <w:szCs w:val="18"/>
                <w:shd w:fill="F2F2F2" w:color="auto" w:val="clear"/>
              </w:rPr>
              <w:t xml:space="preserve">REING_30D_CDM</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Escala de la V</w:t>
            </w:r>
          </w:p>
        </w:tc>
        <w:tc>
          <w:tcPr>
            <w:tcW w:type="dxa" w:w="7226"/>
            <w:tcMar>
              <w:top w:type="dxa" w:w="70"/>
              <w:left w:type="dxa" w:w="100"/>
              <w:bottom w:type="dxa" w:w="70"/>
              <w:right w:type="dxa" w:w="100"/>
            </w:tcMar>
          </w:tcPr>
          <w:p>
            <w:pPr>
              <w:keepNext/>
              <w:spacing w:after="0" w:before="0"/>
            </w:pPr>
            <w:r>
              <w:rPr>
                <w:sz w:val="20"/>
                <w:szCs w:val="20"/>
              </w:rPr>
              <w:t xml:space="preserve">La V más alta de toda la tabla es 0,078 (Z37.0 con </w:t>
            </w:r>
            <w:r>
              <w:rPr>
                <w:rFonts w:ascii="Consolas" w:cs="Consolas" w:eastAsia="Consolas" w:hAnsi="Consolas"/>
                <w:sz w:val="18"/>
                <w:szCs w:val="18"/>
                <w:shd w:fill="F2F2F2" w:color="auto" w:val="clear"/>
              </w:rPr>
              <w:t xml:space="preserve">REING_30D</w:t>
            </w:r>
            <w:r>
              <w:rPr>
                <w:sz w:val="20"/>
                <w:szCs w:val="20"/>
              </w:rPr>
              <w:t xml:space="preserve">) y 0,088 (75.34 con </w:t>
            </w:r>
            <w:r>
              <w:rPr>
                <w:rFonts w:ascii="Consolas" w:cs="Consolas" w:eastAsia="Consolas" w:hAnsi="Consolas"/>
                <w:sz w:val="18"/>
                <w:szCs w:val="18"/>
                <w:shd w:fill="F2F2F2" w:color="auto" w:val="clear"/>
              </w:rPr>
              <w:t xml:space="preserve">REING_30D_CDM</w:t>
            </w:r>
            <w:r>
              <w:rPr>
                <w:sz w:val="20"/>
                <w:szCs w:val="20"/>
              </w:rPr>
              <w:t xml:space="preserve">). En la escala habitual (Cohen, 1988) 0,1 ya es un efecto pequeño: la propuesta llama laxo al umbral de 0,01 porque está diez veces por debajo, pero con un reingreso poco frecuente la V de casi todos los códigos es baja, y 0,01 resulta exigente para los que tienen unos pocos miles de casos.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Códigos de efecto grande que quedan fuera</w:t>
            </w:r>
          </w:p>
        </w:tc>
        <w:tc>
          <w:tcPr>
            <w:tcW w:type="dxa" w:w="7226"/>
            <w:tcMar>
              <w:top w:type="dxa" w:w="70"/>
              <w:left w:type="dxa" w:w="100"/>
              <w:bottom w:type="dxa" w:w="70"/>
              <w:right w:type="dxa" w:w="100"/>
            </w:tcMar>
          </w:tcPr>
          <w:p>
            <w:pPr>
              <w:keepNext/>
              <w:spacing w:after="0" w:before="0"/>
            </w:pPr>
            <w:r>
              <w:rPr>
                <w:sz w:val="20"/>
                <w:szCs w:val="20"/>
              </w:rPr>
              <w:t xml:space="preserve">Con </w:t>
            </w:r>
            <w:r>
              <w:rPr>
                <w:rFonts w:ascii="Consolas" w:cs="Consolas" w:eastAsia="Consolas" w:hAnsi="Consolas"/>
                <w:sz w:val="18"/>
                <w:szCs w:val="18"/>
                <w:shd w:fill="F2F2F2" w:color="auto" w:val="clear"/>
              </w:rPr>
              <w:t xml:space="preserve">REING_30D</w:t>
            </w:r>
            <w:r>
              <w:rPr>
                <w:sz w:val="20"/>
                <w:szCs w:val="20"/>
              </w:rPr>
              <w:t xml:space="preserve">, de los 6.703 códigos con 100 casos o más que no llegan a V 0,01, 1.178 tienen un efecto grande y claro: con el código el riesgo es al menos el doble o como máximo la mitad que sin él, con p &lt; 0,001 (691 suben el riesgo y 487 lo bajan; mediana de 642 casos). Por ejemplo, R57.0 (choque cardiogénico: 3.512 casos, 11,9 % de reingreso, V 0,0084), C79.3 (tumor maligno secundario del encéfalo: 3.530 casos, 11,8 %) y J84.9 (enfermedad pulmonar intersticial: 3.318 casos, 12,1 %), y entre los que lo bajan, 69.09 (legrado y dilatación del útero: 12.414 casos, 2,2 %). Los otros 5.525 tienen, en general, un efecto menor: en el caso típico el riesgo con el código es solo 11 % mayor. Con las otras variables, los de efecto grande y claro que quedan fuera son 741 (</w:t>
            </w:r>
            <w:r>
              <w:rPr>
                <w:rFonts w:ascii="Consolas" w:cs="Consolas" w:eastAsia="Consolas" w:hAnsi="Consolas"/>
                <w:sz w:val="18"/>
                <w:szCs w:val="18"/>
                <w:shd w:fill="F2F2F2" w:color="auto" w:val="clear"/>
              </w:rPr>
              <w:t xml:space="preserve">REING_7D</w:t>
            </w:r>
            <w:r>
              <w:rPr>
                <w:sz w:val="20"/>
                <w:szCs w:val="20"/>
              </w:rPr>
              <w:t xml:space="preserve">), 572 (</w:t>
            </w:r>
            <w:r>
              <w:rPr>
                <w:rFonts w:ascii="Consolas" w:cs="Consolas" w:eastAsia="Consolas" w:hAnsi="Consolas"/>
                <w:sz w:val="18"/>
                <w:szCs w:val="18"/>
                <w:shd w:fill="F2F2F2" w:color="auto" w:val="clear"/>
              </w:rPr>
              <w:t xml:space="preserve">REING_7D_CDM</w:t>
            </w:r>
            <w:r>
              <w:rPr>
                <w:sz w:val="20"/>
                <w:szCs w:val="20"/>
              </w:rPr>
              <w:t xml:space="preserve">) y 979 (</w:t>
            </w:r>
            <w:r>
              <w:rPr>
                <w:rFonts w:ascii="Consolas" w:cs="Consolas" w:eastAsia="Consolas" w:hAnsi="Consolas"/>
                <w:sz w:val="18"/>
                <w:szCs w:val="18"/>
                <w:shd w:fill="F2F2F2" w:color="auto" w:val="clear"/>
              </w:rPr>
              <w:t xml:space="preserve">REING_30D_CDM</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Y al revés</w:t>
            </w:r>
          </w:p>
        </w:tc>
        <w:tc>
          <w:tcPr>
            <w:tcW w:type="dxa" w:w="7226"/>
            <w:tcMar>
              <w:top w:type="dxa" w:w="70"/>
              <w:left w:type="dxa" w:w="100"/>
              <w:bottom w:type="dxa" w:w="70"/>
              <w:right w:type="dxa" w:w="100"/>
            </w:tcMar>
          </w:tcPr>
          <w:p>
            <w:pPr>
              <w:keepNext/>
              <w:spacing w:after="0" w:before="0"/>
            </w:pPr>
            <w:r>
              <w:rPr>
                <w:sz w:val="20"/>
                <w:szCs w:val="20"/>
              </w:rPr>
              <w:t xml:space="preserve">Pasan 54 códigos de efecto débil (riesgo con el código entre 0,67 y 1,5 veces el de sin él) solo porque son muy frecuentes, como 99.29 (inyección de otra sustancia terapéutica o profiláctica: 2.299.500 casos, 0,91 veces) y 90.59 (1.947.450 casos, 1,26 veces).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Cuánto se pierde</w:t>
            </w:r>
          </w:p>
        </w:tc>
        <w:tc>
          <w:tcPr>
            <w:tcW w:type="dxa" w:w="7226"/>
            <w:tcMar>
              <w:top w:type="dxa" w:w="70"/>
              <w:left w:type="dxa" w:w="100"/>
              <w:bottom w:type="dxa" w:w="70"/>
              <w:right w:type="dxa" w:w="100"/>
            </w:tcMar>
          </w:tcPr>
          <w:p>
            <w:pPr>
              <w:keepNext/>
              <w:spacing w:after="0" w:before="0"/>
            </w:pPr>
            <w:r>
              <w:rPr>
                <w:sz w:val="20"/>
                <w:szCs w:val="20"/>
              </w:rPr>
              <w:t xml:space="preserve">Con </w:t>
            </w:r>
            <w:r>
              <w:rPr>
                <w:rFonts w:ascii="Consolas" w:cs="Consolas" w:eastAsia="Consolas" w:hAnsi="Consolas"/>
                <w:sz w:val="18"/>
                <w:szCs w:val="18"/>
                <w:shd w:fill="F2F2F2" w:color="auto" w:val="clear"/>
              </w:rPr>
              <w:t xml:space="preserve">REING_30D</w:t>
            </w:r>
            <w:r>
              <w:rPr>
                <w:sz w:val="20"/>
                <w:szCs w:val="20"/>
              </w:rPr>
              <w:t xml:space="preserve">, 938.101 casos (28,6 %) tienen alguno de los 1.178 códigos de efecto grande que quedan fuera, pero el 97,2 % de ellos tiene además algún código de la lista. Solo 26.283 casos (0,8 %) tienen uno de esos códigos y ninguno de la lista. Parte de esa información vuelve por las variables del paso 2; por ejemplo, la metástasis cuenta en el índice de Charlson.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Interpretación</w:t>
            </w:r>
          </w:p>
        </w:tc>
        <w:tc>
          <w:tcPr>
            <w:tcW w:type="dxa" w:w="7226"/>
            <w:tcMar>
              <w:top w:type="dxa" w:w="70"/>
              <w:left w:type="dxa" w:w="100"/>
              <w:bottom w:type="dxa" w:w="70"/>
              <w:right w:type="dxa" w:w="100"/>
            </w:tcMar>
          </w:tcPr>
          <w:p>
            <w:pPr>
              <w:keepNext/>
              <w:spacing w:after="0" w:before="0"/>
            </w:pPr>
            <w:r>
              <w:rPr>
                <w:sz w:val="20"/>
                <w:szCs w:val="20"/>
              </w:rPr>
              <w:t xml:space="preserve">La V favorece los códigos que pueden aportar a la predicción en toda la población, que es como se evalúan los modelos (AUROC y AUPRC sobre todos los casos): un código poco frecuente, aunque duplique el riesgo, cambia la predicción de pocos casos. Su costo es clínico, porque deja fuera marcadores fuertes pero poco frecuentes. En la literatura, los filtros univariados se usan como un primer cribado laxo antes de la selección dentro de los modelos (Guyon y Elisseeff, 2003), muchas veces ordenando los códigos en vez de usar un umbral fijo (Fan y Lv, 2008), y los modelos de reingreso más usados resumen los diagnósticos con índices de comorbilidad (Kansagara et al., 2011).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para la consulta</w:t>
            </w:r>
          </w:p>
        </w:tc>
        <w:tc>
          <w:tcPr>
            <w:tcW w:type="dxa" w:w="7226"/>
            <w:tcMar>
              <w:top w:type="dxa" w:w="70"/>
              <w:left w:type="dxa" w:w="100"/>
              <w:bottom w:type="dxa" w:w="70"/>
              <w:right w:type="dxa" w:w="100"/>
            </w:tcMar>
          </w:tcPr>
          <w:p>
            <w:pPr>
              <w:keepNext/>
              <w:spacing w:after="0" w:before="0"/>
            </w:pPr>
            <w:r>
              <w:rPr>
                <w:sz w:val="20"/>
                <w:szCs w:val="20"/>
              </w:rPr>
              <w:t xml:space="preserve">(A) Mantener V ≥ 0,01, como dice la propuesta: 108, 57, 423 y 190 códigos. (B) Bajar a V ≥ 0,005: 417, 206, 1.074 y 601; recupera solo 325 de los 1.178 códigos de efecto grande de </w:t>
            </w:r>
            <w:r>
              <w:rPr>
                <w:rFonts w:ascii="Consolas" w:cs="Consolas" w:eastAsia="Consolas" w:hAnsi="Consolas"/>
                <w:sz w:val="18"/>
                <w:szCs w:val="18"/>
                <w:shd w:fill="F2F2F2" w:color="auto" w:val="clear"/>
              </w:rPr>
              <w:t xml:space="preserve">REING_30D</w:t>
            </w:r>
            <w:r>
              <w:rPr>
                <w:sz w:val="20"/>
                <w:szCs w:val="20"/>
              </w:rPr>
              <w:t xml:space="preserve"> y agrega 103 frecuentes de efecto débil, como 99.21 (inyección de antibiótico: 1.499.078 casos, 1,05 veces). (C) Pasa un código con al menos 100 casos si su V es mayor o igual a 0,01 o si su riesgo es al menos el doble o como máximo la mitad que sin él, con p &lt; 0,001: 849, 629, 1.601 y 1.169; con unos 7.000 códigos de 100 casos o más, ese valor p deja pasar como mucho unos 7 por azar.</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Propuesta para el profesor guía</w:t>
            </w:r>
          </w:p>
        </w:tc>
        <w:tc>
          <w:tcPr>
            <w:tcW w:type="dxa" w:w="7226"/>
            <w:tcMar>
              <w:top w:type="dxa" w:w="70"/>
              <w:left w:type="dxa" w:w="100"/>
              <w:bottom w:type="dxa" w:w="70"/>
              <w:right w:type="dxa" w:w="100"/>
            </w:tcMar>
          </w:tcPr>
          <w:p>
            <w:pPr>
              <w:keepNext/>
              <w:spacing w:after="0" w:before="0"/>
            </w:pPr>
            <w:r>
              <w:rPr>
                <w:sz w:val="20"/>
                <w:szCs w:val="20"/>
              </w:rPr>
              <w:t xml:space="preserve">Mantener A como lista principal y medir su costo en la actividad 3.2: entrenar los mismos modelos, con la misma validación cruzada, con la lista A y con la lista C, y comparar la AUPRC y la AUROC. Si dan igual, el filtro no pierde nada importante; si C predice mejor, se adopta C. Cambiar la lista solo requiere el parámetro correspondiente y volver a ejecutar el script 14 y su prueba.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reportes/14_filtro_codigos.md</w:t>
            </w:r>
            <w:r>
              <w:rPr>
                <w:sz w:val="20"/>
                <w:szCs w:val="20"/>
              </w:rPr>
              <w:t xml:space="preserve">, secciones 3 y 4. Los códigos de efecto grande que quedan fuera, los de efecto débil que pasan, la V máxima posible y la opción C salen de una exploración de solo lectura del 28 de octubre de 2026 sobre </w:t>
            </w:r>
            <w:r>
              <w:rPr>
                <w:rFonts w:ascii="Consolas" w:cs="Consolas" w:eastAsia="Consolas" w:hAnsi="Consolas"/>
                <w:sz w:val="18"/>
                <w:szCs w:val="18"/>
                <w:shd w:fill="F2F2F2" w:color="auto" w:val="clear"/>
              </w:rPr>
              <w:t xml:space="preserve">filtro_codigos.parquet</w:t>
            </w:r>
            <w:r>
              <w:rPr>
                <w:sz w:val="20"/>
                <w:szCs w:val="20"/>
              </w:rPr>
              <w:t xml:space="preserve"> y el conjunto de desarrollo.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Referencias</w:t>
            </w:r>
          </w:p>
        </w:tc>
        <w:tc>
          <w:tcPr>
            <w:tcW w:type="dxa" w:w="7226"/>
            <w:tcMar>
              <w:top w:type="dxa" w:w="70"/>
              <w:left w:type="dxa" w:w="100"/>
              <w:bottom w:type="dxa" w:w="70"/>
              <w:right w:type="dxa" w:w="100"/>
            </w:tcMar>
          </w:tcPr>
          <w:p>
            <w:pPr>
              <w:keepNext w:val="false"/>
              <w:spacing w:after="0" w:before="0"/>
            </w:pPr>
            <w:r>
              <w:rPr>
                <w:sz w:val="20"/>
                <w:szCs w:val="20"/>
              </w:rPr>
              <w:t xml:space="preserve">Cohen, J. (1988), </w:t>
            </w:r>
            <w:r>
              <w:rPr>
                <w:i/>
                <w:iCs/>
                <w:sz w:val="20"/>
                <w:szCs w:val="20"/>
              </w:rPr>
              <w:t xml:space="preserve">Statistical Power Analysis for the Behavioral Sciences</w:t>
            </w:r>
            <w:r>
              <w:rPr>
                <w:sz w:val="20"/>
                <w:szCs w:val="20"/>
              </w:rPr>
              <w:t xml:space="preserve"> (2.ª ed.); Guyon, I. y Elisseeff, A. (2003), </w:t>
            </w:r>
            <w:r>
              <w:rPr>
                <w:i/>
                <w:iCs/>
                <w:sz w:val="20"/>
                <w:szCs w:val="20"/>
              </w:rPr>
              <w:t xml:space="preserve">Journal of Machine Learning Research</w:t>
            </w:r>
            <w:r>
              <w:rPr>
                <w:sz w:val="20"/>
                <w:szCs w:val="20"/>
              </w:rPr>
              <w:t xml:space="preserve">, 3, 1157–1182; Fan, J. y Lv, J. (2008), </w:t>
            </w:r>
            <w:r>
              <w:rPr>
                <w:i/>
                <w:iCs/>
                <w:sz w:val="20"/>
                <w:szCs w:val="20"/>
              </w:rPr>
              <w:t xml:space="preserve">Journal of the Royal Statistical Society, Series B</w:t>
            </w:r>
            <w:r>
              <w:rPr>
                <w:sz w:val="20"/>
                <w:szCs w:val="20"/>
              </w:rPr>
              <w:t xml:space="preserve">, 70(5), 849–911; Kansagara, D., et al. (2011), </w:t>
            </w:r>
            <w:r>
              <w:rPr>
                <w:i/>
                <w:iCs/>
                <w:sz w:val="20"/>
                <w:szCs w:val="20"/>
              </w:rPr>
              <w:t xml:space="preserve">JAMA</w:t>
            </w:r>
            <w:r>
              <w:rPr>
                <w:sz w:val="20"/>
                <w:szCs w:val="20"/>
              </w:rPr>
              <w:t xml:space="preserve">, 306(15), 1688–1698.</w:t>
            </w:r>
          </w:p>
        </w:tc>
      </w:tr>
    </w:tbl>
    <w:p>
      <w:pPr>
        <w:pStyle w:val="Heading2"/>
      </w:pPr>
      <w:bookmarkStart w:name="E_H31" w:id="3"/>
      <w:r>
        <w:rPr>
          <w:color w:val="2E75B6"/>
        </w:rPr>
        <w:t xml:space="preserve">H31</w:t>
      </w:r>
      <w:bookmarkEnd w:id="3"/>
      <w:r>
        <w:t xml:space="preserve"> · Algunos códigos que pasan cambian mucho con los años</w:t>
      </w:r>
    </w:p>
    <w:p>
      <w:pPr>
        <w:keepNext/>
        <w:spacing w:after="100"/>
      </w:pPr>
      <w:r>
        <w:rPr>
          <w:b/>
          <w:bCs/>
          <w:color w:val="2E75B6"/>
          <w:sz w:val="18"/>
          <w:szCs w:val="18"/>
        </w:rPr>
        <w:t xml:space="preserve">Hallazgo</w:t>
      </w:r>
      <w:r>
        <w:rPr>
          <w:color w:val="808080"/>
          <w:sz w:val="18"/>
          <w:szCs w:val="18"/>
        </w:rPr>
        <w:t xml:space="preserve">  ·  28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El formato de los códigos no cambia entre años, pero sí la frecuencia de algunos. Con </w:t>
            </w:r>
            <w:r>
              <w:rPr>
                <w:rFonts w:ascii="Consolas" w:cs="Consolas" w:eastAsia="Consolas" w:hAnsi="Consolas"/>
                <w:sz w:val="18"/>
                <w:szCs w:val="18"/>
                <w:shd w:fill="F2F2F2" w:color="auto" w:val="clear"/>
              </w:rPr>
              <w:t xml:space="preserve">REING_30D</w:t>
            </w:r>
            <w:r>
              <w:rPr>
                <w:sz w:val="20"/>
                <w:szCs w:val="20"/>
              </w:rPr>
              <w:t xml:space="preserve">, 17 de los 281 diagnósticos y 10 de los 142 procedimientos que pasan varían más del triple entre su año de menor y de mayor frecuencia; con las otras variables, entre 1 y 5. Ningún código que pasa falta en algún año.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Ejemplos</w:t>
            </w:r>
          </w:p>
        </w:tc>
        <w:tc>
          <w:tcPr>
            <w:tcW w:type="dxa" w:w="7226"/>
            <w:tcMar>
              <w:top w:type="dxa" w:w="70"/>
              <w:left w:type="dxa" w:w="100"/>
              <w:bottom w:type="dxa" w:w="70"/>
              <w:right w:type="dxa" w:w="100"/>
            </w:tcMar>
          </w:tcPr>
          <w:p>
            <w:pPr>
              <w:keepNext/>
              <w:spacing w:after="0" w:before="0"/>
            </w:pPr>
            <w:r>
              <w:rPr>
                <w:sz w:val="20"/>
                <w:szCs w:val="20"/>
              </w:rPr>
              <w:t xml:space="preserve">90.39 («examen microscópico ORL, otro») está en el 3,4 % de los casos de estudio de 2019, el 39,3 % de 2021 y el 10,6 % de 2024: sigue el ritmo de la pandemia. 99.84 («aislamiento») va de 2,5 % a 10,1 % y 4,2 %, y J96.00 (insuficiencia respiratoria aguda tipo I), de 0,4 % a 3,0 % y 2,1 %. Otros crecen todos los años, como E55.9 (deficiencia de vitamina D), de 0,13 % a 0,98 %, de la mano del aumento de diagnósticos por caso (de 4,60 en 2019 a 6,18 en 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El filtro no cambia, pero el significado de esos códigos depende del período. Es parte de lo que medirá la validación temporal (D40 de la bitácora de la 2.3) y conviene comentarlo con el profesor guía.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reportes/14_filtro_codigos.md</w:t>
            </w:r>
            <w:r>
              <w:rPr>
                <w:sz w:val="20"/>
                <w:szCs w:val="20"/>
              </w:rPr>
              <w:t xml:space="preserve">, sección 7.</w:t>
            </w:r>
          </w:p>
        </w:tc>
      </w:tr>
    </w:tbl>
    <w:p>
      <w:pPr>
        <w:pStyle w:val="Heading2"/>
      </w:pPr>
      <w:bookmarkStart w:name="E_H32" w:id="4"/>
      <w:r>
        <w:rPr>
          <w:color w:val="2E75B6"/>
        </w:rPr>
        <w:t xml:space="preserve">H32</w:t>
      </w:r>
      <w:bookmarkEnd w:id="4"/>
      <w:r>
        <w:t xml:space="preserve"> · Pocos códigos dependen de una sola persona</w:t>
      </w:r>
    </w:p>
    <w:p>
      <w:pPr>
        <w:keepNext/>
        <w:spacing w:after="100"/>
      </w:pPr>
      <w:r>
        <w:rPr>
          <w:b/>
          <w:bCs/>
          <w:color w:val="2E75B6"/>
          <w:sz w:val="18"/>
          <w:szCs w:val="18"/>
        </w:rPr>
        <w:t xml:space="preserve">Hallazgo</w:t>
      </w:r>
      <w:r>
        <w:rPr>
          <w:color w:val="808080"/>
          <w:sz w:val="18"/>
          <w:szCs w:val="18"/>
        </w:rPr>
        <w:t xml:space="preserve">  ·  28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Sin el mínimo de 100 casos pasaría un solo código más: O35.2 (atención materna por presunta enfermedad hereditaria en el feto), con </w:t>
            </w:r>
            <w:r>
              <w:rPr>
                <w:rFonts w:ascii="Consolas" w:cs="Consolas" w:eastAsia="Consolas" w:hAnsi="Consolas"/>
                <w:sz w:val="18"/>
                <w:szCs w:val="18"/>
                <w:shd w:fill="F2F2F2" w:color="auto" w:val="clear"/>
              </w:rPr>
              <w:t xml:space="preserve">REING_7D_CDM</w:t>
            </w:r>
            <w:r>
              <w:rPr>
                <w:sz w:val="20"/>
                <w:szCs w:val="20"/>
              </w:rPr>
              <w:t xml:space="preserve">. Tiene 63 casos con dato, 19 reingresos y V 0,0121, pero 22 de esos casos y 18 de los 19 reingresos son de una misma paciente. Sin ella quedan 41 casos y 1 reingreso (2,4 %): el código no describe un riesgo, describe a una persona.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Entre los que pasan</w:t>
            </w:r>
          </w:p>
        </w:tc>
        <w:tc>
          <w:tcPr>
            <w:tcW w:type="dxa" w:w="7226"/>
            <w:tcMar>
              <w:top w:type="dxa" w:w="70"/>
              <w:left w:type="dxa" w:w="100"/>
              <w:bottom w:type="dxa" w:w="70"/>
              <w:right w:type="dxa" w:w="100"/>
            </w:tcMar>
          </w:tcPr>
          <w:p>
            <w:pPr>
              <w:keepNext/>
              <w:spacing w:after="0" w:before="0"/>
            </w:pPr>
            <w:r>
              <w:rPr>
                <w:sz w:val="20"/>
                <w:szCs w:val="20"/>
              </w:rPr>
              <w:t xml:space="preserve">Solo en dos códigos, ambos de </w:t>
            </w:r>
            <w:r>
              <w:rPr>
                <w:rFonts w:ascii="Consolas" w:cs="Consolas" w:eastAsia="Consolas" w:hAnsi="Consolas"/>
                <w:sz w:val="18"/>
                <w:szCs w:val="18"/>
                <w:shd w:fill="F2F2F2" w:color="auto" w:val="clear"/>
              </w:rPr>
              <w:t xml:space="preserve">REING_7D_CDM</w:t>
            </w:r>
            <w:r>
              <w:rPr>
                <w:sz w:val="20"/>
                <w:szCs w:val="20"/>
              </w:rPr>
              <w:t xml:space="preserve">, una persona aporta más de la mitad de los reingresos: K90.8 (otros tipos de malabsorción intestinal: 289 casos, 37 reingresos, 33 de una misma persona) y O36.1 (atención materna por otra isoinmunización: 145 casos, 25 reingresos, 17 de una misma persona). En las otras tres variables ningún código que pasa tiene una persona con más del 10 % de sus reingresos; en el caso típico, la persona que más aporta tiene entre el 0,2 % y el 1,2 % de los reingresos del código.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El mínimo cuenta egresos, no personas: es una limitación que se declara. No invalida el filtro, que es laxo a propósito: en la actividad 3.2 la validación cruzada agrupada por paciente (D37) mostrará que un código así no sirve para predecir en otras personas. Se puede consultar al profesor guía si conviene exigir además un mínimo de pacientes distintos.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sz w:val="20"/>
                <w:szCs w:val="20"/>
              </w:rPr>
              <w:t xml:space="preserve">exploración de solo lectura del 28 de octubre de 2026 sobre el conjunto de desarrollo (casos y reingresos por identificador de paciente de cada código, sin mostrar identificadores).</w:t>
            </w:r>
          </w:p>
        </w:tc>
      </w:tr>
    </w:tbl>
    <w:p>
      <w:pPr>
        <w:pStyle w:val="Heading2"/>
      </w:pPr>
      <w:bookmarkStart w:name="E_D46" w:id="5"/>
      <w:r>
        <w:rPr>
          <w:color w:val="548235"/>
        </w:rPr>
        <w:t xml:space="preserve">D46</w:t>
      </w:r>
      <w:bookmarkEnd w:id="5"/>
      <w:r>
        <w:t xml:space="preserve"> · Variables administrativas y demográficas de la propuesta</w:t>
      </w:r>
    </w:p>
    <w:p>
      <w:pPr>
        <w:keepNext/>
        <w:spacing w:after="100"/>
      </w:pPr>
      <w:r>
        <w:rPr>
          <w:b/>
          <w:bCs/>
          <w:color w:val="548235"/>
          <w:sz w:val="18"/>
          <w:szCs w:val="18"/>
        </w:rPr>
        <w:t xml:space="preserve">Decisión</w:t>
      </w:r>
      <w:r>
        <w:rPr>
          <w:color w:val="808080"/>
          <w:sz w:val="18"/>
          <w:szCs w:val="18"/>
        </w:rPr>
        <w:t xml:space="preserve">  ·  29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80" w:before="0"/>
            </w:pPr>
            <w:r>
              <w:rPr>
                <w:sz w:val="20"/>
                <w:szCs w:val="20"/>
              </w:rPr>
              <w:t xml:space="preserve">Las ocho variables de la Etapa 3 que describen al paciente y su hospitalización se construyen así, sin pasar por el filtro de códigos (la Etapa 3 dice que a ese filtro «no quedan expuestas las variables administrativas»):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49"/>
              <w:gridCol w:w="4285"/>
              <w:gridCol w:w="792"/>
            </w:tblGrid>
            <w:tr>
              <w:trPr>
                <w:cantSplit/>
                <w:tblHeader/>
              </w:trPr>
              <w:tc>
                <w:tcPr>
                  <w:tcW w:type="dxa" w:w="1949"/>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4285"/>
                  <w:shd w:fill="D9E2F3" w:color="auto" w:val="clear"/>
                  <w:tcMar>
                    <w:top w:type="dxa" w:w="70"/>
                    <w:left w:type="dxa" w:w="100"/>
                    <w:bottom w:type="dxa" w:w="70"/>
                    <w:right w:type="dxa" w:w="100"/>
                  </w:tcMar>
                  <w:vAlign w:val="center"/>
                </w:tcPr>
                <w:p>
                  <w:pPr>
                    <w:spacing w:after="0"/>
                  </w:pPr>
                  <w:r>
                    <w:rPr>
                      <w:b/>
                      <w:bCs/>
                      <w:sz w:val="18"/>
                      <w:szCs w:val="18"/>
                    </w:rPr>
                    <w:t xml:space="preserve">Construcción</w:t>
                  </w:r>
                </w:p>
              </w:tc>
              <w:tc>
                <w:tcPr>
                  <w:tcW w:type="dxa" w:w="792"/>
                  <w:shd w:fill="D9E2F3" w:color="auto" w:val="clear"/>
                  <w:tcMar>
                    <w:top w:type="dxa" w:w="70"/>
                    <w:left w:type="dxa" w:w="100"/>
                    <w:bottom w:type="dxa" w:w="70"/>
                    <w:right w:type="dxa" w:w="100"/>
                  </w:tcMar>
                  <w:vAlign w:val="center"/>
                </w:tcPr>
                <w:p>
                  <w:pPr>
                    <w:spacing w:after="0"/>
                  </w:pPr>
                  <w:r>
                    <w:rPr>
                      <w:b/>
                      <w:bCs/>
                      <w:sz w:val="18"/>
                      <w:szCs w:val="18"/>
                    </w:rPr>
                    <w:t xml:space="preserve">Sin dato</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EDAD</w:t>
                  </w:r>
                </w:p>
              </w:tc>
              <w:tc>
                <w:tcPr>
                  <w:tcW w:type="dxa" w:w="4285"/>
                  <w:tcMar>
                    <w:top w:type="dxa" w:w="70"/>
                    <w:left w:type="dxa" w:w="100"/>
                    <w:bottom w:type="dxa" w:w="70"/>
                    <w:right w:type="dxa" w:w="100"/>
                  </w:tcMar>
                  <w:vAlign w:val="center"/>
                </w:tcPr>
                <w:p>
                  <w:pPr>
                    <w:spacing w:after="0"/>
                  </w:pPr>
                  <w:r>
                    <w:rPr>
                      <w:sz w:val="18"/>
                      <w:szCs w:val="18"/>
                    </w:rPr>
                    <w:t xml:space="preserve">Años con decimales al ingreso del propio egreso: días entre el nacimiento y el ingreso, divididos por 365,25</w:t>
                  </w:r>
                </w:p>
              </w:tc>
              <w:tc>
                <w:tcPr>
                  <w:tcW w:type="dxa" w:w="792"/>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SEXO</w:t>
                  </w:r>
                </w:p>
              </w:tc>
              <w:tc>
                <w:tcPr>
                  <w:tcW w:type="dxa" w:w="4285"/>
                  <w:tcMar>
                    <w:top w:type="dxa" w:w="70"/>
                    <w:left w:type="dxa" w:w="100"/>
                    <w:bottom w:type="dxa" w:w="70"/>
                    <w:right w:type="dxa" w:w="100"/>
                  </w:tcMar>
                  <w:vAlign w:val="center"/>
                </w:tcPr>
                <w:p>
                  <w:pPr>
                    <w:spacing w:after="0"/>
                  </w:pPr>
                  <w:r>
                    <w:rPr>
                      <w:sz w:val="18"/>
                      <w:szCs w:val="18"/>
                    </w:rPr>
                    <w:t xml:space="preserve">Tal cual (hombre o mujer)</w:t>
                  </w:r>
                </w:p>
              </w:tc>
              <w:tc>
                <w:tcPr>
                  <w:tcW w:type="dxa" w:w="792"/>
                  <w:tcMar>
                    <w:top w:type="dxa" w:w="70"/>
                    <w:left w:type="dxa" w:w="100"/>
                    <w:bottom w:type="dxa" w:w="70"/>
                    <w:right w:type="dxa" w:w="100"/>
                  </w:tcMar>
                  <w:vAlign w:val="center"/>
                </w:tcPr>
                <w:p>
                  <w:pPr>
                    <w:spacing w:after="0"/>
                  </w:pPr>
                  <w:r>
                    <w:rPr>
                      <w:sz w:val="18"/>
                      <w:szCs w:val="18"/>
                    </w:rPr>
                    <w:t xml:space="preserve">313</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PREVISION_GRUPO</w:t>
                  </w:r>
                </w:p>
              </w:tc>
              <w:tc>
                <w:tcPr>
                  <w:tcW w:type="dxa" w:w="4285"/>
                  <w:tcMar>
                    <w:top w:type="dxa" w:w="70"/>
                    <w:left w:type="dxa" w:w="100"/>
                    <w:bottom w:type="dxa" w:w="70"/>
                    <w:right w:type="dxa" w:w="100"/>
                  </w:tcMar>
                  <w:vAlign w:val="center"/>
                </w:tcPr>
                <w:p>
                  <w:pPr>
                    <w:spacing w:after="0"/>
                  </w:pPr>
                  <w:r>
                    <w:rPr>
                      <w:sz w:val="18"/>
                      <w:szCs w:val="18"/>
                    </w:rPr>
                    <w:t xml:space="preserve">Los 12 valores en 8 grupos: FONASA A, B, C y D; FONASA libre elección (sus tres modalidades); ISAPRE; particular; DIPRECA, CAPREDENA y SISA</w:t>
                  </w:r>
                </w:p>
              </w:tc>
              <w:tc>
                <w:tcPr>
                  <w:tcW w:type="dxa" w:w="792"/>
                  <w:tcMar>
                    <w:top w:type="dxa" w:w="70"/>
                    <w:left w:type="dxa" w:w="100"/>
                    <w:bottom w:type="dxa" w:w="70"/>
                    <w:right w:type="dxa" w:w="100"/>
                  </w:tcMar>
                  <w:vAlign w:val="center"/>
                </w:tcPr>
                <w:p>
                  <w:pPr>
                    <w:spacing w:after="0"/>
                  </w:pPr>
                  <w:r>
                    <w:rPr>
                      <w:sz w:val="18"/>
                      <w:szCs w:val="18"/>
                    </w:rPr>
                    <w:t xml:space="preserve">2.439</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REGION</w:t>
                  </w:r>
                </w:p>
              </w:tc>
              <w:tc>
                <w:tcPr>
                  <w:tcW w:type="dxa" w:w="4285"/>
                  <w:tcMar>
                    <w:top w:type="dxa" w:w="70"/>
                    <w:left w:type="dxa" w:w="100"/>
                    <w:bottom w:type="dxa" w:w="70"/>
                    <w:right w:type="dxa" w:w="100"/>
                  </w:tcMar>
                  <w:vAlign w:val="center"/>
                </w:tcPr>
                <w:p>
                  <w:pPr>
                    <w:spacing w:after="0"/>
                  </w:pPr>
                  <w:r>
                    <w:rPr>
                      <w:sz w:val="18"/>
                      <w:szCs w:val="18"/>
                    </w:rPr>
                    <w:t xml:space="preserve">Región de residencia, desde la provincia: las 57 provincias de la base (también la antigua ÑUBLE) en 16 regiones</w:t>
                  </w:r>
                </w:p>
              </w:tc>
              <w:tc>
                <w:tcPr>
                  <w:tcW w:type="dxa" w:w="792"/>
                  <w:tcMar>
                    <w:top w:type="dxa" w:w="70"/>
                    <w:left w:type="dxa" w:w="100"/>
                    <w:bottom w:type="dxa" w:w="70"/>
                    <w:right w:type="dxa" w:w="100"/>
                  </w:tcMar>
                  <w:vAlign w:val="center"/>
                </w:tcPr>
                <w:p>
                  <w:pPr>
                    <w:spacing w:after="0"/>
                  </w:pPr>
                  <w:r>
                    <w:rPr>
                      <w:sz w:val="18"/>
                      <w:szCs w:val="18"/>
                    </w:rPr>
                    <w:t xml:space="preserve">1.090</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TIPO_INGRESO</w:t>
                  </w:r>
                </w:p>
              </w:tc>
              <w:tc>
                <w:tcPr>
                  <w:tcW w:type="dxa" w:w="4285"/>
                  <w:tcMar>
                    <w:top w:type="dxa" w:w="70"/>
                    <w:left w:type="dxa" w:w="100"/>
                    <w:bottom w:type="dxa" w:w="70"/>
                    <w:right w:type="dxa" w:w="100"/>
                  </w:tcMar>
                  <w:vAlign w:val="center"/>
                </w:tcPr>
                <w:p>
                  <w:pPr>
                    <w:spacing w:after="0"/>
                  </w:pPr>
                  <w:r>
                    <w:rPr>
                      <w:sz w:val="18"/>
                      <w:szCs w:val="18"/>
                    </w:rPr>
                    <w:t xml:space="preserve">Tal cual (urgencia, programada u obstétrica), del propio egreso</w:t>
                  </w:r>
                </w:p>
              </w:tc>
              <w:tc>
                <w:tcPr>
                  <w:tcW w:type="dxa" w:w="792"/>
                  <w:tcMar>
                    <w:top w:type="dxa" w:w="70"/>
                    <w:left w:type="dxa" w:w="100"/>
                    <w:bottom w:type="dxa" w:w="70"/>
                    <w:right w:type="dxa" w:w="100"/>
                  </w:tcMar>
                  <w:vAlign w:val="center"/>
                </w:tcPr>
                <w:p>
                  <w:pPr>
                    <w:spacing w:after="0"/>
                  </w:pPr>
                  <w:r>
                    <w:rPr>
                      <w:sz w:val="18"/>
                      <w:szCs w:val="18"/>
                    </w:rPr>
                    <w:t xml:space="preserve">295</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ESTADIA</w:t>
                  </w:r>
                </w:p>
              </w:tc>
              <w:tc>
                <w:tcPr>
                  <w:tcW w:type="dxa" w:w="4285"/>
                  <w:tcMar>
                    <w:top w:type="dxa" w:w="70"/>
                    <w:left w:type="dxa" w:w="100"/>
                    <w:bottom w:type="dxa" w:w="70"/>
                    <w:right w:type="dxa" w:w="100"/>
                  </w:tcMar>
                  <w:vAlign w:val="center"/>
                </w:tcPr>
                <w:p>
                  <w:pPr>
                    <w:spacing w:after="0"/>
                  </w:pPr>
                  <w:r>
                    <w:rPr>
                      <w:sz w:val="18"/>
                      <w:szCs w:val="18"/>
                    </w:rPr>
                    <w:t xml:space="preserve">Días del episodio completo, desde el ingreso índice (el que abre el episodio, D42) hasta el alta del caso</w:t>
                  </w:r>
                </w:p>
              </w:tc>
              <w:tc>
                <w:tcPr>
                  <w:tcW w:type="dxa" w:w="792"/>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CDM</w:t>
                  </w:r>
                </w:p>
              </w:tc>
              <w:tc>
                <w:tcPr>
                  <w:tcW w:type="dxa" w:w="4285"/>
                  <w:tcMar>
                    <w:top w:type="dxa" w:w="70"/>
                    <w:left w:type="dxa" w:w="100"/>
                    <w:bottom w:type="dxa" w:w="70"/>
                    <w:right w:type="dxa" w:w="100"/>
                  </w:tcMar>
                  <w:vAlign w:val="center"/>
                </w:tcPr>
                <w:p>
                  <w:pPr>
                    <w:spacing w:after="0"/>
                  </w:pPr>
                  <w:r>
                    <w:rPr>
                      <w:sz w:val="18"/>
                      <w:szCs w:val="18"/>
                    </w:rPr>
                    <w:t xml:space="preserve">Tal cual: los 22 valores de los casos de estudio, de 01 a 22</w:t>
                  </w:r>
                </w:p>
              </w:tc>
              <w:tc>
                <w:tcPr>
                  <w:tcW w:type="dxa" w:w="792"/>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194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PESO_GRD</w:t>
                  </w:r>
                </w:p>
              </w:tc>
              <w:tc>
                <w:tcPr>
                  <w:tcW w:type="dxa" w:w="4285"/>
                  <w:tcMar>
                    <w:top w:type="dxa" w:w="70"/>
                    <w:left w:type="dxa" w:w="100"/>
                    <w:bottom w:type="dxa" w:w="70"/>
                    <w:right w:type="dxa" w:w="100"/>
                  </w:tcMar>
                  <w:vAlign w:val="center"/>
                </w:tcPr>
                <w:p>
                  <w:pPr>
                    <w:spacing w:after="0"/>
                  </w:pPr>
                  <w:r>
                    <w:rPr>
                      <w:sz w:val="18"/>
                      <w:szCs w:val="18"/>
                    </w:rPr>
                    <w:t xml:space="preserve">Número; el único caso con peso 0 (GRD 158021, de 2019) queda sin dato</w:t>
                  </w:r>
                </w:p>
              </w:tc>
              <w:tc>
                <w:tcPr>
                  <w:tcW w:type="dxa" w:w="792"/>
                  <w:tcMar>
                    <w:top w:type="dxa" w:w="70"/>
                    <w:left w:type="dxa" w:w="100"/>
                    <w:bottom w:type="dxa" w:w="70"/>
                    <w:right w:type="dxa" w:w="100"/>
                  </w:tcMar>
                  <w:vAlign w:val="center"/>
                </w:tcPr>
                <w:p>
                  <w:pPr>
                    <w:spacing w:after="0"/>
                  </w:pPr>
                  <w:r>
                    <w:rPr>
                      <w:sz w:val="18"/>
                      <w:szCs w:val="18"/>
                    </w:rPr>
                    <w:t xml:space="preserve">1</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Faltantes y rangos</w:t>
            </w:r>
          </w:p>
        </w:tc>
        <w:tc>
          <w:tcPr>
            <w:tcW w:type="dxa" w:w="7226"/>
            <w:tcMar>
              <w:top w:type="dxa" w:w="70"/>
              <w:left w:type="dxa" w:w="100"/>
              <w:bottom w:type="dxa" w:w="70"/>
              <w:right w:type="dxa" w:w="100"/>
            </w:tcMar>
          </w:tcPr>
          <w:p>
            <w:pPr>
              <w:keepNext/>
              <w:spacing w:after="0" w:before="0"/>
            </w:pPr>
            <w:r>
              <w:rPr>
                <w:sz w:val="20"/>
                <w:szCs w:val="20"/>
              </w:rPr>
              <w:t xml:space="preserve">En las variables de categorías el faltante es el valor SIN DATO; en las numéricas, un vacío. En la 3.1 no se imputa nada, y los números no se agrupan en rangos: eso se decide con cada modelo en la actividad 3.2.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qué la edad al propio ingreso</w:t>
            </w:r>
          </w:p>
        </w:tc>
        <w:tc>
          <w:tcPr>
            <w:tcW w:type="dxa" w:w="7226"/>
            <w:tcMar>
              <w:top w:type="dxa" w:w="70"/>
              <w:left w:type="dxa" w:w="100"/>
              <w:bottom w:type="dxa" w:w="70"/>
              <w:right w:type="dxa" w:w="100"/>
            </w:tcMar>
          </w:tcPr>
          <w:p>
            <w:pPr>
              <w:keepNext/>
              <w:spacing w:after="0" w:before="0"/>
            </w:pPr>
            <w:r>
              <w:rPr>
                <w:sz w:val="20"/>
                <w:szCs w:val="20"/>
              </w:rPr>
              <w:t xml:space="preserve">Al ingreso índice salen 43 edades negativas, casi todas de recién nacidos (36 de la CDM 15) cuyo episodio empieza unos días antes de la fecha de nacimiento registrada (mediana de 3 días). Al ingreso del propio egreso no hay ninguna.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Estadía de los traslados</w:t>
            </w:r>
          </w:p>
        </w:tc>
        <w:tc>
          <w:tcPr>
            <w:tcW w:type="dxa" w:w="7226"/>
            <w:tcMar>
              <w:top w:type="dxa" w:w="70"/>
              <w:left w:type="dxa" w:w="100"/>
              <w:bottom w:type="dxa" w:w="70"/>
              <w:right w:type="dxa" w:w="100"/>
            </w:tcMar>
          </w:tcPr>
          <w:p>
            <w:pPr>
              <w:keepNext/>
              <w:spacing w:after="0" w:before="0"/>
            </w:pPr>
            <w:r>
              <w:rPr>
                <w:sz w:val="20"/>
                <w:szCs w:val="20"/>
              </w:rPr>
              <w:t xml:space="preserve">En los 47.504 casos cuyo episodio empezó antes del ingreso a su último hospital, la mediana de la estadía es de 20 días contando todo el episodio y de 9 en el último hospital. Ejemplo: el caso </w:t>
            </w:r>
            <w:r>
              <w:rPr>
                <w:rFonts w:ascii="Consolas" w:cs="Consolas" w:eastAsia="Consolas" w:hAnsi="Consolas"/>
                <w:sz w:val="18"/>
                <w:szCs w:val="18"/>
                <w:shd w:fill="F2F2F2" w:color="auto" w:val="clear"/>
              </w:rPr>
              <w:t xml:space="preserve">20230001746</w:t>
            </w:r>
            <w:r>
              <w:rPr>
                <w:sz w:val="20"/>
                <w:szCs w:val="20"/>
              </w:rPr>
              <w:t xml:space="preserve"> (hospital 121109, del 29-12-2022 al 05-01-2023) continúa el egreso </w:t>
            </w:r>
            <w:r>
              <w:rPr>
                <w:rFonts w:ascii="Consolas" w:cs="Consolas" w:eastAsia="Consolas" w:hAnsi="Consolas"/>
                <w:sz w:val="18"/>
                <w:szCs w:val="18"/>
                <w:shd w:fill="F2F2F2" w:color="auto" w:val="clear"/>
              </w:rPr>
              <w:t xml:space="preserve">20220068830</w:t>
            </w:r>
            <w:r>
              <w:rPr>
                <w:sz w:val="20"/>
                <w:szCs w:val="20"/>
              </w:rPr>
              <w:t xml:space="preserve"> (hospital 129106, desde el 19-12-2022): </w:t>
            </w:r>
            <w:r>
              <w:rPr>
                <w:rFonts w:ascii="Consolas" w:cs="Consolas" w:eastAsia="Consolas" w:hAnsi="Consolas"/>
                <w:sz w:val="18"/>
                <w:szCs w:val="18"/>
                <w:shd w:fill="F2F2F2" w:color="auto" w:val="clear"/>
              </w:rPr>
              <w:t xml:space="preserve">ESTADIA</w:t>
            </w:r>
            <w:r>
              <w:rPr>
                <w:sz w:val="20"/>
                <w:szCs w:val="20"/>
              </w:rPr>
              <w:t xml:space="preserve"> vale 17 días, frente a 7 en el último hospital.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Reglas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reglas/prevision_grupos.csv</w:t>
            </w:r>
            <w:r>
              <w:rPr>
                <w:sz w:val="20"/>
                <w:szCs w:val="20"/>
              </w:rPr>
              <w:t xml:space="preserve"> y </w:t>
            </w:r>
            <w:r>
              <w:rPr>
                <w:rFonts w:ascii="Consolas" w:cs="Consolas" w:eastAsia="Consolas" w:hAnsi="Consolas"/>
                <w:sz w:val="18"/>
                <w:szCs w:val="18"/>
                <w:shd w:fill="F2F2F2" w:color="auto" w:val="clear"/>
              </w:rPr>
              <w:t xml:space="preserve">reglas/provincia_region.csv</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lo aprobó el 28 de octubre de 2026 (decisión 1 del paso 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3.1_filtro_dimensionalidad/scripts/15_variables_casos.py</w:t>
            </w:r>
            <w:r>
              <w:rPr>
                <w:sz w:val="20"/>
                <w:szCs w:val="20"/>
              </w:rPr>
              <w:t xml:space="preserve"> → </w:t>
            </w:r>
            <w:r>
              <w:rPr>
                <w:rFonts w:ascii="Consolas" w:cs="Consolas" w:eastAsia="Consolas" w:hAnsi="Consolas"/>
                <w:sz w:val="18"/>
                <w:szCs w:val="18"/>
                <w:shd w:fill="F2F2F2" w:color="auto" w:val="clear"/>
              </w:rPr>
              <w:t xml:space="preserve">data/processed/variables_casos.parquet</w:t>
            </w:r>
            <w:r>
              <w:rPr>
                <w:sz w:val="20"/>
                <w:szCs w:val="20"/>
              </w:rPr>
              <w:t xml:space="preserve"> y </w:t>
            </w:r>
            <w:r>
              <w:rPr>
                <w:rFonts w:ascii="Consolas" w:cs="Consolas" w:eastAsia="Consolas" w:hAnsi="Consolas"/>
                <w:sz w:val="18"/>
                <w:szCs w:val="18"/>
                <w:shd w:fill="F2F2F2" w:color="auto" w:val="clear"/>
              </w:rPr>
              <w:t xml:space="preserve">reportes/15_variables_casos.md</w:t>
            </w:r>
            <w:r>
              <w:rPr>
                <w:sz w:val="20"/>
                <w:szCs w:val="20"/>
              </w:rPr>
              <w:t xml:space="preserve">, secciones 1 y 2; prueba en </w:t>
            </w:r>
            <w:r>
              <w:rPr>
                <w:rFonts w:ascii="Consolas" w:cs="Consolas" w:eastAsia="Consolas" w:hAnsi="Consolas"/>
                <w:sz w:val="18"/>
                <w:szCs w:val="18"/>
                <w:shd w:fill="F2F2F2" w:color="auto" w:val="clear"/>
              </w:rPr>
              <w:t xml:space="preserve">reportes/pruebas_variables_casos.md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47" w:id="6"/>
      <w:r>
        <w:rPr>
          <w:color w:val="548235"/>
        </w:rPr>
        <w:t xml:space="preserve">D47</w:t>
      </w:r>
      <w:bookmarkEnd w:id="6"/>
      <w:r>
        <w:t xml:space="preserve"> · Historia de 12 meses y marca de ventana cortada</w:t>
      </w:r>
    </w:p>
    <w:p>
      <w:pPr>
        <w:keepNext/>
        <w:spacing w:after="100"/>
      </w:pPr>
      <w:r>
        <w:rPr>
          <w:b/>
          <w:bCs/>
          <w:color w:val="548235"/>
          <w:sz w:val="18"/>
          <w:szCs w:val="18"/>
        </w:rPr>
        <w:t xml:space="preserve">Decisión</w:t>
      </w:r>
      <w:r>
        <w:rPr>
          <w:color w:val="808080"/>
          <w:sz w:val="18"/>
          <w:szCs w:val="18"/>
        </w:rPr>
        <w:t xml:space="preserve">  ·  29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 (aplica D42 y D44 de la bitácora de la 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80" w:before="0"/>
            </w:pPr>
            <w:r>
              <w:rPr>
                <w:sz w:val="20"/>
                <w:szCs w:val="20"/>
              </w:rPr>
              <w:t xml:space="preserve">Seis variables describen lo ocurrido a la misma persona (</w:t>
            </w:r>
            <w:r>
              <w:rPr>
                <w:rFonts w:ascii="Consolas" w:cs="Consolas" w:eastAsia="Consolas" w:hAnsi="Consolas"/>
                <w:sz w:val="18"/>
                <w:szCs w:val="18"/>
                <w:shd w:fill="F2F2F2" w:color="auto" w:val="clear"/>
              </w:rPr>
              <w:t xml:space="preserve">ID_PERSONA</w:t>
            </w:r>
            <w:r>
              <w:rPr>
                <w:sz w:val="20"/>
                <w:szCs w:val="20"/>
              </w:rPr>
              <w:t xml:space="preserve">, D18) en los 365 días antes del ingreso índice, sin contar el propio episodio. Se usan todos sus egresos, sean o no casos de estudio; los de hospitalización diurna o en urgencia de 2019 (E04) no tienen episodio y no entran.</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99"/>
              <w:gridCol w:w="4727"/>
            </w:tblGrid>
            <w:tr>
              <w:trPr>
                <w:cantSplit/>
                <w:tblHeader/>
              </w:trPr>
              <w:tc>
                <w:tcPr>
                  <w:tcW w:type="dxa" w:w="2299"/>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4727"/>
                  <w:shd w:fill="D9E2F3" w:color="auto" w:val="clear"/>
                  <w:tcMar>
                    <w:top w:type="dxa" w:w="70"/>
                    <w:left w:type="dxa" w:w="100"/>
                    <w:bottom w:type="dxa" w:w="70"/>
                    <w:right w:type="dxa" w:w="100"/>
                  </w:tcMar>
                  <w:vAlign w:val="center"/>
                </w:tcPr>
                <w:p>
                  <w:pPr>
                    <w:spacing w:after="0"/>
                  </w:pPr>
                  <w:r>
                    <w:rPr>
                      <w:b/>
                      <w:bCs/>
                      <w:sz w:val="18"/>
                      <w:szCs w:val="18"/>
                    </w:rPr>
                    <w:t xml:space="preserve">Qué cuenta</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HOSP_PREVIAS</w:t>
                  </w:r>
                </w:p>
              </w:tc>
              <w:tc>
                <w:tcPr>
                  <w:tcW w:type="dxa" w:w="4727"/>
                  <w:tcMar>
                    <w:top w:type="dxa" w:w="70"/>
                    <w:left w:type="dxa" w:w="100"/>
                    <w:bottom w:type="dxa" w:w="70"/>
                    <w:right w:type="dxa" w:w="100"/>
                  </w:tcMar>
                  <w:vAlign w:val="center"/>
                </w:tcPr>
                <w:p>
                  <w:pPr>
                    <w:spacing w:after="0"/>
                  </w:pPr>
                  <w:r>
                    <w:rPr>
                      <w:sz w:val="18"/>
                      <w:szCs w:val="18"/>
                    </w:rPr>
                    <w:t xml:space="preserve">Episodios (no egresos) con al menos un egreso que no es cirugía mayor ambulatoria ni sesión, cuya alta final cae en la ventana</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HOSP_PREVIAS_NO_PLANIF</w:t>
                  </w:r>
                </w:p>
              </w:tc>
              <w:tc>
                <w:tcPr>
                  <w:tcW w:type="dxa" w:w="4727"/>
                  <w:tcMar>
                    <w:top w:type="dxa" w:w="70"/>
                    <w:left w:type="dxa" w:w="100"/>
                    <w:bottom w:type="dxa" w:w="70"/>
                    <w:right w:type="dxa" w:w="100"/>
                  </w:tcMar>
                  <w:vAlign w:val="center"/>
                </w:tcPr>
                <w:p>
                  <w:pPr>
                    <w:spacing w:after="0"/>
                  </w:pPr>
                  <w:r>
                    <w:rPr>
                      <w:sz w:val="18"/>
                      <w:szCs w:val="18"/>
                    </w:rPr>
                    <w:t xml:space="preserve">De ellos, los que empezaron con un ingreso no planificado, con la regla de D20 y D33</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DIAS_ULTIMA_HOSP</w:t>
                  </w:r>
                </w:p>
              </w:tc>
              <w:tc>
                <w:tcPr>
                  <w:tcW w:type="dxa" w:w="4727"/>
                  <w:tcMar>
                    <w:top w:type="dxa" w:w="70"/>
                    <w:left w:type="dxa" w:w="100"/>
                    <w:bottom w:type="dxa" w:w="70"/>
                    <w:right w:type="dxa" w:w="100"/>
                  </w:tcMar>
                  <w:vAlign w:val="center"/>
                </w:tcPr>
                <w:p>
                  <w:pPr>
                    <w:spacing w:after="0"/>
                  </w:pPr>
                  <w:r>
                    <w:rPr>
                      <w:sz w:val="18"/>
                      <w:szCs w:val="18"/>
                    </w:rPr>
                    <w:t xml:space="preserve">Días desde el alta de la última de esas hospitalizaciones hasta el ingreso índice; 366 si no hay ninguna</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CMA_PREVIAS</w:t>
                  </w:r>
                </w:p>
              </w:tc>
              <w:tc>
                <w:tcPr>
                  <w:tcW w:type="dxa" w:w="4727"/>
                  <w:tcMar>
                    <w:top w:type="dxa" w:w="70"/>
                    <w:left w:type="dxa" w:w="100"/>
                    <w:bottom w:type="dxa" w:w="70"/>
                    <w:right w:type="dxa" w:w="100"/>
                  </w:tcMar>
                  <w:vAlign w:val="center"/>
                </w:tcPr>
                <w:p>
                  <w:pPr>
                    <w:spacing w:after="0"/>
                  </w:pPr>
                  <w:r>
                    <w:rPr>
                      <w:sz w:val="18"/>
                      <w:szCs w:val="18"/>
                    </w:rPr>
                    <w:t xml:space="preserve">Egresos de cirugía mayor ambulatoria terminados en la ventana</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SESIONES_PREVIAS</w:t>
                  </w:r>
                </w:p>
              </w:tc>
              <w:tc>
                <w:tcPr>
                  <w:tcW w:type="dxa" w:w="4727"/>
                  <w:tcMar>
                    <w:top w:type="dxa" w:w="70"/>
                    <w:left w:type="dxa" w:w="100"/>
                    <w:bottom w:type="dxa" w:w="70"/>
                    <w:right w:type="dxa" w:w="100"/>
                  </w:tcMar>
                  <w:vAlign w:val="center"/>
                </w:tcPr>
                <w:p>
                  <w:pPr>
                    <w:spacing w:after="0"/>
                  </w:pPr>
                  <w:r>
                    <w:rPr>
                      <w:sz w:val="18"/>
                      <w:szCs w:val="18"/>
                    </w:rPr>
                    <w:t xml:space="preserve">Egresos de sesión de tratamiento (diagnóstico principal Z51) terminados en la ventana</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VENTANA_CORTADA</w:t>
                  </w:r>
                </w:p>
              </w:tc>
              <w:tc>
                <w:tcPr>
                  <w:tcW w:type="dxa" w:w="4727"/>
                  <w:tcMar>
                    <w:top w:type="dxa" w:w="70"/>
                    <w:left w:type="dxa" w:w="100"/>
                    <w:bottom w:type="dxa" w:w="70"/>
                    <w:right w:type="dxa" w:w="100"/>
                  </w:tcMar>
                  <w:vAlign w:val="center"/>
                </w:tcPr>
                <w:p>
                  <w:pPr>
                    <w:spacing w:after="0"/>
                  </w:pPr>
                  <w:r>
                    <w:rPr>
                      <w:sz w:val="18"/>
                      <w:szCs w:val="18"/>
                    </w:rPr>
                    <w:t xml:space="preserve">1 si la ventana empieza antes del primer día del bloque del identificador (D42 y D44)</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Ventana</w:t>
            </w:r>
          </w:p>
        </w:tc>
        <w:tc>
          <w:tcPr>
            <w:tcW w:type="dxa" w:w="7226"/>
            <w:tcMar>
              <w:top w:type="dxa" w:w="70"/>
              <w:left w:type="dxa" w:w="100"/>
              <w:bottom w:type="dxa" w:w="70"/>
              <w:right w:type="dxa" w:w="100"/>
            </w:tcMar>
          </w:tcPr>
          <w:p>
            <w:pPr>
              <w:keepNext/>
              <w:spacing w:after="0" w:before="0"/>
            </w:pPr>
            <w:r>
              <w:rPr>
                <w:sz w:val="20"/>
                <w:szCs w:val="20"/>
              </w:rPr>
              <w:t xml:space="preserve">Cuenta lo que terminó entre el ingreso índice menos 365 días y el ingreso índice, ambos días incluidos. Una hospitalización que terminó el mismo día del ingreso índice cuenta, igual que el etiquetado cuenta el día 0 como reingreso (D20). Los 365 días son los 12 meses de D42 y mantienen las fechas de la marca: la ventana está cortada si el ingreso índice es anterior al 1 de enero de 2020 en el bloque A o al 1 de enero de 2022 en el bloque B.</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Detalles</w:t>
            </w:r>
          </w:p>
        </w:tc>
        <w:tc>
          <w:tcPr>
            <w:tcW w:type="dxa" w:w="7226"/>
            <w:tcMar>
              <w:top w:type="dxa" w:w="70"/>
              <w:left w:type="dxa" w:w="100"/>
              <w:bottom w:type="dxa" w:w="70"/>
              <w:right w:type="dxa" w:w="100"/>
            </w:tcMar>
          </w:tcPr>
          <w:p>
            <w:pPr>
              <w:keepNext/>
              <w:spacing w:after="0" w:before="0"/>
            </w:pPr>
            <w:r>
              <w:rPr>
                <w:sz w:val="20"/>
                <w:szCs w:val="20"/>
              </w:rPr>
              <w:t xml:space="preserve">La regla de «no planificado» se lee de los parámetros de la 2.2, para que sea la misma del etiquetado. Las cirugías ambulatorias y las sesiones cuentan egresos; un egreso que es las dos cosas (1.085 en desarrollo) cuenta como cirugía, por el orden de los criterios E13 y E14. En 143.031 casos el propio episodio dura 0 días: termina el mismo día del ingreso índice y se descuenta para no contarlo como hospitalización previa.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w:t>
            </w:r>
          </w:p>
        </w:tc>
        <w:tc>
          <w:tcPr>
            <w:tcW w:type="dxa" w:w="7226"/>
            <w:tcMar>
              <w:top w:type="dxa" w:w="70"/>
              <w:left w:type="dxa" w:w="100"/>
              <w:bottom w:type="dxa" w:w="70"/>
              <w:right w:type="dxa" w:w="100"/>
            </w:tcMar>
          </w:tcPr>
          <w:p>
            <w:pPr>
              <w:keepNext/>
              <w:spacing w:after="0" w:before="0"/>
            </w:pPr>
            <w:r>
              <w:rPr>
                <w:sz w:val="20"/>
                <w:szCs w:val="20"/>
              </w:rPr>
              <w:t xml:space="preserve">El caso </w:t>
            </w:r>
            <w:r>
              <w:rPr>
                <w:rFonts w:ascii="Consolas" w:cs="Consolas" w:eastAsia="Consolas" w:hAnsi="Consolas"/>
                <w:sz w:val="18"/>
                <w:szCs w:val="18"/>
                <w:shd w:fill="F2F2F2" w:color="auto" w:val="clear"/>
              </w:rPr>
              <w:t xml:space="preserve">20230000956</w:t>
            </w:r>
            <w:r>
              <w:rPr>
                <w:sz w:val="20"/>
                <w:szCs w:val="20"/>
              </w:rPr>
              <w:t xml:space="preserve"> (ingreso índice el 15-02-2023) tiene en su ventana una hospitalización por urgencia (</w:t>
            </w:r>
            <w:r>
              <w:rPr>
                <w:rFonts w:ascii="Consolas" w:cs="Consolas" w:eastAsia="Consolas" w:hAnsi="Consolas"/>
                <w:sz w:val="18"/>
                <w:szCs w:val="18"/>
                <w:shd w:fill="F2F2F2" w:color="auto" w:val="clear"/>
              </w:rPr>
              <w:t xml:space="preserve">20220430860</w:t>
            </w:r>
            <w:r>
              <w:rPr>
                <w:sz w:val="20"/>
                <w:szCs w:val="20"/>
              </w:rPr>
              <w:t xml:space="preserve">, alta el 02-08-2022, tuberculosis), una programada (</w:t>
            </w:r>
            <w:r>
              <w:rPr>
                <w:rFonts w:ascii="Consolas" w:cs="Consolas" w:eastAsia="Consolas" w:hAnsi="Consolas"/>
                <w:sz w:val="18"/>
                <w:szCs w:val="18"/>
                <w:shd w:fill="F2F2F2" w:color="auto" w:val="clear"/>
              </w:rPr>
              <w:t xml:space="preserve">20220568135</w:t>
            </w:r>
            <w:r>
              <w:rPr>
                <w:sz w:val="20"/>
                <w:szCs w:val="20"/>
              </w:rPr>
              <w:t xml:space="preserve">, alta el 14-09-2022) y una cirugía mayor ambulatoria de catarata (</w:t>
            </w:r>
            <w:r>
              <w:rPr>
                <w:rFonts w:ascii="Consolas" w:cs="Consolas" w:eastAsia="Consolas" w:hAnsi="Consolas"/>
                <w:sz w:val="18"/>
                <w:szCs w:val="18"/>
                <w:shd w:fill="F2F2F2" w:color="auto" w:val="clear"/>
              </w:rPr>
              <w:t xml:space="preserve">20220694463</w:t>
            </w:r>
            <w:r>
              <w:rPr>
                <w:sz w:val="20"/>
                <w:szCs w:val="20"/>
              </w:rPr>
              <w:t xml:space="preserve">, 02-11-2022). Resultado: </w:t>
            </w:r>
            <w:r>
              <w:rPr>
                <w:rFonts w:ascii="Consolas" w:cs="Consolas" w:eastAsia="Consolas" w:hAnsi="Consolas"/>
                <w:sz w:val="18"/>
                <w:szCs w:val="18"/>
                <w:shd w:fill="F2F2F2" w:color="auto" w:val="clear"/>
              </w:rPr>
              <w:t xml:space="preserve">HOSP_PREVIAS</w:t>
            </w:r>
            <w:r>
              <w:rPr>
                <w:sz w:val="20"/>
                <w:szCs w:val="20"/>
              </w:rPr>
              <w:t xml:space="preserve"> = 2, </w:t>
            </w:r>
            <w:r>
              <w:rPr>
                <w:rFonts w:ascii="Consolas" w:cs="Consolas" w:eastAsia="Consolas" w:hAnsi="Consolas"/>
                <w:sz w:val="18"/>
                <w:szCs w:val="18"/>
                <w:shd w:fill="F2F2F2" w:color="auto" w:val="clear"/>
              </w:rPr>
              <w:t xml:space="preserve">HOSP_PREVIAS_NO_PLANIF</w:t>
            </w:r>
            <w:r>
              <w:rPr>
                <w:sz w:val="20"/>
                <w:szCs w:val="20"/>
              </w:rPr>
              <w:t xml:space="preserve"> = 1, </w:t>
            </w:r>
            <w:r>
              <w:rPr>
                <w:rFonts w:ascii="Consolas" w:cs="Consolas" w:eastAsia="Consolas" w:hAnsi="Consolas"/>
                <w:sz w:val="18"/>
                <w:szCs w:val="18"/>
                <w:shd w:fill="F2F2F2" w:color="auto" w:val="clear"/>
              </w:rPr>
              <w:t xml:space="preserve">CMA_PREVIAS</w:t>
            </w:r>
            <w:r>
              <w:rPr>
                <w:sz w:val="20"/>
                <w:szCs w:val="20"/>
              </w:rPr>
              <w:t xml:space="preserve"> = 1 y </w:t>
            </w:r>
            <w:r>
              <w:rPr>
                <w:rFonts w:ascii="Consolas" w:cs="Consolas" w:eastAsia="Consolas" w:hAnsi="Consolas"/>
                <w:sz w:val="18"/>
                <w:szCs w:val="18"/>
                <w:shd w:fill="F2F2F2" w:color="auto" w:val="clear"/>
              </w:rPr>
              <w:t xml:space="preserve">DIAS_ULTIMA_HOSP</w:t>
            </w:r>
            <w:r>
              <w:rPr>
                <w:sz w:val="20"/>
                <w:szCs w:val="20"/>
              </w:rPr>
              <w:t xml:space="preserve"> = 154, contados desde el 14 de septiembre, porque la catarata no es una hospitalización.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80" w:before="0"/>
            </w:pPr>
            <w:r>
              <w:rPr>
                <w:sz w:val="20"/>
                <w:szCs w:val="20"/>
              </w:rPr>
              <w:t xml:space="preserve">1.173.474 casos con la ventana cortada (todos los de 2019 y 2021, 9.346 de 2020, 8.820 de 2022 y 8 de 2023), igual que en D44. Reingreso a 30 días según las hospitalizaciones previas: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82"/>
              <w:gridCol w:w="1249"/>
              <w:gridCol w:w="1277"/>
              <w:gridCol w:w="1038"/>
              <w:gridCol w:w="1280"/>
            </w:tblGrid>
            <w:tr>
              <w:trPr>
                <w:cantSplit/>
                <w:tblHeader/>
              </w:trPr>
              <w:tc>
                <w:tcPr>
                  <w:tcW w:type="dxa" w:w="2182"/>
                  <w:shd w:fill="D9E2F3" w:color="auto" w:val="clear"/>
                  <w:tcMar>
                    <w:top w:type="dxa" w:w="70"/>
                    <w:left w:type="dxa" w:w="100"/>
                    <w:bottom w:type="dxa" w:w="70"/>
                    <w:right w:type="dxa" w:w="100"/>
                  </w:tcMar>
                  <w:vAlign w:val="center"/>
                </w:tcPr>
                <w:p>
                  <w:pPr>
                    <w:spacing w:after="0"/>
                  </w:pPr>
                  <w:r>
                    <w:rPr>
                      <w:b/>
                      <w:bCs/>
                      <w:sz w:val="18"/>
                      <w:szCs w:val="18"/>
                    </w:rPr>
                    <w:t xml:space="preserve">Hospitalizaciones previas</w:t>
                  </w:r>
                </w:p>
              </w:tc>
              <w:tc>
                <w:tcPr>
                  <w:tcW w:type="dxa" w:w="1249"/>
                  <w:shd w:fill="D9E2F3" w:color="auto" w:val="clear"/>
                  <w:tcMar>
                    <w:top w:type="dxa" w:w="70"/>
                    <w:left w:type="dxa" w:w="100"/>
                    <w:bottom w:type="dxa" w:w="70"/>
                    <w:right w:type="dxa" w:w="100"/>
                  </w:tcMar>
                  <w:vAlign w:val="center"/>
                </w:tcPr>
                <w:p>
                  <w:pPr>
                    <w:spacing w:after="0"/>
                  </w:pPr>
                  <w:r>
                    <w:rPr>
                      <w:b/>
                      <w:bCs/>
                      <w:sz w:val="18"/>
                      <w:szCs w:val="18"/>
                    </w:rPr>
                    <w:t xml:space="preserve">Casos sin marca</w:t>
                  </w:r>
                </w:p>
              </w:tc>
              <w:tc>
                <w:tcPr>
                  <w:tcW w:type="dxa" w:w="1277"/>
                  <w:shd w:fill="D9E2F3" w:color="auto" w:val="clear"/>
                  <w:tcMar>
                    <w:top w:type="dxa" w:w="70"/>
                    <w:left w:type="dxa" w:w="100"/>
                    <w:bottom w:type="dxa" w:w="70"/>
                    <w:right w:type="dxa" w:w="100"/>
                  </w:tcMar>
                  <w:vAlign w:val="center"/>
                </w:tcPr>
                <w:p>
                  <w:pPr>
                    <w:spacing w:after="0"/>
                  </w:pPr>
                  <w:r>
                    <w:rPr>
                      <w:b/>
                      <w:bCs/>
                      <w:sz w:val="18"/>
                      <w:szCs w:val="18"/>
                    </w:rPr>
                    <w:t xml:space="preserve">Reingreso a 30 días</w:t>
                  </w:r>
                </w:p>
              </w:tc>
              <w:tc>
                <w:tcPr>
                  <w:tcW w:type="dxa" w:w="1038"/>
                  <w:shd w:fill="D9E2F3" w:color="auto" w:val="clear"/>
                  <w:tcMar>
                    <w:top w:type="dxa" w:w="70"/>
                    <w:left w:type="dxa" w:w="100"/>
                    <w:bottom w:type="dxa" w:w="70"/>
                    <w:right w:type="dxa" w:w="100"/>
                  </w:tcMar>
                  <w:vAlign w:val="center"/>
                </w:tcPr>
                <w:p>
                  <w:pPr>
                    <w:spacing w:after="0"/>
                  </w:pPr>
                  <w:r>
                    <w:rPr>
                      <w:b/>
                      <w:bCs/>
                      <w:sz w:val="18"/>
                      <w:szCs w:val="18"/>
                    </w:rPr>
                    <w:t xml:space="preserve">Casos con marca</w:t>
                  </w:r>
                </w:p>
              </w:tc>
              <w:tc>
                <w:tcPr>
                  <w:tcW w:type="dxa" w:w="1280"/>
                  <w:shd w:fill="D9E2F3" w:color="auto" w:val="clear"/>
                  <w:tcMar>
                    <w:top w:type="dxa" w:w="70"/>
                    <w:left w:type="dxa" w:w="100"/>
                    <w:bottom w:type="dxa" w:w="70"/>
                    <w:right w:type="dxa" w:w="100"/>
                  </w:tcMar>
                  <w:vAlign w:val="center"/>
                </w:tcPr>
                <w:p>
                  <w:pPr>
                    <w:spacing w:after="0"/>
                  </w:pPr>
                  <w:r>
                    <w:rPr>
                      <w:b/>
                      <w:bCs/>
                      <w:sz w:val="18"/>
                      <w:szCs w:val="18"/>
                    </w:rPr>
                    <w:t xml:space="preserve">Reingreso a 30 días</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0</w:t>
                  </w:r>
                </w:p>
              </w:tc>
              <w:tc>
                <w:tcPr>
                  <w:tcW w:type="dxa" w:w="1249"/>
                  <w:tcMar>
                    <w:top w:type="dxa" w:w="70"/>
                    <w:left w:type="dxa" w:w="100"/>
                    <w:bottom w:type="dxa" w:w="70"/>
                    <w:right w:type="dxa" w:w="100"/>
                  </w:tcMar>
                  <w:vAlign w:val="center"/>
                </w:tcPr>
                <w:p>
                  <w:pPr>
                    <w:spacing w:after="0"/>
                  </w:pPr>
                  <w:r>
                    <w:rPr>
                      <w:sz w:val="18"/>
                      <w:szCs w:val="18"/>
                    </w:rPr>
                    <w:t xml:space="preserve">1.663.338</w:t>
                  </w:r>
                </w:p>
              </w:tc>
              <w:tc>
                <w:tcPr>
                  <w:tcW w:type="dxa" w:w="1277"/>
                  <w:tcMar>
                    <w:top w:type="dxa" w:w="70"/>
                    <w:left w:type="dxa" w:w="100"/>
                    <w:bottom w:type="dxa" w:w="70"/>
                    <w:right w:type="dxa" w:w="100"/>
                  </w:tcMar>
                  <w:vAlign w:val="center"/>
                </w:tcPr>
                <w:p>
                  <w:pPr>
                    <w:spacing w:after="0"/>
                  </w:pPr>
                  <w:r>
                    <w:rPr>
                      <w:sz w:val="18"/>
                      <w:szCs w:val="18"/>
                    </w:rPr>
                    <w:t xml:space="preserve">4,53 %</w:t>
                  </w:r>
                </w:p>
              </w:tc>
              <w:tc>
                <w:tcPr>
                  <w:tcW w:type="dxa" w:w="1038"/>
                  <w:tcMar>
                    <w:top w:type="dxa" w:w="70"/>
                    <w:left w:type="dxa" w:w="100"/>
                    <w:bottom w:type="dxa" w:w="70"/>
                    <w:right w:type="dxa" w:w="100"/>
                  </w:tcMar>
                  <w:vAlign w:val="center"/>
                </w:tcPr>
                <w:p>
                  <w:pPr>
                    <w:spacing w:after="0"/>
                  </w:pPr>
                  <w:r>
                    <w:rPr>
                      <w:sz w:val="18"/>
                      <w:szCs w:val="18"/>
                    </w:rPr>
                    <w:t xml:space="preserve">978.106</w:t>
                  </w:r>
                </w:p>
              </w:tc>
              <w:tc>
                <w:tcPr>
                  <w:tcW w:type="dxa" w:w="1280"/>
                  <w:tcMar>
                    <w:top w:type="dxa" w:w="70"/>
                    <w:left w:type="dxa" w:w="100"/>
                    <w:bottom w:type="dxa" w:w="70"/>
                    <w:right w:type="dxa" w:w="100"/>
                  </w:tcMar>
                  <w:vAlign w:val="center"/>
                </w:tcPr>
                <w:p>
                  <w:pPr>
                    <w:spacing w:after="0"/>
                  </w:pPr>
                  <w:r>
                    <w:rPr>
                      <w:sz w:val="18"/>
                      <w:szCs w:val="18"/>
                    </w:rPr>
                    <w:t xml:space="preserve">4,64 %</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1</w:t>
                  </w:r>
                </w:p>
              </w:tc>
              <w:tc>
                <w:tcPr>
                  <w:tcW w:type="dxa" w:w="1249"/>
                  <w:tcMar>
                    <w:top w:type="dxa" w:w="70"/>
                    <w:left w:type="dxa" w:w="100"/>
                    <w:bottom w:type="dxa" w:w="70"/>
                    <w:right w:type="dxa" w:w="100"/>
                  </w:tcMar>
                  <w:vAlign w:val="center"/>
                </w:tcPr>
                <w:p>
                  <w:pPr>
                    <w:spacing w:after="0"/>
                  </w:pPr>
                  <w:r>
                    <w:rPr>
                      <w:sz w:val="18"/>
                      <w:szCs w:val="18"/>
                    </w:rPr>
                    <w:t xml:space="preserve">344.466</w:t>
                  </w:r>
                </w:p>
              </w:tc>
              <w:tc>
                <w:tcPr>
                  <w:tcW w:type="dxa" w:w="1277"/>
                  <w:tcMar>
                    <w:top w:type="dxa" w:w="70"/>
                    <w:left w:type="dxa" w:w="100"/>
                    <w:bottom w:type="dxa" w:w="70"/>
                    <w:right w:type="dxa" w:w="100"/>
                  </w:tcMar>
                  <w:vAlign w:val="center"/>
                </w:tcPr>
                <w:p>
                  <w:pPr>
                    <w:spacing w:after="0"/>
                  </w:pPr>
                  <w:r>
                    <w:rPr>
                      <w:sz w:val="18"/>
                      <w:szCs w:val="18"/>
                    </w:rPr>
                    <w:t xml:space="preserve">8,19 %</w:t>
                  </w:r>
                </w:p>
              </w:tc>
              <w:tc>
                <w:tcPr>
                  <w:tcW w:type="dxa" w:w="1038"/>
                  <w:tcMar>
                    <w:top w:type="dxa" w:w="70"/>
                    <w:left w:type="dxa" w:w="100"/>
                    <w:bottom w:type="dxa" w:w="70"/>
                    <w:right w:type="dxa" w:w="100"/>
                  </w:tcMar>
                  <w:vAlign w:val="center"/>
                </w:tcPr>
                <w:p>
                  <w:pPr>
                    <w:spacing w:after="0"/>
                  </w:pPr>
                  <w:r>
                    <w:rPr>
                      <w:sz w:val="18"/>
                      <w:szCs w:val="18"/>
                    </w:rPr>
                    <w:t xml:space="preserve">142.843</w:t>
                  </w:r>
                </w:p>
              </w:tc>
              <w:tc>
                <w:tcPr>
                  <w:tcW w:type="dxa" w:w="1280"/>
                  <w:tcMar>
                    <w:top w:type="dxa" w:w="70"/>
                    <w:left w:type="dxa" w:w="100"/>
                    <w:bottom w:type="dxa" w:w="70"/>
                    <w:right w:type="dxa" w:w="100"/>
                  </w:tcMar>
                  <w:vAlign w:val="center"/>
                </w:tcPr>
                <w:p>
                  <w:pPr>
                    <w:spacing w:after="0"/>
                  </w:pPr>
                  <w:r>
                    <w:rPr>
                      <w:sz w:val="18"/>
                      <w:szCs w:val="18"/>
                    </w:rPr>
                    <w:t xml:space="preserve">9,04 %</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2</w:t>
                  </w:r>
                </w:p>
              </w:tc>
              <w:tc>
                <w:tcPr>
                  <w:tcW w:type="dxa" w:w="1249"/>
                  <w:tcMar>
                    <w:top w:type="dxa" w:w="70"/>
                    <w:left w:type="dxa" w:w="100"/>
                    <w:bottom w:type="dxa" w:w="70"/>
                    <w:right w:type="dxa" w:w="100"/>
                  </w:tcMar>
                  <w:vAlign w:val="center"/>
                </w:tcPr>
                <w:p>
                  <w:pPr>
                    <w:spacing w:after="0"/>
                  </w:pPr>
                  <w:r>
                    <w:rPr>
                      <w:sz w:val="18"/>
                      <w:szCs w:val="18"/>
                    </w:rPr>
                    <w:t xml:space="preserve">99.865</w:t>
                  </w:r>
                </w:p>
              </w:tc>
              <w:tc>
                <w:tcPr>
                  <w:tcW w:type="dxa" w:w="1277"/>
                  <w:tcMar>
                    <w:top w:type="dxa" w:w="70"/>
                    <w:left w:type="dxa" w:w="100"/>
                    <w:bottom w:type="dxa" w:w="70"/>
                    <w:right w:type="dxa" w:w="100"/>
                  </w:tcMar>
                  <w:vAlign w:val="center"/>
                </w:tcPr>
                <w:p>
                  <w:pPr>
                    <w:spacing w:after="0"/>
                  </w:pPr>
                  <w:r>
                    <w:rPr>
                      <w:sz w:val="18"/>
                      <w:szCs w:val="18"/>
                    </w:rPr>
                    <w:t xml:space="preserve">12,29 %</w:t>
                  </w:r>
                </w:p>
              </w:tc>
              <w:tc>
                <w:tcPr>
                  <w:tcW w:type="dxa" w:w="1038"/>
                  <w:tcMar>
                    <w:top w:type="dxa" w:w="70"/>
                    <w:left w:type="dxa" w:w="100"/>
                    <w:bottom w:type="dxa" w:w="70"/>
                    <w:right w:type="dxa" w:w="100"/>
                  </w:tcMar>
                  <w:vAlign w:val="center"/>
                </w:tcPr>
                <w:p>
                  <w:pPr>
                    <w:spacing w:after="0"/>
                  </w:pPr>
                  <w:r>
                    <w:rPr>
                      <w:sz w:val="18"/>
                      <w:szCs w:val="18"/>
                    </w:rPr>
                    <w:t xml:space="preserve">33.250</w:t>
                  </w:r>
                </w:p>
              </w:tc>
              <w:tc>
                <w:tcPr>
                  <w:tcW w:type="dxa" w:w="1280"/>
                  <w:tcMar>
                    <w:top w:type="dxa" w:w="70"/>
                    <w:left w:type="dxa" w:w="100"/>
                    <w:bottom w:type="dxa" w:w="70"/>
                    <w:right w:type="dxa" w:w="100"/>
                  </w:tcMar>
                  <w:vAlign w:val="center"/>
                </w:tcPr>
                <w:p>
                  <w:pPr>
                    <w:spacing w:after="0"/>
                  </w:pPr>
                  <w:r>
                    <w:rPr>
                      <w:sz w:val="18"/>
                      <w:szCs w:val="18"/>
                    </w:rPr>
                    <w:t xml:space="preserve">13,84 %</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3</w:t>
                  </w:r>
                </w:p>
              </w:tc>
              <w:tc>
                <w:tcPr>
                  <w:tcW w:type="dxa" w:w="1249"/>
                  <w:tcMar>
                    <w:top w:type="dxa" w:w="70"/>
                    <w:left w:type="dxa" w:w="100"/>
                    <w:bottom w:type="dxa" w:w="70"/>
                    <w:right w:type="dxa" w:w="100"/>
                  </w:tcMar>
                  <w:vAlign w:val="center"/>
                </w:tcPr>
                <w:p>
                  <w:pPr>
                    <w:spacing w:after="0"/>
                  </w:pPr>
                  <w:r>
                    <w:rPr>
                      <w:sz w:val="18"/>
                      <w:szCs w:val="18"/>
                    </w:rPr>
                    <w:t xml:space="preserve">36.099</w:t>
                  </w:r>
                </w:p>
              </w:tc>
              <w:tc>
                <w:tcPr>
                  <w:tcW w:type="dxa" w:w="1277"/>
                  <w:tcMar>
                    <w:top w:type="dxa" w:w="70"/>
                    <w:left w:type="dxa" w:w="100"/>
                    <w:bottom w:type="dxa" w:w="70"/>
                    <w:right w:type="dxa" w:w="100"/>
                  </w:tcMar>
                  <w:vAlign w:val="center"/>
                </w:tcPr>
                <w:p>
                  <w:pPr>
                    <w:spacing w:after="0"/>
                  </w:pPr>
                  <w:r>
                    <w:rPr>
                      <w:sz w:val="18"/>
                      <w:szCs w:val="18"/>
                    </w:rPr>
                    <w:t xml:space="preserve">17,00 %</w:t>
                  </w:r>
                </w:p>
              </w:tc>
              <w:tc>
                <w:tcPr>
                  <w:tcW w:type="dxa" w:w="1038"/>
                  <w:tcMar>
                    <w:top w:type="dxa" w:w="70"/>
                    <w:left w:type="dxa" w:w="100"/>
                    <w:bottom w:type="dxa" w:w="70"/>
                    <w:right w:type="dxa" w:w="100"/>
                  </w:tcMar>
                  <w:vAlign w:val="center"/>
                </w:tcPr>
                <w:p>
                  <w:pPr>
                    <w:spacing w:after="0"/>
                  </w:pPr>
                  <w:r>
                    <w:rPr>
                      <w:sz w:val="18"/>
                      <w:szCs w:val="18"/>
                    </w:rPr>
                    <w:t xml:space="preserve">10.344</w:t>
                  </w:r>
                </w:p>
              </w:tc>
              <w:tc>
                <w:tcPr>
                  <w:tcW w:type="dxa" w:w="1280"/>
                  <w:tcMar>
                    <w:top w:type="dxa" w:w="70"/>
                    <w:left w:type="dxa" w:w="100"/>
                    <w:bottom w:type="dxa" w:w="70"/>
                    <w:right w:type="dxa" w:w="100"/>
                  </w:tcMar>
                  <w:vAlign w:val="center"/>
                </w:tcPr>
                <w:p>
                  <w:pPr>
                    <w:spacing w:after="0"/>
                  </w:pPr>
                  <w:r>
                    <w:rPr>
                      <w:sz w:val="18"/>
                      <w:szCs w:val="18"/>
                    </w:rPr>
                    <w:t xml:space="preserve">19,08 %</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4</w:t>
                  </w:r>
                </w:p>
              </w:tc>
              <w:tc>
                <w:tcPr>
                  <w:tcW w:type="dxa" w:w="1249"/>
                  <w:tcMar>
                    <w:top w:type="dxa" w:w="70"/>
                    <w:left w:type="dxa" w:w="100"/>
                    <w:bottom w:type="dxa" w:w="70"/>
                    <w:right w:type="dxa" w:w="100"/>
                  </w:tcMar>
                  <w:vAlign w:val="center"/>
                </w:tcPr>
                <w:p>
                  <w:pPr>
                    <w:spacing w:after="0"/>
                  </w:pPr>
                  <w:r>
                    <w:rPr>
                      <w:sz w:val="18"/>
                      <w:szCs w:val="18"/>
                    </w:rPr>
                    <w:t xml:space="preserve">15.548</w:t>
                  </w:r>
                </w:p>
              </w:tc>
              <w:tc>
                <w:tcPr>
                  <w:tcW w:type="dxa" w:w="1277"/>
                  <w:tcMar>
                    <w:top w:type="dxa" w:w="70"/>
                    <w:left w:type="dxa" w:w="100"/>
                    <w:bottom w:type="dxa" w:w="70"/>
                    <w:right w:type="dxa" w:w="100"/>
                  </w:tcMar>
                  <w:vAlign w:val="center"/>
                </w:tcPr>
                <w:p>
                  <w:pPr>
                    <w:spacing w:after="0"/>
                  </w:pPr>
                  <w:r>
                    <w:rPr>
                      <w:sz w:val="18"/>
                      <w:szCs w:val="18"/>
                    </w:rPr>
                    <w:t xml:space="preserve">21,04 %</w:t>
                  </w:r>
                </w:p>
              </w:tc>
              <w:tc>
                <w:tcPr>
                  <w:tcW w:type="dxa" w:w="1038"/>
                  <w:tcMar>
                    <w:top w:type="dxa" w:w="70"/>
                    <w:left w:type="dxa" w:w="100"/>
                    <w:bottom w:type="dxa" w:w="70"/>
                    <w:right w:type="dxa" w:w="100"/>
                  </w:tcMar>
                  <w:vAlign w:val="center"/>
                </w:tcPr>
                <w:p>
                  <w:pPr>
                    <w:spacing w:after="0"/>
                  </w:pPr>
                  <w:r>
                    <w:rPr>
                      <w:sz w:val="18"/>
                      <w:szCs w:val="18"/>
                    </w:rPr>
                    <w:t xml:space="preserve">3.847</w:t>
                  </w:r>
                </w:p>
              </w:tc>
              <w:tc>
                <w:tcPr>
                  <w:tcW w:type="dxa" w:w="1280"/>
                  <w:tcMar>
                    <w:top w:type="dxa" w:w="70"/>
                    <w:left w:type="dxa" w:w="100"/>
                    <w:bottom w:type="dxa" w:w="70"/>
                    <w:right w:type="dxa" w:w="100"/>
                  </w:tcMar>
                  <w:vAlign w:val="center"/>
                </w:tcPr>
                <w:p>
                  <w:pPr>
                    <w:spacing w:after="0"/>
                  </w:pPr>
                  <w:r>
                    <w:rPr>
                      <w:sz w:val="18"/>
                      <w:szCs w:val="18"/>
                    </w:rPr>
                    <w:t xml:space="preserve">23,52 %</w:t>
                  </w:r>
                </w:p>
              </w:tc>
            </w:tr>
            <w:tr>
              <w:trPr>
                <w:cantSplit/>
                <w:tblHeader w:val="off"/>
              </w:trPr>
              <w:tc>
                <w:tcPr>
                  <w:tcW w:type="dxa" w:w="2182"/>
                  <w:tcMar>
                    <w:top w:type="dxa" w:w="70"/>
                    <w:left w:type="dxa" w:w="100"/>
                    <w:bottom w:type="dxa" w:w="70"/>
                    <w:right w:type="dxa" w:w="100"/>
                  </w:tcMar>
                  <w:vAlign w:val="center"/>
                </w:tcPr>
                <w:p>
                  <w:pPr>
                    <w:spacing w:after="0"/>
                  </w:pPr>
                  <w:r>
                    <w:rPr>
                      <w:sz w:val="18"/>
                      <w:szCs w:val="18"/>
                    </w:rPr>
                    <w:t xml:space="preserve">5 o más</w:t>
                  </w:r>
                </w:p>
              </w:tc>
              <w:tc>
                <w:tcPr>
                  <w:tcW w:type="dxa" w:w="1249"/>
                  <w:tcMar>
                    <w:top w:type="dxa" w:w="70"/>
                    <w:left w:type="dxa" w:w="100"/>
                    <w:bottom w:type="dxa" w:w="70"/>
                    <w:right w:type="dxa" w:w="100"/>
                  </w:tcMar>
                  <w:vAlign w:val="center"/>
                </w:tcPr>
                <w:p>
                  <w:pPr>
                    <w:spacing w:after="0"/>
                  </w:pPr>
                  <w:r>
                    <w:rPr>
                      <w:sz w:val="18"/>
                      <w:szCs w:val="18"/>
                    </w:rPr>
                    <w:t xml:space="preserve">21.328</w:t>
                  </w:r>
                </w:p>
              </w:tc>
              <w:tc>
                <w:tcPr>
                  <w:tcW w:type="dxa" w:w="1277"/>
                  <w:tcMar>
                    <w:top w:type="dxa" w:w="70"/>
                    <w:left w:type="dxa" w:w="100"/>
                    <w:bottom w:type="dxa" w:w="70"/>
                    <w:right w:type="dxa" w:w="100"/>
                  </w:tcMar>
                  <w:vAlign w:val="center"/>
                </w:tcPr>
                <w:p>
                  <w:pPr>
                    <w:spacing w:after="0"/>
                  </w:pPr>
                  <w:r>
                    <w:rPr>
                      <w:sz w:val="18"/>
                      <w:szCs w:val="18"/>
                    </w:rPr>
                    <w:t xml:space="preserve">26,07 %</w:t>
                  </w:r>
                </w:p>
              </w:tc>
              <w:tc>
                <w:tcPr>
                  <w:tcW w:type="dxa" w:w="1038"/>
                  <w:tcMar>
                    <w:top w:type="dxa" w:w="70"/>
                    <w:left w:type="dxa" w:w="100"/>
                    <w:bottom w:type="dxa" w:w="70"/>
                    <w:right w:type="dxa" w:w="100"/>
                  </w:tcMar>
                  <w:vAlign w:val="center"/>
                </w:tcPr>
                <w:p>
                  <w:pPr>
                    <w:spacing w:after="0"/>
                  </w:pPr>
                  <w:r>
                    <w:rPr>
                      <w:sz w:val="18"/>
                      <w:szCs w:val="18"/>
                    </w:rPr>
                    <w:t xml:space="preserve">5.084</w:t>
                  </w:r>
                </w:p>
              </w:tc>
              <w:tc>
                <w:tcPr>
                  <w:tcW w:type="dxa" w:w="1280"/>
                  <w:tcMar>
                    <w:top w:type="dxa" w:w="70"/>
                    <w:left w:type="dxa" w:w="100"/>
                    <w:bottom w:type="dxa" w:w="70"/>
                    <w:right w:type="dxa" w:w="100"/>
                  </w:tcMar>
                  <w:vAlign w:val="center"/>
                </w:tcPr>
                <w:p>
                  <w:pPr>
                    <w:spacing w:after="0"/>
                  </w:pPr>
                  <w:r>
                    <w:rPr>
                      <w:sz w:val="18"/>
                      <w:szCs w:val="18"/>
                    </w:rPr>
                    <w:t xml:space="preserve">24,04 %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Diferencia con la exploración</w:t>
            </w:r>
          </w:p>
        </w:tc>
        <w:tc>
          <w:tcPr>
            <w:tcW w:type="dxa" w:w="7226"/>
            <w:tcMar>
              <w:top w:type="dxa" w:w="70"/>
              <w:left w:type="dxa" w:w="100"/>
              <w:bottom w:type="dxa" w:w="70"/>
              <w:right w:type="dxa" w:w="100"/>
            </w:tcMar>
          </w:tcPr>
          <w:p>
            <w:pPr>
              <w:keepNext/>
              <w:spacing w:after="0" w:before="0"/>
            </w:pPr>
            <w:r>
              <w:rPr>
                <w:sz w:val="20"/>
                <w:szCs w:val="20"/>
              </w:rPr>
              <w:t xml:space="preserve">La exploración del 28 de octubre usó 12 meses de calendario y no contaba la hospitalización terminada el mismo día del ingreso índice; con 5 o más hospitalizaciones previas daba 26,08 % en vez de 26,07 % (22 casos de 21.328).</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descartadas</w:t>
            </w:r>
          </w:p>
        </w:tc>
        <w:tc>
          <w:tcPr>
            <w:tcW w:type="dxa" w:w="7226"/>
            <w:tcMar>
              <w:top w:type="dxa" w:w="70"/>
              <w:left w:type="dxa" w:w="100"/>
              <w:bottom w:type="dxa" w:w="70"/>
              <w:right w:type="dxa" w:w="100"/>
            </w:tcMar>
          </w:tcPr>
          <w:p>
            <w:pPr>
              <w:keepNext/>
              <w:spacing w:after="0" w:before="0"/>
            </w:pPr>
            <w:r>
              <w:rPr>
                <w:sz w:val="20"/>
                <w:szCs w:val="20"/>
              </w:rPr>
              <w:t xml:space="preserve">(1) 12 meses de calendario: la ventana mediría 365 o 366 días según el año, y 366 se confundiría con «sin hospitalización». (2) No contar la hospitalización terminada el mismo día del ingreso índice: se perdería la información de quien vuelve a hospitalizarse el mismo día de un alta.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ventana_historia_dias</w:t>
            </w:r>
            <w:r>
              <w:rPr>
                <w:sz w:val="20"/>
                <w:szCs w:val="20"/>
              </w:rPr>
              <w:t xml:space="preserve"> (365), </w:t>
            </w:r>
            <w:r>
              <w:rPr>
                <w:rFonts w:ascii="Consolas" w:cs="Consolas" w:eastAsia="Consolas" w:hAnsi="Consolas"/>
                <w:sz w:val="18"/>
                <w:szCs w:val="18"/>
                <w:shd w:fill="F2F2F2" w:color="auto" w:val="clear"/>
              </w:rPr>
              <w:t xml:space="preserve">inicio_bloques</w:t>
            </w:r>
            <w:r>
              <w:rPr>
                <w:sz w:val="20"/>
                <w:szCs w:val="20"/>
              </w:rPr>
              <w:t xml:space="preserve"> (A desde el 1-1-2019, B desde el 1-1-2021) y </w:t>
            </w:r>
            <w:r>
              <w:rPr>
                <w:rFonts w:ascii="Consolas" w:cs="Consolas" w:eastAsia="Consolas" w:hAnsi="Consolas"/>
                <w:sz w:val="18"/>
                <w:szCs w:val="18"/>
                <w:shd w:fill="F2F2F2" w:color="auto" w:val="clear"/>
              </w:rPr>
              <w:t xml:space="preserve">dias_sin_hospitalizacion</w:t>
            </w:r>
            <w:r>
              <w:rPr>
                <w:sz w:val="20"/>
                <w:szCs w:val="20"/>
              </w:rPr>
              <w:t xml:space="preserve"> (366), en </w:t>
            </w:r>
            <w:r>
              <w:rPr>
                <w:rFonts w:ascii="Consolas" w:cs="Consolas" w:eastAsia="Consolas" w:hAnsi="Consolas"/>
                <w:sz w:val="18"/>
                <w:szCs w:val="18"/>
                <w:shd w:fill="F2F2F2" w:color="auto" w:val="clear"/>
              </w:rPr>
              <w:t xml:space="preserve">reglas/parametros.csv</w:t>
            </w:r>
            <w:r>
              <w:rPr>
                <w:sz w:val="20"/>
                <w:szCs w:val="20"/>
              </w:rPr>
              <w:t xml:space="preserve">; de la 2.2, </w:t>
            </w:r>
            <w:r>
              <w:rPr>
                <w:rFonts w:ascii="Consolas" w:cs="Consolas" w:eastAsia="Consolas" w:hAnsi="Consolas"/>
                <w:sz w:val="18"/>
                <w:szCs w:val="18"/>
                <w:shd w:fill="F2F2F2" w:color="auto" w:val="clear"/>
              </w:rPr>
              <w:t xml:space="preserve">ingresos_no_planificados</w:t>
            </w:r>
            <w:r>
              <w:rPr>
                <w:sz w:val="20"/>
                <w:szCs w:val="20"/>
              </w:rPr>
              <w:t xml:space="preserve">, </w:t>
            </w:r>
            <w:r>
              <w:rPr>
                <w:rFonts w:ascii="Consolas" w:cs="Consolas" w:eastAsia="Consolas" w:hAnsi="Consolas"/>
                <w:sz w:val="18"/>
                <w:szCs w:val="18"/>
                <w:shd w:fill="F2F2F2" w:color="auto" w:val="clear"/>
              </w:rPr>
              <w:t xml:space="preserve">grd_parto</w:t>
            </w:r>
            <w:r>
              <w:rPr>
                <w:sz w:val="20"/>
                <w:szCs w:val="20"/>
              </w:rPr>
              <w:t xml:space="preserve"> y </w:t>
            </w:r>
            <w:r>
              <w:rPr>
                <w:rFonts w:ascii="Consolas" w:cs="Consolas" w:eastAsia="Consolas" w:hAnsi="Consolas"/>
                <w:sz w:val="18"/>
                <w:szCs w:val="18"/>
                <w:shd w:fill="F2F2F2" w:color="auto" w:val="clear"/>
              </w:rPr>
              <w:t xml:space="preserve">diagnosticos_sesion</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aprobó la decisión 2 del paso 2 el 28 de octubre de 2026, y los detalles de la ventana el 29 de octubre, al aceptar el borrador del script («Sí, sigue»).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r>
              <w:rPr>
                <w:sz w:val="20"/>
                <w:szCs w:val="20"/>
              </w:rPr>
              <w:t xml:space="preserve">D42 y D44 de la bitácora de la 2.3. Ver también </w:t>
            </w:r>
            <w:hyperlink w:history="1" w:anchor="E_H33">
              <w:r>
                <w:rPr>
                  <w:color w:val="0563C1"/>
                  <w:sz w:val="20"/>
                  <w:szCs w:val="20"/>
                  <w:u w:val="single"/>
                </w:rPr>
                <w:t xml:space="preserve">H33</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reportes/15_variables_casos.md</w:t>
            </w:r>
            <w:r>
              <w:rPr>
                <w:sz w:val="20"/>
                <w:szCs w:val="20"/>
              </w:rPr>
              <w:t xml:space="preserve">, sección 2. La prueba independiente recalcula la historia egreso por egreso en 3.062 casos, también en los bordes de la ventana.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48" w:id="7"/>
      <w:r>
        <w:rPr>
          <w:color w:val="548235"/>
        </w:rPr>
        <w:t xml:space="preserve">D48</w:t>
      </w:r>
      <w:bookmarkEnd w:id="7"/>
      <w:r>
        <w:t xml:space="preserve"> · Índice de comorbilidad: Elixhauser, con Charlson como comparación</w:t>
      </w:r>
    </w:p>
    <w:p>
      <w:pPr>
        <w:keepNext/>
        <w:spacing w:after="100"/>
      </w:pPr>
      <w:r>
        <w:rPr>
          <w:b/>
          <w:bCs/>
          <w:color w:val="548235"/>
          <w:sz w:val="18"/>
          <w:szCs w:val="18"/>
        </w:rPr>
        <w:t xml:space="preserve">Decisión</w:t>
      </w:r>
      <w:r>
        <w:rPr>
          <w:color w:val="808080"/>
          <w:sz w:val="18"/>
          <w:szCs w:val="18"/>
        </w:rPr>
        <w:t xml:space="preserve">  ·  29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INDICE_COMORBILIDAD</w:t>
            </w:r>
            <w:r>
              <w:rPr>
                <w:sz w:val="20"/>
                <w:szCs w:val="20"/>
              </w:rPr>
              <w:t xml:space="preserve"> es el número de condiciones de Elixhauser presentes en el caso: 31 condiciones con los códigos CIE-10 de Quan et al. (2005), buscadas en todos los diagnósticos del egreso (principal y secundarios), con tres jerarquías: la diabetes con complicaciones reemplaza a la sin complicaciones, el cáncer metastásico al tumor sólido sin metástasis y la hipertensión con complicaciones a la sin complicaciones. El índice de Charlson con los pesos de Quan et al. (2011) se calcula siempre como comparación: el reporte muestra los dos, y con </w:t>
            </w:r>
            <w:r>
              <w:rPr>
                <w:rFonts w:ascii="Consolas" w:cs="Consolas" w:eastAsia="Consolas" w:hAnsi="Consolas"/>
                <w:sz w:val="18"/>
                <w:szCs w:val="18"/>
                <w:shd w:fill="F2F2F2" w:color="auto" w:val="clear"/>
              </w:rPr>
              <w:t xml:space="preserve">indice_comorbilidad</w:t>
            </w:r>
            <w:r>
              <w:rPr>
                <w:sz w:val="20"/>
                <w:szCs w:val="20"/>
              </w:rPr>
              <w:t xml:space="preserve"> = CHARLSON reemplaza a Elixhauser en la misma columna, para compararlos en la actividad 3.2. No se agrega una segunda columna.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Solo, el índice de Elixhauser ordena algo mejor a los casos que reingresan a 30 días (área bajo la curva ROC de 0,617, frente a 0,608 de Charlson; el número de diagnósticos da 0,613) y cubre condiciones que Charlson no tiene, como arritmias, trastornos de líquidos y electrolitos, anemias, depresión, abuso de alcohol o drogas y obesidad. Charlson se diseñó para predecir la mortalidad. Con solo los diagnósticos secundarios, los dos índices ordenaban peor.</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Tienen al menos una condición el 59,2 % de los casos con Elixhauser (de 0 a 15 condiciones; promedio de 1,33) y el 37,2 % con Charlson. Con los pesos de Quan et al. (2011) cinco condiciones de Charlson valen 0 puntos, así que solo el 27,1 % tiene un puntaje de Charlson mayor que 0. El reingreso a 30 días va de 3,81 % sin condiciones de Elixhauser a 13,09 % con 5 o más.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Jerarquías</w:t>
            </w:r>
          </w:p>
        </w:tc>
        <w:tc>
          <w:tcPr>
            <w:tcW w:type="dxa" w:w="7226"/>
            <w:tcMar>
              <w:top w:type="dxa" w:w="70"/>
              <w:left w:type="dxa" w:w="100"/>
              <w:bottom w:type="dxa" w:w="70"/>
              <w:right w:type="dxa" w:w="100"/>
            </w:tcMar>
          </w:tcPr>
          <w:p>
            <w:pPr>
              <w:keepNext/>
              <w:spacing w:after="0" w:before="0"/>
            </w:pPr>
            <w:r>
              <w:rPr>
                <w:sz w:val="20"/>
                <w:szCs w:val="20"/>
              </w:rPr>
              <w:t xml:space="preserve">Sin ellas, 6.078 casos contarían dos veces la diabetes y 13.852 la hipertensión. Ejemplo: el caso </w:t>
            </w:r>
            <w:r>
              <w:rPr>
                <w:rFonts w:ascii="Consolas" w:cs="Consolas" w:eastAsia="Consolas" w:hAnsi="Consolas"/>
                <w:sz w:val="18"/>
                <w:szCs w:val="18"/>
                <w:shd w:fill="F2F2F2" w:color="auto" w:val="clear"/>
              </w:rPr>
              <w:t xml:space="preserve">20230120079</w:t>
            </w:r>
            <w:r>
              <w:rPr>
                <w:sz w:val="20"/>
                <w:szCs w:val="20"/>
              </w:rPr>
              <w:t xml:space="preserve"> (diagnósticos E11.1, N39.0, I13.9, I10, Z88.0, Z91.1 y E11.6) tiene cuatro condiciones antes de las jerarquías y dos después: diabetes con complicaciones e hipertensión con complicaciones.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Contraste de la tabla de códigos</w:t>
            </w:r>
          </w:p>
        </w:tc>
        <w:tc>
          <w:tcPr>
            <w:tcW w:type="dxa" w:w="7226"/>
            <w:tcMar>
              <w:top w:type="dxa" w:w="70"/>
              <w:left w:type="dxa" w:w="100"/>
              <w:bottom w:type="dxa" w:w="70"/>
              <w:right w:type="dxa" w:w="100"/>
            </w:tcMar>
          </w:tcPr>
          <w:p>
            <w:pPr>
              <w:keepNext/>
              <w:spacing w:after="0" w:before="0"/>
            </w:pPr>
            <w:r>
              <w:rPr>
                <w:sz w:val="20"/>
                <w:szCs w:val="20"/>
              </w:rPr>
              <w:t xml:space="preserve">El artículo de Quan et al. (2005) es de pago y su copia en PubMed Central no se pudo abrir. La tabla se contrastó de forma automática con dos reproducciones independientes: el programa de Stata de la Universidad de Calgary escrito con H. Quan (Stagg) y el paquete comorbidity de R (Gasparini, 2018), del que se tomó. Las tres versiones, incluida la de la exploración del 28 de octubre, coinciden en las 48 condiciones (31 de Elixhauser y 17 de Charlson) y en sus 688 códigos. Los pesos de Quan et al. (2011) coinciden en dos paquetes de R (comorbidity y comorbidities.icd10). Queda pendiente revisar la tabla 2 del artículo, si se consigue.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Deriva</w:t>
            </w:r>
          </w:p>
        </w:tc>
        <w:tc>
          <w:tcPr>
            <w:tcW w:type="dxa" w:w="7226"/>
            <w:tcMar>
              <w:top w:type="dxa" w:w="70"/>
              <w:left w:type="dxa" w:w="100"/>
              <w:bottom w:type="dxa" w:w="70"/>
              <w:right w:type="dxa" w:w="100"/>
            </w:tcMar>
          </w:tcPr>
          <w:p>
            <w:pPr>
              <w:keepNext/>
              <w:spacing w:after="0" w:before="0"/>
            </w:pPr>
            <w:r>
              <w:rPr>
                <w:sz w:val="20"/>
                <w:szCs w:val="20"/>
              </w:rPr>
              <w:t xml:space="preserve">Los casos con al menos una condición pasan de 52,2 % en 2019 a 65,5 % en 2024 con Elixhauser, y de 33,1 % a 41,5 % con Charlson, junto con el aumento de los diagnósticos por caso (</w:t>
            </w:r>
            <w:hyperlink w:history="1" w:anchor="E_H31">
              <w:r>
                <w:rPr>
                  <w:color w:val="0563C1"/>
                  <w:sz w:val="20"/>
                  <w:szCs w:val="20"/>
                  <w:u w:val="single"/>
                </w:rPr>
                <w:t xml:space="preserve">H31</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 y reglas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indice_comorbilidad</w:t>
            </w:r>
            <w:r>
              <w:rPr>
                <w:sz w:val="20"/>
                <w:szCs w:val="20"/>
              </w:rPr>
              <w:t xml:space="preserve"> (ELIXHAUSER), en </w:t>
            </w:r>
            <w:r>
              <w:rPr>
                <w:rFonts w:ascii="Consolas" w:cs="Consolas" w:eastAsia="Consolas" w:hAnsi="Consolas"/>
                <w:sz w:val="18"/>
                <w:szCs w:val="18"/>
                <w:shd w:fill="F2F2F2" w:color="auto" w:val="clear"/>
              </w:rPr>
              <w:t xml:space="preserve">reglas/parametros.csv</w:t>
            </w:r>
            <w:r>
              <w:rPr>
                <w:sz w:val="20"/>
                <w:szCs w:val="20"/>
              </w:rPr>
              <w:t xml:space="preserve">; </w:t>
            </w:r>
            <w:r>
              <w:rPr>
                <w:rFonts w:ascii="Consolas" w:cs="Consolas" w:eastAsia="Consolas" w:hAnsi="Consolas"/>
                <w:sz w:val="18"/>
                <w:szCs w:val="18"/>
                <w:shd w:fill="F2F2F2" w:color="auto" w:val="clear"/>
              </w:rPr>
              <w:t xml:space="preserve">reglas/comorbilidad_quan2005.csv</w:t>
            </w:r>
            <w:r>
              <w:rPr>
                <w:sz w:val="20"/>
                <w:szCs w:val="20"/>
              </w:rPr>
              <w:t xml:space="preserve">, con una fila por condición: sus códigos, su peso y a cuál reemplaza.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lo aprobó el 28 de octubre de 2026 («Elixhauser, pero igualmente se puede dejar como validación»).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reportes/15_variables_casos.md</w:t>
            </w:r>
            <w:r>
              <w:rPr>
                <w:sz w:val="20"/>
                <w:szCs w:val="20"/>
              </w:rPr>
              <w:t xml:space="preserve">, sección 3. La prueba independiente compara la tabla con una transcripción de los rangos de Quan et al. (2005) y recalcula el índice de todos los casos con otro método.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Referencias</w:t>
            </w:r>
          </w:p>
        </w:tc>
        <w:tc>
          <w:tcPr>
            <w:tcW w:type="dxa" w:w="7226"/>
            <w:tcMar>
              <w:top w:type="dxa" w:w="70"/>
              <w:left w:type="dxa" w:w="100"/>
              <w:bottom w:type="dxa" w:w="70"/>
              <w:right w:type="dxa" w:w="100"/>
            </w:tcMar>
          </w:tcPr>
          <w:p>
            <w:pPr>
              <w:keepNext/>
              <w:spacing w:after="0" w:before="0"/>
            </w:pPr>
            <w:r>
              <w:rPr>
                <w:sz w:val="20"/>
                <w:szCs w:val="20"/>
              </w:rPr>
              <w:t xml:space="preserve">Charlson, M. E., et al. (1987), </w:t>
            </w:r>
            <w:r>
              <w:rPr>
                <w:i/>
                <w:iCs/>
                <w:sz w:val="20"/>
                <w:szCs w:val="20"/>
              </w:rPr>
              <w:t xml:space="preserve">Journal of Chronic Diseases</w:t>
            </w:r>
            <w:r>
              <w:rPr>
                <w:sz w:val="20"/>
                <w:szCs w:val="20"/>
              </w:rPr>
              <w:t xml:space="preserve">, 40(5), 373–383; Elixhauser, A., et al. (1998), </w:t>
            </w:r>
            <w:r>
              <w:rPr>
                <w:i/>
                <w:iCs/>
                <w:sz w:val="20"/>
                <w:szCs w:val="20"/>
              </w:rPr>
              <w:t xml:space="preserve">Medical Care</w:t>
            </w:r>
            <w:r>
              <w:rPr>
                <w:sz w:val="20"/>
                <w:szCs w:val="20"/>
              </w:rPr>
              <w:t xml:space="preserve">, 36(1), 8–27; Quan, H., et al. (2005), </w:t>
            </w:r>
            <w:r>
              <w:rPr>
                <w:i/>
                <w:iCs/>
                <w:sz w:val="20"/>
                <w:szCs w:val="20"/>
              </w:rPr>
              <w:t xml:space="preserve">Medical Care</w:t>
            </w:r>
            <w:r>
              <w:rPr>
                <w:sz w:val="20"/>
                <w:szCs w:val="20"/>
              </w:rPr>
              <w:t xml:space="preserve">, 43(11), 1130–1139; Quan, H., et al. (2011), </w:t>
            </w:r>
            <w:r>
              <w:rPr>
                <w:i/>
                <w:iCs/>
                <w:sz w:val="20"/>
                <w:szCs w:val="20"/>
              </w:rPr>
              <w:t xml:space="preserve">American Journal of Epidemiology</w:t>
            </w:r>
            <w:r>
              <w:rPr>
                <w:sz w:val="20"/>
                <w:szCs w:val="20"/>
              </w:rPr>
              <w:t xml:space="preserve">, 173(6), 676–682; Gasparini, A. (2018), </w:t>
            </w:r>
            <w:r>
              <w:rPr>
                <w:i/>
                <w:iCs/>
                <w:sz w:val="20"/>
                <w:szCs w:val="20"/>
              </w:rPr>
              <w:t xml:space="preserve">Journal of Open Source Software</w:t>
            </w:r>
            <w:r>
              <w:rPr>
                <w:sz w:val="20"/>
                <w:szCs w:val="20"/>
              </w:rPr>
              <w:t xml:space="preserve">, 3(23), 648.</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 (Charlson o Elixhauser).</w:t>
            </w:r>
          </w:p>
        </w:tc>
      </w:tr>
    </w:tbl>
    <w:p>
      <w:pPr>
        <w:pStyle w:val="Heading2"/>
      </w:pPr>
      <w:bookmarkStart w:name="E_D49" w:id="8"/>
      <w:r>
        <w:rPr>
          <w:color w:val="548235"/>
        </w:rPr>
        <w:t xml:space="preserve">D49</w:t>
      </w:r>
      <w:bookmarkEnd w:id="8"/>
      <w:r>
        <w:t xml:space="preserve"> · Las demás columnas del CMBD entran sin filtro</w:t>
      </w:r>
    </w:p>
    <w:p>
      <w:pPr>
        <w:keepNext/>
        <w:spacing w:after="100"/>
      </w:pPr>
      <w:r>
        <w:rPr>
          <w:b/>
          <w:bCs/>
          <w:color w:val="548235"/>
          <w:sz w:val="18"/>
          <w:szCs w:val="18"/>
        </w:rPr>
        <w:t xml:space="preserve">Decisión</w:t>
      </w:r>
      <w:r>
        <w:rPr>
          <w:color w:val="808080"/>
          <w:sz w:val="18"/>
          <w:szCs w:val="18"/>
        </w:rPr>
        <w:t xml:space="preserve">  ·  29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80" w:before="0"/>
            </w:pPr>
            <w:r>
              <w:rPr>
                <w:sz w:val="20"/>
                <w:szCs w:val="20"/>
              </w:rPr>
              <w:t xml:space="preserve">Además de las diez variables de la propuesta (</w:t>
            </w:r>
            <w:hyperlink w:history="1" w:anchor="E_D46">
              <w:r>
                <w:rPr>
                  <w:color w:val="0563C1"/>
                  <w:sz w:val="20"/>
                  <w:szCs w:val="20"/>
                  <w:u w:val="single"/>
                </w:rPr>
                <w:t xml:space="preserve">D46</w:t>
              </w:r>
            </w:hyperlink>
            <w:r>
              <w:rPr>
                <w:sz w:val="20"/>
                <w:szCs w:val="20"/>
              </w:rPr>
              <w:t xml:space="preserve"> a </w:t>
            </w:r>
            <w:hyperlink w:history="1" w:anchor="E_D48">
              <w:r>
                <w:rPr>
                  <w:color w:val="0563C1"/>
                  <w:sz w:val="20"/>
                  <w:szCs w:val="20"/>
                  <w:u w:val="single"/>
                </w:rPr>
                <w:t xml:space="preserve">D48</w:t>
              </w:r>
            </w:hyperlink>
            <w:r>
              <w:rPr>
                <w:sz w:val="20"/>
                <w:szCs w:val="20"/>
              </w:rPr>
              <w:t xml:space="preserve">), entran todas las columnas del CMBD que describen al paciente o su hospitalización. Ninguna se elige ni se descarta por su relación con el reingreso: la Etapa 3 aplica el filtro solo a los códigos y deja la selección a los modelos, para «preservar toda variable potencialmente relevante en un modelo multivariado». Cada columna entra tal cual si sus valores significan lo mismo todos los años, y si no, en la forma que sí se mantiene. En las tomadas tal cual, los valores con menos de 100 casos de estudio pasan a OTRO, con el mismo mínimo del filtro de códigos (</w:t>
            </w:r>
            <w:hyperlink w:history="1" w:anchor="E_D45">
              <w:r>
                <w:rPr>
                  <w:color w:val="0563C1"/>
                  <w:sz w:val="20"/>
                  <w:szCs w:val="20"/>
                  <w:u w:val="single"/>
                </w:rPr>
                <w:t xml:space="preserve">D45</w:t>
              </w:r>
            </w:hyperlink>
            <w:r>
              <w:rPr>
                <w:sz w:val="20"/>
                <w:szCs w:val="20"/>
              </w:rPr>
              <w:t xml:space="preserve">).</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99"/>
              <w:gridCol w:w="1844"/>
              <w:gridCol w:w="1735"/>
              <w:gridCol w:w="1148"/>
            </w:tblGrid>
            <w:tr>
              <w:trPr>
                <w:cantSplit/>
                <w:tblHeader/>
              </w:trPr>
              <w:tc>
                <w:tcPr>
                  <w:tcW w:type="dxa" w:w="2299"/>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1844"/>
                  <w:shd w:fill="D9E2F3" w:color="auto" w:val="clear"/>
                  <w:tcMar>
                    <w:top w:type="dxa" w:w="70"/>
                    <w:left w:type="dxa" w:w="100"/>
                    <w:bottom w:type="dxa" w:w="70"/>
                    <w:right w:type="dxa" w:w="100"/>
                  </w:tcMar>
                  <w:vAlign w:val="center"/>
                </w:tcPr>
                <w:p>
                  <w:pPr>
                    <w:spacing w:after="0"/>
                  </w:pPr>
                  <w:r>
                    <w:rPr>
                      <w:b/>
                      <w:bCs/>
                      <w:sz w:val="18"/>
                      <w:szCs w:val="18"/>
                    </w:rPr>
                    <w:t xml:space="preserve">Contenido</w:t>
                  </w:r>
                </w:p>
              </w:tc>
              <w:tc>
                <w:tcPr>
                  <w:tcW w:type="dxa" w:w="1735"/>
                  <w:shd w:fill="D9E2F3" w:color="auto" w:val="clear"/>
                  <w:tcMar>
                    <w:top w:type="dxa" w:w="70"/>
                    <w:left w:type="dxa" w:w="100"/>
                    <w:bottom w:type="dxa" w:w="70"/>
                    <w:right w:type="dxa" w:w="100"/>
                  </w:tcMar>
                  <w:vAlign w:val="center"/>
                </w:tcPr>
                <w:p>
                  <w:pPr>
                    <w:spacing w:after="0"/>
                  </w:pPr>
                  <w:r>
                    <w:rPr>
                      <w:b/>
                      <w:bCs/>
                      <w:sz w:val="18"/>
                      <w:szCs w:val="18"/>
                    </w:rPr>
                    <w:t xml:space="preserve">Forma</w:t>
                  </w:r>
                </w:p>
              </w:tc>
              <w:tc>
                <w:tcPr>
                  <w:tcW w:type="dxa" w:w="1148"/>
                  <w:shd w:fill="D9E2F3" w:color="auto" w:val="clear"/>
                  <w:tcMar>
                    <w:top w:type="dxa" w:w="70"/>
                    <w:left w:type="dxa" w:w="100"/>
                    <w:bottom w:type="dxa" w:w="70"/>
                    <w:right w:type="dxa" w:w="100"/>
                  </w:tcMar>
                  <w:vAlign w:val="center"/>
                </w:tcPr>
                <w:p>
                  <w:pPr>
                    <w:spacing w:after="0"/>
                  </w:pPr>
                  <w:r>
                    <w:rPr>
                      <w:b/>
                      <w:bCs/>
                      <w:sz w:val="18"/>
                      <w:szCs w:val="18"/>
                    </w:rPr>
                    <w:t xml:space="preserve">Valores</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TIPO_ALTA</w:t>
                  </w:r>
                </w:p>
              </w:tc>
              <w:tc>
                <w:tcPr>
                  <w:tcW w:type="dxa" w:w="1844"/>
                  <w:tcMar>
                    <w:top w:type="dxa" w:w="70"/>
                    <w:left w:type="dxa" w:w="100"/>
                    <w:bottom w:type="dxa" w:w="70"/>
                    <w:right w:type="dxa" w:w="100"/>
                  </w:tcMar>
                  <w:vAlign w:val="center"/>
                </w:tcPr>
                <w:p>
                  <w:pPr>
                    <w:spacing w:after="0"/>
                  </w:pPr>
                  <w:r>
                    <w:rPr>
                      <w:sz w:val="18"/>
                      <w:szCs w:val="18"/>
                    </w:rPr>
                    <w:t xml:space="preserve">Destino al alta</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5</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SEVERIDAD</w:t>
                  </w:r>
                </w:p>
              </w:tc>
              <w:tc>
                <w:tcPr>
                  <w:tcW w:type="dxa" w:w="1844"/>
                  <w:tcMar>
                    <w:top w:type="dxa" w:w="70"/>
                    <w:left w:type="dxa" w:w="100"/>
                    <w:bottom w:type="dxa" w:w="70"/>
                    <w:right w:type="dxa" w:w="100"/>
                  </w:tcMar>
                  <w:vAlign w:val="center"/>
                </w:tcPr>
                <w:p>
                  <w:pPr>
                    <w:spacing w:after="0"/>
                  </w:pPr>
                  <w:r>
                    <w:rPr>
                      <w:sz w:val="18"/>
                      <w:szCs w:val="18"/>
                    </w:rPr>
                    <w:t xml:space="preserve">Nivel de severidad del GRD (el último dígito del código)</w:t>
                  </w:r>
                </w:p>
              </w:tc>
              <w:tc>
                <w:tcPr>
                  <w:tcW w:type="dxa" w:w="1735"/>
                  <w:tcMar>
                    <w:top w:type="dxa" w:w="70"/>
                    <w:left w:type="dxa" w:w="100"/>
                    <w:bottom w:type="dxa" w:w="70"/>
                    <w:right w:type="dxa" w:w="100"/>
                  </w:tcMar>
                  <w:vAlign w:val="center"/>
                </w:tcPr>
                <w:p>
                  <w:pPr>
                    <w:spacing w:after="0"/>
                  </w:pPr>
                  <w:r>
                    <w:rPr>
                      <w:sz w:val="18"/>
                      <w:szCs w:val="18"/>
                    </w:rPr>
                    <w:t xml:space="preserve">Tal cual, de 1 a 3</w:t>
                  </w:r>
                </w:p>
              </w:tc>
              <w:tc>
                <w:tcPr>
                  <w:tcW w:type="dxa" w:w="1148"/>
                  <w:tcMar>
                    <w:top w:type="dxa" w:w="70"/>
                    <w:left w:type="dxa" w:w="100"/>
                    <w:bottom w:type="dxa" w:w="70"/>
                    <w:right w:type="dxa" w:w="100"/>
                  </w:tcMar>
                  <w:vAlign w:val="center"/>
                </w:tcPr>
                <w:p>
                  <w:pPr>
                    <w:spacing w:after="0"/>
                  </w:pPr>
                  <w:r>
                    <w:rPr>
                      <w:sz w:val="18"/>
                      <w:szCs w:val="18"/>
                    </w:rPr>
                    <w:t xml:space="preserve">3</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RIESGO_MORTALIDAD</w:t>
                  </w:r>
                </w:p>
              </w:tc>
              <w:tc>
                <w:tcPr>
                  <w:tcW w:type="dxa" w:w="1844"/>
                  <w:tcMar>
                    <w:top w:type="dxa" w:w="70"/>
                    <w:left w:type="dxa" w:w="100"/>
                    <w:bottom w:type="dxa" w:w="70"/>
                    <w:right w:type="dxa" w:w="100"/>
                  </w:tcMar>
                  <w:vAlign w:val="center"/>
                </w:tcPr>
                <w:p>
                  <w:pPr>
                    <w:spacing w:after="0"/>
                  </w:pPr>
                  <w:r>
                    <w:rPr>
                      <w:sz w:val="18"/>
                      <w:szCs w:val="18"/>
                    </w:rPr>
                    <w:t xml:space="preserve">Nivel de riesgo de mortalidad del GRD</w:t>
                  </w:r>
                </w:p>
              </w:tc>
              <w:tc>
                <w:tcPr>
                  <w:tcW w:type="dxa" w:w="1735"/>
                  <w:tcMar>
                    <w:top w:type="dxa" w:w="70"/>
                    <w:left w:type="dxa" w:w="100"/>
                    <w:bottom w:type="dxa" w:w="70"/>
                    <w:right w:type="dxa" w:w="100"/>
                  </w:tcMar>
                  <w:vAlign w:val="center"/>
                </w:tcPr>
                <w:p>
                  <w:pPr>
                    <w:spacing w:after="0"/>
                  </w:pPr>
                  <w:r>
                    <w:rPr>
                      <w:sz w:val="18"/>
                      <w:szCs w:val="18"/>
                    </w:rPr>
                    <w:t xml:space="preserve">Tal cual, de 1 a 3</w:t>
                  </w:r>
                </w:p>
              </w:tc>
              <w:tc>
                <w:tcPr>
                  <w:tcW w:type="dxa" w:w="1148"/>
                  <w:tcMar>
                    <w:top w:type="dxa" w:w="70"/>
                    <w:left w:type="dxa" w:w="100"/>
                    <w:bottom w:type="dxa" w:w="70"/>
                    <w:right w:type="dxa" w:w="100"/>
                  </w:tcMar>
                  <w:vAlign w:val="center"/>
                </w:tcPr>
                <w:p>
                  <w:pPr>
                    <w:spacing w:after="0"/>
                  </w:pPr>
                  <w:r>
                    <w:rPr>
                      <w:sz w:val="18"/>
                      <w:szCs w:val="18"/>
                    </w:rPr>
                    <w:t xml:space="preserve">3</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ESPECIALIDAD_INTERVENCION</w:t>
                  </w:r>
                </w:p>
              </w:tc>
              <w:tc>
                <w:tcPr>
                  <w:tcW w:type="dxa" w:w="1844"/>
                  <w:tcMar>
                    <w:top w:type="dxa" w:w="70"/>
                    <w:left w:type="dxa" w:w="100"/>
                    <w:bottom w:type="dxa" w:w="70"/>
                    <w:right w:type="dxa" w:w="100"/>
                  </w:tcMar>
                  <w:vAlign w:val="center"/>
                </w:tcPr>
                <w:p>
                  <w:pPr>
                    <w:spacing w:after="0"/>
                  </w:pPr>
                  <w:r>
                    <w:rPr>
                      <w:sz w:val="18"/>
                      <w:szCs w:val="18"/>
                    </w:rPr>
                    <w:t xml:space="preserve">Especialidad de la intervención del episodio</w:t>
                  </w:r>
                </w:p>
              </w:tc>
              <w:tc>
                <w:tcPr>
                  <w:tcW w:type="dxa" w:w="1735"/>
                  <w:tcMar>
                    <w:top w:type="dxa" w:w="70"/>
                    <w:left w:type="dxa" w:w="100"/>
                    <w:bottom w:type="dxa" w:w="70"/>
                    <w:right w:type="dxa" w:w="100"/>
                  </w:tcMar>
                  <w:vAlign w:val="center"/>
                </w:tcPr>
                <w:p>
                  <w:pPr>
                    <w:spacing w:after="0"/>
                  </w:pPr>
                  <w:r>
                    <w:rPr>
                      <w:sz w:val="18"/>
                      <w:szCs w:val="18"/>
                    </w:rPr>
                    <w:t xml:space="preserve">Tal cual, con SIN INTERVENCIÓN; la del tramo anterior si el egreso no tiene (11.574 casos)</w:t>
                  </w:r>
                </w:p>
              </w:tc>
              <w:tc>
                <w:tcPr>
                  <w:tcW w:type="dxa" w:w="1148"/>
                  <w:tcMar>
                    <w:top w:type="dxa" w:w="70"/>
                    <w:left w:type="dxa" w:w="100"/>
                    <w:bottom w:type="dxa" w:w="70"/>
                    <w:right w:type="dxa" w:w="100"/>
                  </w:tcMar>
                  <w:vAlign w:val="center"/>
                </w:tcPr>
                <w:p>
                  <w:pPr>
                    <w:spacing w:after="0"/>
                  </w:pPr>
                  <w:r>
                    <w:rPr>
                      <w:sz w:val="18"/>
                      <w:szCs w:val="18"/>
                    </w:rPr>
                    <w:t xml:space="preserve">48 (36 valores, con 694 casos, en OTRO)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UCI_UTI</w:t>
                  </w:r>
                </w:p>
              </w:tc>
              <w:tc>
                <w:tcPr>
                  <w:tcW w:type="dxa" w:w="1844"/>
                  <w:tcMar>
                    <w:top w:type="dxa" w:w="70"/>
                    <w:left w:type="dxa" w:w="100"/>
                    <w:bottom w:type="dxa" w:w="70"/>
                    <w:right w:type="dxa" w:w="100"/>
                  </w:tcMar>
                  <w:vAlign w:val="center"/>
                </w:tcPr>
                <w:p>
                  <w:pPr>
                    <w:spacing w:after="0"/>
                  </w:pPr>
                  <w:r>
                    <w:rPr>
                      <w:sz w:val="18"/>
                      <w:szCs w:val="18"/>
                    </w:rPr>
                    <w:t xml:space="preserve">Paso por cuidados intensivos o intermedios en el episodio</w:t>
                  </w:r>
                </w:p>
              </w:tc>
              <w:tc>
                <w:tcPr>
                  <w:tcW w:type="dxa" w:w="1735"/>
                  <w:tcMar>
                    <w:top w:type="dxa" w:w="70"/>
                    <w:left w:type="dxa" w:w="100"/>
                    <w:bottom w:type="dxa" w:w="70"/>
                    <w:right w:type="dxa" w:w="100"/>
                  </w:tcMar>
                  <w:vAlign w:val="center"/>
                </w:tcPr>
                <w:p>
                  <w:pPr>
                    <w:spacing w:after="0"/>
                  </w:pPr>
                  <w:r>
                    <w:rPr>
                      <w:sz w:val="18"/>
                      <w:szCs w:val="18"/>
                    </w:rPr>
                    <w:t xml:space="preserve">Sí o no, desde los servicios de ingreso, de traslado interno y de alta</w:t>
                  </w:r>
                </w:p>
              </w:tc>
              <w:tc>
                <w:tcPr>
                  <w:tcW w:type="dxa" w:w="1148"/>
                  <w:tcMar>
                    <w:top w:type="dxa" w:w="70"/>
                    <w:left w:type="dxa" w:w="100"/>
                    <w:bottom w:type="dxa" w:w="70"/>
                    <w:right w:type="dxa" w:w="100"/>
                  </w:tcMar>
                  <w:vAlign w:val="center"/>
                </w:tcPr>
                <w:p>
                  <w:pPr>
                    <w:spacing w:after="0"/>
                  </w:pPr>
                  <w:r>
                    <w:rPr>
                      <w:sz w:val="18"/>
                      <w:szCs w:val="18"/>
                    </w:rPr>
                    <w:t xml:space="preserve">2</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TRASLADO</w:t>
                  </w:r>
                </w:p>
              </w:tc>
              <w:tc>
                <w:tcPr>
                  <w:tcW w:type="dxa" w:w="1844"/>
                  <w:tcMar>
                    <w:top w:type="dxa" w:w="70"/>
                    <w:left w:type="dxa" w:w="100"/>
                    <w:bottom w:type="dxa" w:w="70"/>
                    <w:right w:type="dxa" w:w="100"/>
                  </w:tcMar>
                  <w:vAlign w:val="center"/>
                </w:tcPr>
                <w:p>
                  <w:pPr>
                    <w:spacing w:after="0"/>
                  </w:pPr>
                  <w:r>
                    <w:rPr>
                      <w:sz w:val="18"/>
                      <w:szCs w:val="18"/>
                    </w:rPr>
                    <w:t xml:space="preserve">El episodio pasó por más de un hospital (D19)</w:t>
                  </w:r>
                </w:p>
              </w:tc>
              <w:tc>
                <w:tcPr>
                  <w:tcW w:type="dxa" w:w="1735"/>
                  <w:tcMar>
                    <w:top w:type="dxa" w:w="70"/>
                    <w:left w:type="dxa" w:w="100"/>
                    <w:bottom w:type="dxa" w:w="70"/>
                    <w:right w:type="dxa" w:w="100"/>
                  </w:tcMar>
                  <w:vAlign w:val="center"/>
                </w:tcPr>
                <w:p>
                  <w:pPr>
                    <w:spacing w:after="0"/>
                  </w:pPr>
                  <w:r>
                    <w:rPr>
                      <w:sz w:val="18"/>
                      <w:szCs w:val="18"/>
                    </w:rPr>
                    <w:t xml:space="preserve">Sí o no</w:t>
                  </w:r>
                </w:p>
              </w:tc>
              <w:tc>
                <w:tcPr>
                  <w:tcW w:type="dxa" w:w="1148"/>
                  <w:tcMar>
                    <w:top w:type="dxa" w:w="70"/>
                    <w:left w:type="dxa" w:w="100"/>
                    <w:bottom w:type="dxa" w:w="70"/>
                    <w:right w:type="dxa" w:w="100"/>
                  </w:tcMar>
                  <w:vAlign w:val="center"/>
                </w:tcPr>
                <w:p>
                  <w:pPr>
                    <w:spacing w:after="0"/>
                  </w:pPr>
                  <w:r>
                    <w:rPr>
                      <w:sz w:val="18"/>
                      <w:szCs w:val="18"/>
                    </w:rPr>
                    <w:t xml:space="preserve">2</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N_DIAGNOSTICOS</w:t>
                  </w:r>
                </w:p>
              </w:tc>
              <w:tc>
                <w:tcPr>
                  <w:tcW w:type="dxa" w:w="1844"/>
                  <w:tcMar>
                    <w:top w:type="dxa" w:w="70"/>
                    <w:left w:type="dxa" w:w="100"/>
                    <w:bottom w:type="dxa" w:w="70"/>
                    <w:right w:type="dxa" w:w="100"/>
                  </w:tcMar>
                  <w:vAlign w:val="center"/>
                </w:tcPr>
                <w:p>
                  <w:pPr>
                    <w:spacing w:after="0"/>
                  </w:pPr>
                  <w:r>
                    <w:rPr>
                      <w:sz w:val="18"/>
                      <w:szCs w:val="18"/>
                    </w:rPr>
                    <w:t xml:space="preserve">Diagnósticos distintos del egreso</w:t>
                  </w:r>
                </w:p>
              </w:tc>
              <w:tc>
                <w:tcPr>
                  <w:tcW w:type="dxa" w:w="1735"/>
                  <w:tcMar>
                    <w:top w:type="dxa" w:w="70"/>
                    <w:left w:type="dxa" w:w="100"/>
                    <w:bottom w:type="dxa" w:w="70"/>
                    <w:right w:type="dxa" w:w="100"/>
                  </w:tcMar>
                  <w:vAlign w:val="center"/>
                </w:tcPr>
                <w:p>
                  <w:pPr>
                    <w:spacing w:after="0"/>
                  </w:pPr>
                  <w:r>
                    <w:rPr>
                      <w:sz w:val="18"/>
                      <w:szCs w:val="18"/>
                    </w:rPr>
                    <w:t xml:space="preserve">Número</w:t>
                  </w:r>
                </w:p>
              </w:tc>
              <w:tc>
                <w:tcPr>
                  <w:tcW w:type="dxa" w:w="1148"/>
                  <w:tcMar>
                    <w:top w:type="dxa" w:w="70"/>
                    <w:left w:type="dxa" w:w="100"/>
                    <w:bottom w:type="dxa" w:w="70"/>
                    <w:right w:type="dxa" w:w="100"/>
                  </w:tcMar>
                  <w:vAlign w:val="center"/>
                </w:tcPr>
                <w:p>
                  <w:pPr>
                    <w:spacing w:after="0"/>
                  </w:pPr>
                  <w:r>
                    <w:rPr>
                      <w:sz w:val="18"/>
                      <w:szCs w:val="18"/>
                    </w:rPr>
                    <w:t xml:space="preserve">De 0 a 35</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N_PROCEDIMIENTOS</w:t>
                  </w:r>
                </w:p>
              </w:tc>
              <w:tc>
                <w:tcPr>
                  <w:tcW w:type="dxa" w:w="1844"/>
                  <w:tcMar>
                    <w:top w:type="dxa" w:w="70"/>
                    <w:left w:type="dxa" w:w="100"/>
                    <w:bottom w:type="dxa" w:w="70"/>
                    <w:right w:type="dxa" w:w="100"/>
                  </w:tcMar>
                  <w:vAlign w:val="center"/>
                </w:tcPr>
                <w:p>
                  <w:pPr>
                    <w:spacing w:after="0"/>
                  </w:pPr>
                  <w:r>
                    <w:rPr>
                      <w:sz w:val="18"/>
                      <w:szCs w:val="18"/>
                    </w:rPr>
                    <w:t xml:space="preserve">Procedimientos distintos del egreso</w:t>
                  </w:r>
                </w:p>
              </w:tc>
              <w:tc>
                <w:tcPr>
                  <w:tcW w:type="dxa" w:w="1735"/>
                  <w:tcMar>
                    <w:top w:type="dxa" w:w="70"/>
                    <w:left w:type="dxa" w:w="100"/>
                    <w:bottom w:type="dxa" w:w="70"/>
                    <w:right w:type="dxa" w:w="100"/>
                  </w:tcMar>
                  <w:vAlign w:val="center"/>
                </w:tcPr>
                <w:p>
                  <w:pPr>
                    <w:spacing w:after="0"/>
                  </w:pPr>
                  <w:r>
                    <w:rPr>
                      <w:sz w:val="18"/>
                      <w:szCs w:val="18"/>
                    </w:rPr>
                    <w:t xml:space="preserve">Número</w:t>
                  </w:r>
                </w:p>
              </w:tc>
              <w:tc>
                <w:tcPr>
                  <w:tcW w:type="dxa" w:w="1148"/>
                  <w:tcMar>
                    <w:top w:type="dxa" w:w="70"/>
                    <w:left w:type="dxa" w:w="100"/>
                    <w:bottom w:type="dxa" w:w="70"/>
                    <w:right w:type="dxa" w:w="100"/>
                  </w:tcMar>
                  <w:vAlign w:val="center"/>
                </w:tcPr>
                <w:p>
                  <w:pPr>
                    <w:spacing w:after="0"/>
                  </w:pPr>
                  <w:r>
                    <w:rPr>
                      <w:sz w:val="18"/>
                      <w:szCs w:val="18"/>
                    </w:rPr>
                    <w:t xml:space="preserve">De 0 a 30</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ESPECIALIDAD</w:t>
                  </w:r>
                </w:p>
              </w:tc>
              <w:tc>
                <w:tcPr>
                  <w:tcW w:type="dxa" w:w="1844"/>
                  <w:tcMar>
                    <w:top w:type="dxa" w:w="70"/>
                    <w:left w:type="dxa" w:w="100"/>
                    <w:bottom w:type="dxa" w:w="70"/>
                    <w:right w:type="dxa" w:w="100"/>
                  </w:tcMar>
                  <w:vAlign w:val="center"/>
                </w:tcPr>
                <w:p>
                  <w:pPr>
                    <w:spacing w:after="0"/>
                  </w:pPr>
                  <w:r>
                    <w:rPr>
                      <w:sz w:val="18"/>
                      <w:szCs w:val="18"/>
                    </w:rPr>
                    <w:t xml:space="preserve">Especialidad médica del episodio</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59 (23 valores, con 250 casos, en OTRO)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TIPO_PROCEDENCIA</w:t>
                  </w:r>
                </w:p>
              </w:tc>
              <w:tc>
                <w:tcPr>
                  <w:tcW w:type="dxa" w:w="1844"/>
                  <w:tcMar>
                    <w:top w:type="dxa" w:w="70"/>
                    <w:left w:type="dxa" w:w="100"/>
                    <w:bottom w:type="dxa" w:w="70"/>
                    <w:right w:type="dxa" w:w="100"/>
                  </w:tcMar>
                  <w:vAlign w:val="center"/>
                </w:tcPr>
                <w:p>
                  <w:pPr>
                    <w:spacing w:after="0"/>
                  </w:pPr>
                  <w:r>
                    <w:rPr>
                      <w:sz w:val="18"/>
                      <w:szCs w:val="18"/>
                    </w:rPr>
                    <w:t xml:space="preserve">De dónde llega el paciente</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18 (2 valores, con 4 casos, en OTRO)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SERVICIO_INGRESO</w:t>
                  </w:r>
                </w:p>
              </w:tc>
              <w:tc>
                <w:tcPr>
                  <w:tcW w:type="dxa" w:w="1844"/>
                  <w:tcMar>
                    <w:top w:type="dxa" w:w="70"/>
                    <w:left w:type="dxa" w:w="100"/>
                    <w:bottom w:type="dxa" w:w="70"/>
                    <w:right w:type="dxa" w:w="100"/>
                  </w:tcMar>
                  <w:vAlign w:val="center"/>
                </w:tcPr>
                <w:p>
                  <w:pPr>
                    <w:spacing w:after="0"/>
                  </w:pPr>
                  <w:r>
                    <w:rPr>
                      <w:sz w:val="18"/>
                      <w:szCs w:val="18"/>
                    </w:rPr>
                    <w:t xml:space="preserve">Servicio clínico de ingreso</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85 (8 valores, con 248 casos, en OTRO)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SERVICIO_ALTA</w:t>
                  </w:r>
                </w:p>
              </w:tc>
              <w:tc>
                <w:tcPr>
                  <w:tcW w:type="dxa" w:w="1844"/>
                  <w:tcMar>
                    <w:top w:type="dxa" w:w="70"/>
                    <w:left w:type="dxa" w:w="100"/>
                    <w:bottom w:type="dxa" w:w="70"/>
                    <w:right w:type="dxa" w:w="100"/>
                  </w:tcMar>
                  <w:vAlign w:val="center"/>
                </w:tcPr>
                <w:p>
                  <w:pPr>
                    <w:spacing w:after="0"/>
                  </w:pPr>
                  <w:r>
                    <w:rPr>
                      <w:sz w:val="18"/>
                      <w:szCs w:val="18"/>
                    </w:rPr>
                    <w:t xml:space="preserve">Servicio clínico de alta</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83 (8 valores, con 170 casos, en OTRO)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PUEBLO_ORIGINARIO</w:t>
                  </w:r>
                </w:p>
              </w:tc>
              <w:tc>
                <w:tcPr>
                  <w:tcW w:type="dxa" w:w="1844"/>
                  <w:tcMar>
                    <w:top w:type="dxa" w:w="70"/>
                    <w:left w:type="dxa" w:w="100"/>
                    <w:bottom w:type="dxa" w:w="70"/>
                    <w:right w:type="dxa" w:w="100"/>
                  </w:tcMar>
                  <w:vAlign w:val="center"/>
                </w:tcPr>
                <w:p>
                  <w:pPr>
                    <w:spacing w:after="0"/>
                  </w:pPr>
                  <w:r>
                    <w:rPr>
                      <w:sz w:val="18"/>
                      <w:szCs w:val="18"/>
                    </w:rPr>
                    <w:t xml:space="preserve">La etnia nombra un pueblo originario</w:t>
                  </w:r>
                </w:p>
              </w:tc>
              <w:tc>
                <w:tcPr>
                  <w:tcW w:type="dxa" w:w="1735"/>
                  <w:tcMar>
                    <w:top w:type="dxa" w:w="70"/>
                    <w:left w:type="dxa" w:w="100"/>
                    <w:bottom w:type="dxa" w:w="70"/>
                    <w:right w:type="dxa" w:w="100"/>
                  </w:tcMar>
                  <w:vAlign w:val="center"/>
                </w:tcPr>
                <w:p>
                  <w:pPr>
                    <w:spacing w:after="0"/>
                  </w:pPr>
                  <w:r>
                    <w:rPr>
                      <w:sz w:val="18"/>
                      <w:szCs w:val="18"/>
                    </w:rPr>
                    <w:t xml:space="preserve">Sí o no: tal cual no es comparable, porque NINGUNO y OTRO se intercambian entre años</w:t>
                  </w:r>
                </w:p>
              </w:tc>
              <w:tc>
                <w:tcPr>
                  <w:tcW w:type="dxa" w:w="1148"/>
                  <w:tcMar>
                    <w:top w:type="dxa" w:w="70"/>
                    <w:left w:type="dxa" w:w="100"/>
                    <w:bottom w:type="dxa" w:w="70"/>
                    <w:right w:type="dxa" w:w="100"/>
                  </w:tcMar>
                  <w:vAlign w:val="center"/>
                </w:tcPr>
                <w:p>
                  <w:pPr>
                    <w:spacing w:after="0"/>
                  </w:pPr>
                  <w:r>
                    <w:rPr>
                      <w:sz w:val="18"/>
                      <w:szCs w:val="18"/>
                    </w:rPr>
                    <w:t xml:space="preserve">3, con 3 casos sin dato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NACIONALIDAD_EXTRANJERA</w:t>
                  </w:r>
                </w:p>
              </w:tc>
              <w:tc>
                <w:tcPr>
                  <w:tcW w:type="dxa" w:w="1844"/>
                  <w:tcMar>
                    <w:top w:type="dxa" w:w="70"/>
                    <w:left w:type="dxa" w:w="100"/>
                    <w:bottom w:type="dxa" w:w="70"/>
                    <w:right w:type="dxa" w:w="100"/>
                  </w:tcMar>
                  <w:vAlign w:val="center"/>
                </w:tcPr>
                <w:p>
                  <w:pPr>
                    <w:spacing w:after="0"/>
                  </w:pPr>
                  <w:r>
                    <w:rPr>
                      <w:sz w:val="18"/>
                      <w:szCs w:val="18"/>
                    </w:rPr>
                    <w:t xml:space="preserve">La nacionalidad no es chilena</w:t>
                  </w:r>
                </w:p>
              </w:tc>
              <w:tc>
                <w:tcPr>
                  <w:tcW w:type="dxa" w:w="1735"/>
                  <w:tcMar>
                    <w:top w:type="dxa" w:w="70"/>
                    <w:left w:type="dxa" w:w="100"/>
                    <w:bottom w:type="dxa" w:w="70"/>
                    <w:right w:type="dxa" w:w="100"/>
                  </w:tcMar>
                  <w:vAlign w:val="center"/>
                </w:tcPr>
                <w:p>
                  <w:pPr>
                    <w:spacing w:after="0"/>
                  </w:pPr>
                  <w:r>
                    <w:rPr>
                      <w:sz w:val="18"/>
                      <w:szCs w:val="18"/>
                    </w:rPr>
                    <w:t xml:space="preserve">Sí o no: desde 2020 algunos registros dicen un continente en vez de un país</w:t>
                  </w:r>
                </w:p>
              </w:tc>
              <w:tc>
                <w:tcPr>
                  <w:tcW w:type="dxa" w:w="1148"/>
                  <w:tcMar>
                    <w:top w:type="dxa" w:w="70"/>
                    <w:left w:type="dxa" w:w="100"/>
                    <w:bottom w:type="dxa" w:w="70"/>
                    <w:right w:type="dxa" w:w="100"/>
                  </w:tcMar>
                  <w:vAlign w:val="center"/>
                </w:tcPr>
                <w:p>
                  <w:pPr>
                    <w:spacing w:after="0"/>
                  </w:pPr>
                  <w:r>
                    <w:rPr>
                      <w:sz w:val="18"/>
                      <w:szCs w:val="18"/>
                    </w:rPr>
                    <w:t xml:space="preserve">3, con 13.028 casos sin dato</w:t>
                  </w:r>
                </w:p>
              </w:tc>
            </w:tr>
            <w:tr>
              <w:trPr>
                <w:cantSplit/>
                <w:tblHeader w:val="off"/>
              </w:trPr>
              <w:tc>
                <w:tcPr>
                  <w:tcW w:type="dxa" w:w="22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HOSPITAL</w:t>
                  </w:r>
                </w:p>
              </w:tc>
              <w:tc>
                <w:tcPr>
                  <w:tcW w:type="dxa" w:w="1844"/>
                  <w:tcMar>
                    <w:top w:type="dxa" w:w="70"/>
                    <w:left w:type="dxa" w:w="100"/>
                    <w:bottom w:type="dxa" w:w="70"/>
                    <w:right w:type="dxa" w:w="100"/>
                  </w:tcMar>
                  <w:vAlign w:val="center"/>
                </w:tcPr>
                <w:p>
                  <w:pPr>
                    <w:spacing w:after="0"/>
                  </w:pPr>
                  <w:r>
                    <w:rPr>
                      <w:sz w:val="18"/>
                      <w:szCs w:val="18"/>
                    </w:rPr>
                    <w:t xml:space="preserve">Código del hospital del egreso</w:t>
                  </w:r>
                </w:p>
              </w:tc>
              <w:tc>
                <w:tcPr>
                  <w:tcW w:type="dxa" w:w="1735"/>
                  <w:tcMar>
                    <w:top w:type="dxa" w:w="70"/>
                    <w:left w:type="dxa" w:w="100"/>
                    <w:bottom w:type="dxa" w:w="70"/>
                    <w:right w:type="dxa" w:w="100"/>
                  </w:tcMar>
                  <w:vAlign w:val="center"/>
                </w:tcPr>
                <w:p>
                  <w:pPr>
                    <w:spacing w:after="0"/>
                  </w:pPr>
                  <w:r>
                    <w:rPr>
                      <w:sz w:val="18"/>
                      <w:szCs w:val="18"/>
                    </w:rPr>
                    <w:t xml:space="preserve">Tal cual</w:t>
                  </w:r>
                </w:p>
              </w:tc>
              <w:tc>
                <w:tcPr>
                  <w:tcW w:type="dxa" w:w="1148"/>
                  <w:tcMar>
                    <w:top w:type="dxa" w:w="70"/>
                    <w:left w:type="dxa" w:w="100"/>
                    <w:bottom w:type="dxa" w:w="70"/>
                    <w:right w:type="dxa" w:w="100"/>
                  </w:tcMar>
                  <w:vAlign w:val="center"/>
                </w:tcPr>
                <w:p>
                  <w:pPr>
                    <w:spacing w:after="0"/>
                  </w:pPr>
                  <w:r>
                    <w:rPr>
                      <w:sz w:val="18"/>
                      <w:szCs w:val="18"/>
                    </w:rPr>
                    <w:t xml:space="preserve">72</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Episodio o egreso</w:t>
            </w:r>
          </w:p>
        </w:tc>
        <w:tc>
          <w:tcPr>
            <w:tcW w:type="dxa" w:w="7226"/>
            <w:tcMar>
              <w:top w:type="dxa" w:w="70"/>
              <w:left w:type="dxa" w:w="100"/>
              <w:bottom w:type="dxa" w:w="70"/>
              <w:right w:type="dxa" w:w="100"/>
            </w:tcMar>
          </w:tcPr>
          <w:p>
            <w:pPr>
              <w:keepNext/>
              <w:spacing w:after="0" w:before="0"/>
            </w:pPr>
            <w:r>
              <w:rPr>
                <w:sz w:val="20"/>
                <w:szCs w:val="20"/>
              </w:rPr>
              <w:t xml:space="preserve">Lo que ocurre durante la hospitalización (la estadía de </w:t>
            </w:r>
            <w:hyperlink w:history="1" w:anchor="E_D46">
              <w:r>
                <w:rPr>
                  <w:color w:val="0563C1"/>
                  <w:sz w:val="20"/>
                  <w:szCs w:val="20"/>
                  <w:u w:val="single"/>
                </w:rPr>
                <w:t xml:space="preserve">D46</w:t>
              </w:r>
            </w:hyperlink>
            <w:r>
              <w:rPr>
                <w:sz w:val="20"/>
                <w:szCs w:val="20"/>
              </w:rPr>
              <w:t xml:space="preserve">, la intervención, el paso por UCI o UTI y el traslado) se mide en todo el episodio; lo demás, en el egreso del caso, igual que los códigos de </w:t>
            </w:r>
            <w:hyperlink w:history="1" w:anchor="E_D45">
              <w:r>
                <w:rPr>
                  <w:color w:val="0563C1"/>
                  <w:sz w:val="20"/>
                  <w:szCs w:val="20"/>
                  <w:u w:val="single"/>
                </w:rPr>
                <w:t xml:space="preserve">D45</w:t>
              </w:r>
            </w:hyperlink>
            <w:r>
              <w:rPr>
                <w:sz w:val="20"/>
                <w:szCs w:val="20"/>
              </w:rPr>
              <w:t xml:space="preserve"> y el índice de </w:t>
            </w:r>
            <w:hyperlink w:history="1" w:anchor="E_D48">
              <w:r>
                <w:rPr>
                  <w:color w:val="0563C1"/>
                  <w:sz w:val="20"/>
                  <w:szCs w:val="20"/>
                  <w:u w:val="single"/>
                </w:rPr>
                <w:t xml:space="preserve">D48</w:t>
              </w:r>
            </w:hyperlink>
            <w:r>
              <w:rPr>
                <w:sz w:val="20"/>
                <w:szCs w:val="20"/>
              </w:rPr>
              <w:t xml:space="preserve">. Los tramos del propio episodio no son hospitalizaciones previas (D42): describen la hospitalización actual.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Reingreso a 30 días, solo descriptivo</w:t>
            </w:r>
          </w:p>
        </w:tc>
        <w:tc>
          <w:tcPr>
            <w:tcW w:type="dxa" w:w="7226"/>
            <w:tcMar>
              <w:top w:type="dxa" w:w="70"/>
              <w:left w:type="dxa" w:w="100"/>
              <w:bottom w:type="dxa" w:w="70"/>
              <w:right w:type="dxa" w:w="100"/>
            </w:tcMar>
          </w:tcPr>
          <w:p>
            <w:pPr>
              <w:keepNext/>
              <w:spacing w:after="0" w:before="0"/>
            </w:pPr>
            <w:r>
              <w:rPr>
                <w:sz w:val="20"/>
                <w:szCs w:val="20"/>
              </w:rPr>
              <w:t xml:space="preserve">Domicilio 5,57 % y fuga 20,09 %; severidad 1, 2 y 3: 3,89, 7,09 y 9,62 %; riesgo de mortalidad 1, 2 y 3: 4,16, 8,24 y 10,63 %; sin intervención 8,21 %; con UCI o UTI 8,05 % frente a 5,55 % (474.420 casos, 14,1 %); con traslado 8,82 % frente a 5,85 % (56.167 casos, 1,7 %).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No son variables (no es un filtro)</w:t>
            </w:r>
          </w:p>
        </w:tc>
        <w:tc>
          <w:tcPr>
            <w:tcW w:type="dxa" w:w="7226"/>
            <w:tcMar>
              <w:top w:type="dxa" w:w="70"/>
              <w:left w:type="dxa" w:w="100"/>
              <w:bottom w:type="dxa" w:w="70"/>
              <w:right w:type="dxa" w:w="100"/>
            </w:tcMar>
          </w:tcPr>
          <w:p>
            <w:pPr>
              <w:keepNext/>
              <w:spacing w:after="80" w:before="0"/>
            </w:pPr>
            <w:r>
              <w:rPr>
                <w:sz w:val="20"/>
                <w:szCs w:val="20"/>
              </w:rPr>
              <w:t xml:space="preserve">Estas columnas no describen al paciente o su hospitalización, o ya entran en otra forma:</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513"/>
              <w:gridCol w:w="3513"/>
            </w:tblGrid>
            <w:tr>
              <w:trPr>
                <w:cantSplit/>
                <w:tblHeader/>
              </w:trPr>
              <w:tc>
                <w:tcPr>
                  <w:tcW w:type="dxa" w:w="3513"/>
                  <w:shd w:fill="D9E2F3" w:color="auto" w:val="clear"/>
                  <w:tcMar>
                    <w:top w:type="dxa" w:w="70"/>
                    <w:left w:type="dxa" w:w="100"/>
                    <w:bottom w:type="dxa" w:w="70"/>
                    <w:right w:type="dxa" w:w="100"/>
                  </w:tcMar>
                  <w:vAlign w:val="center"/>
                </w:tcPr>
                <w:p>
                  <w:pPr>
                    <w:spacing w:after="0"/>
                  </w:pPr>
                  <w:r>
                    <w:rPr>
                      <w:b/>
                      <w:bCs/>
                      <w:sz w:val="18"/>
                      <w:szCs w:val="18"/>
                    </w:rPr>
                    <w:t xml:space="preserve">Columnas</w:t>
                  </w:r>
                </w:p>
              </w:tc>
              <w:tc>
                <w:tcPr>
                  <w:tcW w:type="dxa" w:w="3513"/>
                  <w:shd w:fill="D9E2F3" w:color="auto" w:val="clear"/>
                  <w:tcMar>
                    <w:top w:type="dxa" w:w="70"/>
                    <w:left w:type="dxa" w:w="100"/>
                    <w:bottom w:type="dxa" w:w="70"/>
                    <w:right w:type="dxa" w:w="100"/>
                  </w:tcMar>
                  <w:vAlign w:val="center"/>
                </w:tcPr>
                <w:p>
                  <w:pPr>
                    <w:spacing w:after="0"/>
                  </w:pPr>
                  <w:r>
                    <w:rPr>
                      <w:b/>
                      <w:bCs/>
                      <w:sz w:val="18"/>
                      <w:szCs w:val="18"/>
                    </w:rPr>
                    <w:t xml:space="preserve">Por qué no son variables</w:t>
                  </w:r>
                </w:p>
              </w:tc>
            </w:tr>
            <w:tr>
              <w:trPr>
                <w:cantSplit/>
                <w:tblHeader w:val="off"/>
              </w:trPr>
              <w:tc>
                <w:tcPr>
                  <w:tcW w:type="dxa" w:w="3513"/>
                  <w:tcMar>
                    <w:top w:type="dxa" w:w="70"/>
                    <w:left w:type="dxa" w:w="100"/>
                    <w:bottom w:type="dxa" w:w="70"/>
                    <w:right w:type="dxa" w:w="100"/>
                  </w:tcMar>
                  <w:vAlign w:val="center"/>
                </w:tcPr>
                <w:p>
                  <w:pPr>
                    <w:spacing w:after="0"/>
                  </w:pPr>
                  <w:r>
                    <w:rPr>
                      <w:sz w:val="18"/>
                      <w:szCs w:val="18"/>
                    </w:rPr>
                    <w:t xml:space="preserve">Identificadores y datos del archivo: </w:t>
                  </w:r>
                  <w:r>
                    <w:rPr>
                      <w:rFonts w:ascii="Consolas" w:cs="Consolas" w:eastAsia="Consolas" w:hAnsi="Consolas"/>
                      <w:sz w:val="16"/>
                      <w:szCs w:val="16"/>
                      <w:shd w:fill="F2F2F2" w:color="auto" w:val="clear"/>
                    </w:rPr>
                    <w:t xml:space="preserve">ID_EGRESO</w:t>
                  </w:r>
                  <w:r>
                    <w:rPr>
                      <w:sz w:val="18"/>
                      <w:szCs w:val="18"/>
                    </w:rPr>
                    <w:t xml:space="preserve">, </w:t>
                  </w:r>
                  <w:r>
                    <w:rPr>
                      <w:rFonts w:ascii="Consolas" w:cs="Consolas" w:eastAsia="Consolas" w:hAnsi="Consolas"/>
                      <w:sz w:val="16"/>
                      <w:szCs w:val="16"/>
                      <w:shd w:fill="F2F2F2" w:color="auto" w:val="clear"/>
                    </w:rPr>
                    <w:t xml:space="preserve">ID_PACIENTE</w:t>
                  </w:r>
                  <w:r>
                    <w:rPr>
                      <w:sz w:val="18"/>
                      <w:szCs w:val="18"/>
                    </w:rPr>
                    <w:t xml:space="preserve">, </w:t>
                  </w:r>
                  <w:r>
                    <w:rPr>
                      <w:rFonts w:ascii="Consolas" w:cs="Consolas" w:eastAsia="Consolas" w:hAnsi="Consolas"/>
                      <w:sz w:val="16"/>
                      <w:szCs w:val="16"/>
                      <w:shd w:fill="F2F2F2" w:color="auto" w:val="clear"/>
                    </w:rPr>
                    <w:t xml:space="preserve">ID_PERSONA</w:t>
                  </w:r>
                  <w:r>
                    <w:rPr>
                      <w:sz w:val="18"/>
                      <w:szCs w:val="18"/>
                    </w:rPr>
                    <w:t xml:space="preserve">, </w:t>
                  </w:r>
                  <w:r>
                    <w:rPr>
                      <w:rFonts w:ascii="Consolas" w:cs="Consolas" w:eastAsia="Consolas" w:hAnsi="Consolas"/>
                      <w:sz w:val="16"/>
                      <w:szCs w:val="16"/>
                      <w:shd w:fill="F2F2F2" w:color="auto" w:val="clear"/>
                    </w:rPr>
                    <w:t xml:space="preserve">ID_EPISODIO</w:t>
                  </w:r>
                  <w:r>
                    <w:rPr>
                      <w:sz w:val="18"/>
                      <w:szCs w:val="18"/>
                    </w:rPr>
                    <w:t xml:space="preserve">, los médicos encriptados, el año, </w:t>
                  </w:r>
                  <w:r>
                    <w:rPr>
                      <w:rFonts w:ascii="Consolas" w:cs="Consolas" w:eastAsia="Consolas" w:hAnsi="Consolas"/>
                      <w:sz w:val="16"/>
                      <w:szCs w:val="16"/>
                      <w:shd w:fill="F2F2F2" w:color="auto" w:val="clear"/>
                    </w:rPr>
                    <w:t xml:space="preserve">BLOQUE_ID</w:t>
                  </w:r>
                  <w:r>
                    <w:rPr>
                      <w:sz w:val="18"/>
                      <w:szCs w:val="18"/>
                    </w:rPr>
                    <w:t xml:space="preserve"> y el origen del registro</w:t>
                  </w:r>
                </w:p>
              </w:tc>
              <w:tc>
                <w:tcPr>
                  <w:tcW w:type="dxa" w:w="3513"/>
                  <w:tcMar>
                    <w:top w:type="dxa" w:w="70"/>
                    <w:left w:type="dxa" w:w="100"/>
                    <w:bottom w:type="dxa" w:w="70"/>
                    <w:right w:type="dxa" w:w="100"/>
                  </w:tcMar>
                  <w:vAlign w:val="center"/>
                </w:tcPr>
                <w:p>
                  <w:pPr>
                    <w:spacing w:after="0"/>
                  </w:pPr>
                  <w:r>
                    <w:rPr>
                      <w:sz w:val="18"/>
                      <w:szCs w:val="18"/>
                    </w:rPr>
                    <w:t xml:space="preserve">No describen la salud del paciente; con el año, la validación temporal evaluaría años que el modelo nunca vio</w:t>
                  </w:r>
                </w:p>
              </w:tc>
            </w:tr>
            <w:tr>
              <w:trPr>
                <w:cantSplit/>
                <w:tblHeader w:val="off"/>
              </w:trPr>
              <w:tc>
                <w:tcPr>
                  <w:tcW w:type="dxa" w:w="3513"/>
                  <w:tcMar>
                    <w:top w:type="dxa" w:w="70"/>
                    <w:left w:type="dxa" w:w="100"/>
                    <w:bottom w:type="dxa" w:w="70"/>
                    <w:right w:type="dxa" w:w="100"/>
                  </w:tcMar>
                  <w:vAlign w:val="center"/>
                </w:tcPr>
                <w:p>
                  <w:pPr>
                    <w:spacing w:after="0"/>
                  </w:pPr>
                  <w:r>
                    <w:rPr>
                      <w:sz w:val="18"/>
                      <w:szCs w:val="18"/>
                    </w:rPr>
                    <w:t xml:space="preserve">La respuesta: las cuatro </w:t>
                  </w:r>
                  <w:r>
                    <w:rPr>
                      <w:rFonts w:ascii="Consolas" w:cs="Consolas" w:eastAsia="Consolas" w:hAnsi="Consolas"/>
                      <w:sz w:val="16"/>
                      <w:szCs w:val="16"/>
                      <w:shd w:fill="F2F2F2" w:color="auto" w:val="clear"/>
                    </w:rPr>
                    <w:t xml:space="preserve">REING_*</w:t>
                  </w:r>
                  <w:r>
                    <w:rPr>
                      <w:sz w:val="18"/>
                      <w:szCs w:val="18"/>
                    </w:rPr>
                    <w:t xml:space="preserve">, </w:t>
                  </w:r>
                  <w:r>
                    <w:rPr>
                      <w:rFonts w:ascii="Consolas" w:cs="Consolas" w:eastAsia="Consolas" w:hAnsi="Consolas"/>
                      <w:sz w:val="16"/>
                      <w:szCs w:val="16"/>
                      <w:shd w:fill="F2F2F2" w:color="auto" w:val="clear"/>
                    </w:rPr>
                    <w:t xml:space="preserve">DIAS_REING</w:t>
                  </w:r>
                  <w:r>
                    <w:rPr>
                      <w:sz w:val="18"/>
                      <w:szCs w:val="18"/>
                    </w:rPr>
                    <w:t xml:space="preserve"> e </w:t>
                  </w:r>
                  <w:r>
                    <w:rPr>
                      <w:rFonts w:ascii="Consolas" w:cs="Consolas" w:eastAsia="Consolas" w:hAnsi="Consolas"/>
                      <w:sz w:val="16"/>
                      <w:szCs w:val="16"/>
                      <w:shd w:fill="F2F2F2" w:color="auto" w:val="clear"/>
                    </w:rPr>
                    <w:t xml:space="preserve">ID_EGRESO_REING</w:t>
                  </w:r>
                </w:p>
              </w:tc>
              <w:tc>
                <w:tcPr>
                  <w:tcW w:type="dxa" w:w="3513"/>
                  <w:tcMar>
                    <w:top w:type="dxa" w:w="70"/>
                    <w:left w:type="dxa" w:w="100"/>
                    <w:bottom w:type="dxa" w:w="70"/>
                    <w:right w:type="dxa" w:w="100"/>
                  </w:tcMar>
                  <w:vAlign w:val="center"/>
                </w:tcPr>
                <w:p>
                  <w:pPr>
                    <w:spacing w:after="0"/>
                  </w:pPr>
                  <w:r>
                    <w:rPr>
                      <w:sz w:val="18"/>
                      <w:szCs w:val="18"/>
                    </w:rPr>
                    <w:t xml:space="preserve">Es lo que se quiere predecir</w:t>
                  </w:r>
                </w:p>
              </w:tc>
            </w:tr>
            <w:tr>
              <w:trPr>
                <w:cantSplit/>
                <w:tblHeader w:val="off"/>
              </w:trPr>
              <w:tc>
                <w:tcPr>
                  <w:tcW w:type="dxa" w:w="3513"/>
                  <w:tcMar>
                    <w:top w:type="dxa" w:w="70"/>
                    <w:left w:type="dxa" w:w="100"/>
                    <w:bottom w:type="dxa" w:w="70"/>
                    <w:right w:type="dxa" w:w="100"/>
                  </w:tcMar>
                  <w:vAlign w:val="center"/>
                </w:tcPr>
                <w:p>
                  <w:pPr>
                    <w:spacing w:after="0"/>
                  </w:pPr>
                  <w:r>
                    <w:rPr>
                      <w:sz w:val="18"/>
                      <w:szCs w:val="18"/>
                    </w:rPr>
                    <w:t xml:space="preserve">Las marcas de la depuración: los criterios </w:t>
                  </w:r>
                  <w:r>
                    <w:rPr>
                      <w:rFonts w:ascii="Consolas" w:cs="Consolas" w:eastAsia="Consolas" w:hAnsi="Consolas"/>
                      <w:sz w:val="16"/>
                      <w:szCs w:val="16"/>
                      <w:shd w:fill="F2F2F2" w:color="auto" w:val="clear"/>
                    </w:rPr>
                    <w:t xml:space="preserve">EXC_*</w:t>
                  </w:r>
                  <w:r>
                    <w:rPr>
                      <w:sz w:val="18"/>
                      <w:szCs w:val="18"/>
                    </w:rPr>
                    <w:t xml:space="preserve">, </w:t>
                  </w:r>
                  <w:r>
                    <w:rPr>
                      <w:rFonts w:ascii="Consolas" w:cs="Consolas" w:eastAsia="Consolas" w:hAnsi="Consolas"/>
                      <w:sz w:val="16"/>
                      <w:szCs w:val="16"/>
                      <w:shd w:fill="F2F2F2" w:color="auto" w:val="clear"/>
                    </w:rPr>
                    <w:t xml:space="preserve">MOTIVO_EXCLUSION</w:t>
                  </w:r>
                  <w:r>
                    <w:rPr>
                      <w:sz w:val="18"/>
                      <w:szCs w:val="18"/>
                    </w:rPr>
                    <w:t xml:space="preserve">, </w:t>
                  </w:r>
                  <w:r>
                    <w:rPr>
                      <w:rFonts w:ascii="Consolas" w:cs="Consolas" w:eastAsia="Consolas" w:hAnsi="Consolas"/>
                      <w:sz w:val="16"/>
                      <w:szCs w:val="16"/>
                      <w:shd w:fill="F2F2F2" w:color="auto" w:val="clear"/>
                    </w:rPr>
                    <w:t xml:space="preserve">ES_CASO_ESTUDIO</w:t>
                  </w:r>
                  <w:r>
                    <w:rPr>
                      <w:sz w:val="18"/>
                      <w:szCs w:val="18"/>
                    </w:rPr>
                    <w:t xml:space="preserve">, </w:t>
                  </w:r>
                  <w:r>
                    <w:rPr>
                      <w:rFonts w:ascii="Consolas" w:cs="Consolas" w:eastAsia="Consolas" w:hAnsi="Consolas"/>
                      <w:sz w:val="16"/>
                      <w:szCs w:val="16"/>
                      <w:shd w:fill="F2F2F2" w:color="auto" w:val="clear"/>
                    </w:rPr>
                    <w:t xml:space="preserve">PUEDE_SER_REINGRESO</w:t>
                  </w:r>
                  <w:r>
                    <w:rPr>
                      <w:sz w:val="18"/>
                      <w:szCs w:val="18"/>
                    </w:rPr>
                    <w:t xml:space="preserve">, </w:t>
                  </w:r>
                  <w:r>
                    <w:rPr>
                      <w:rFonts w:ascii="Consolas" w:cs="Consolas" w:eastAsia="Consolas" w:hAnsi="Consolas"/>
                      <w:sz w:val="16"/>
                      <w:szCs w:val="16"/>
                      <w:shd w:fill="F2F2F2" w:color="auto" w:val="clear"/>
                    </w:rPr>
                    <w:t xml:space="preserve">IDENTIDAD_AMBIGUA</w:t>
                  </w:r>
                  <w:r>
                    <w:rPr>
                      <w:sz w:val="18"/>
                      <w:szCs w:val="18"/>
                    </w:rPr>
                    <w:t xml:space="preserve"> y las marcas del episodio</w:t>
                  </w:r>
                </w:p>
              </w:tc>
              <w:tc>
                <w:tcPr>
                  <w:tcW w:type="dxa" w:w="3513"/>
                  <w:tcMar>
                    <w:top w:type="dxa" w:w="70"/>
                    <w:left w:type="dxa" w:w="100"/>
                    <w:bottom w:type="dxa" w:w="70"/>
                    <w:right w:type="dxa" w:w="100"/>
                  </w:tcMar>
                  <w:vAlign w:val="center"/>
                </w:tcPr>
                <w:p>
                  <w:pPr>
                    <w:spacing w:after="0"/>
                  </w:pPr>
                  <w:r>
                    <w:rPr>
                      <w:sz w:val="18"/>
                      <w:szCs w:val="18"/>
                    </w:rPr>
                    <w:t xml:space="preserve">Describen cómo se armó la base; en los casos de estudio valen lo mismo para todos o repiten otra variable (</w:t>
                  </w:r>
                  <w:r>
                    <w:rPr>
                      <w:rFonts w:ascii="Consolas" w:cs="Consolas" w:eastAsia="Consolas" w:hAnsi="Consolas"/>
                      <w:sz w:val="16"/>
                      <w:szCs w:val="16"/>
                      <w:shd w:fill="F2F2F2" w:color="auto" w:val="clear"/>
                    </w:rPr>
                    <w:t xml:space="preserve">EXC_ALTA_VOLUNTARIA_FUGA</w:t>
                  </w:r>
                  <w:r>
                    <w:rPr>
                      <w:sz w:val="18"/>
                      <w:szCs w:val="18"/>
                    </w:rPr>
                    <w:t xml:space="preserve"> marca los mismos 55.435 casos de alta voluntaria y fuga del tipo de alta)</w:t>
                  </w:r>
                </w:p>
              </w:tc>
            </w:tr>
            <w:tr>
              <w:trPr>
                <w:cantSplit/>
                <w:tblHeader w:val="off"/>
              </w:trPr>
              <w:tc>
                <w:tcPr>
                  <w:tcW w:type="dxa" w:w="3513"/>
                  <w:tcMar>
                    <w:top w:type="dxa" w:w="70"/>
                    <w:left w:type="dxa" w:w="100"/>
                    <w:bottom w:type="dxa" w:w="70"/>
                    <w:right w:type="dxa" w:w="100"/>
                  </w:tcMar>
                  <w:vAlign w:val="center"/>
                </w:tcPr>
                <w:p>
                  <w:pPr>
                    <w:spacing w:after="0"/>
                  </w:pPr>
                  <w:r>
                    <w:rPr>
                      <w:sz w:val="18"/>
                      <w:szCs w:val="18"/>
                    </w:rPr>
                    <w:t xml:space="preserve">Las fechas, los diagnósticos y los procedimientos, la provincia, la comuna, el servicio de salud, el código GRD y los servicios de traslado interno</w:t>
                  </w:r>
                </w:p>
              </w:tc>
              <w:tc>
                <w:tcPr>
                  <w:tcW w:type="dxa" w:w="3513"/>
                  <w:tcMar>
                    <w:top w:type="dxa" w:w="70"/>
                    <w:left w:type="dxa" w:w="100"/>
                    <w:bottom w:type="dxa" w:w="70"/>
                    <w:right w:type="dxa" w:w="100"/>
                  </w:tcMar>
                  <w:vAlign w:val="center"/>
                </w:tcPr>
                <w:p>
                  <w:pPr>
                    <w:spacing w:after="0"/>
                  </w:pPr>
                  <w:r>
                    <w:rPr>
                      <w:sz w:val="18"/>
                      <w:szCs w:val="18"/>
                    </w:rPr>
                    <w:t xml:space="preserve">Son la materia prima de otras variables: la edad, la estadía y la historia; los códigos de </w:t>
                  </w:r>
                  <w:hyperlink w:history="1" w:anchor="E_D45">
                    <w:r>
                      <w:rPr>
                        <w:color w:val="0563C1"/>
                        <w:sz w:val="18"/>
                        <w:szCs w:val="18"/>
                        <w:u w:val="single"/>
                      </w:rPr>
                      <w:t xml:space="preserve">D45</w:t>
                    </w:r>
                  </w:hyperlink>
                  <w:r>
                    <w:rPr>
                      <w:sz w:val="18"/>
                      <w:szCs w:val="18"/>
                    </w:rPr>
                    <w:t xml:space="preserve">, los conteos y el índice; la región (la comuna y el servicio de salud son la misma información en otro tamaño, y la propuesta eligió la región); la CDM, el peso y la severidad; el paso por UCI o UTI</w:t>
                  </w:r>
                </w:p>
              </w:tc>
            </w:tr>
            <w:tr>
              <w:trPr>
                <w:cantSplit/>
                <w:tblHeader w:val="off"/>
              </w:trPr>
              <w:tc>
                <w:tcPr>
                  <w:tcW w:type="dxa" w:w="3513"/>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USOSPABELLON</w:t>
                  </w:r>
                  <w:r>
                    <w:rPr>
                      <w:sz w:val="18"/>
                      <w:szCs w:val="18"/>
                    </w:rPr>
                    <w:t xml:space="preserve">, </w:t>
                  </w:r>
                  <w:r>
                    <w:rPr>
                      <w:rFonts w:ascii="Consolas" w:cs="Consolas" w:eastAsia="Consolas" w:hAnsi="Consolas"/>
                      <w:sz w:val="16"/>
                      <w:szCs w:val="16"/>
                      <w:shd w:fill="F2F2F2" w:color="auto" w:val="clear"/>
                    </w:rPr>
                    <w:t xml:space="preserve">FECHAINTERV1</w:t>
                  </w:r>
                  <w:r>
                    <w:rPr>
                      <w:sz w:val="18"/>
                      <w:szCs w:val="18"/>
                    </w:rPr>
                    <w:t xml:space="preserve">, </w:t>
                  </w:r>
                  <w:r>
                    <w:rPr>
                      <w:rFonts w:ascii="Consolas" w:cs="Consolas" w:eastAsia="Consolas" w:hAnsi="Consolas"/>
                      <w:sz w:val="16"/>
                      <w:szCs w:val="16"/>
                      <w:shd w:fill="F2F2F2" w:color="auto" w:val="clear"/>
                    </w:rPr>
                    <w:t xml:space="preserve">HOSPPROCEDENCIA</w:t>
                  </w:r>
                  <w:r>
                    <w:rPr>
                      <w:sz w:val="18"/>
                      <w:szCs w:val="18"/>
                    </w:rPr>
                    <w:t xml:space="preserve"> y la condición y el «estado» del recién nacido</w:t>
                  </w:r>
                </w:p>
              </w:tc>
              <w:tc>
                <w:tcPr>
                  <w:tcW w:type="dxa" w:w="3513"/>
                  <w:tcMar>
                    <w:top w:type="dxa" w:w="70"/>
                    <w:left w:type="dxa" w:w="100"/>
                    <w:bottom w:type="dxa" w:w="70"/>
                    <w:right w:type="dxa" w:w="100"/>
                  </w:tcMar>
                  <w:vAlign w:val="center"/>
                </w:tcPr>
                <w:p>
                  <w:pPr>
                    <w:spacing w:after="0"/>
                  </w:pPr>
                  <w:r>
                    <w:rPr>
                      <w:sz w:val="18"/>
                      <w:szCs w:val="18"/>
                    </w:rPr>
                    <w:t xml:space="preserve">No se registran igual todos los años: el tipo de pabellón no tiene datos en 2020; la fecha de intervención está en el 50,6 % de los casos de 2019 y en el 38,5 % de los de 2024; el hospital de procedencia tiene 518 nombres sin unificar; la condición del recién nacido solo existe en 2019 y su «estado» no tiene un significado documentado</w:t>
                  </w:r>
                </w:p>
              </w:tc>
            </w:tr>
            <w:tr>
              <w:trPr>
                <w:cantSplit/>
                <w:tblHeader w:val="off"/>
              </w:trPr>
              <w:tc>
                <w:tcPr>
                  <w:tcW w:type="dxa" w:w="3513"/>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TIPO_ACTIVIDAD</w:t>
                  </w:r>
                  <w:r>
                    <w:rPr>
                      <w:sz w:val="18"/>
                      <w:szCs w:val="18"/>
                    </w:rPr>
                    <w:t xml:space="preserve"> y el peso y el sexo del recién nacido</w:t>
                  </w:r>
                </w:p>
              </w:tc>
              <w:tc>
                <w:tcPr>
                  <w:tcW w:type="dxa" w:w="3513"/>
                  <w:tcMar>
                    <w:top w:type="dxa" w:w="70"/>
                    <w:left w:type="dxa" w:w="100"/>
                    <w:bottom w:type="dxa" w:w="70"/>
                    <w:right w:type="dxa" w:w="100"/>
                  </w:tcMar>
                  <w:vAlign w:val="center"/>
                </w:tcPr>
                <w:p>
                  <w:pPr>
                    <w:spacing w:after="0"/>
                  </w:pPr>
                  <w:r>
                    <w:rPr>
                      <w:sz w:val="18"/>
                      <w:szCs w:val="18"/>
                    </w:rPr>
                    <w:t xml:space="preserve">El tipo de actividad vale lo mismo en todos los casos de estudio (hospitalización); el peso y el sexo del recién nacido están completos en los partos, pero describen al bebé, no a la paciente del caso</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Antecedente</w:t>
            </w:r>
          </w:p>
        </w:tc>
        <w:tc>
          <w:tcPr>
            <w:tcW w:type="dxa" w:w="7226"/>
            <w:tcMar>
              <w:top w:type="dxa" w:w="70"/>
              <w:left w:type="dxa" w:w="100"/>
              <w:bottom w:type="dxa" w:w="70"/>
              <w:right w:type="dxa" w:w="100"/>
            </w:tcMar>
          </w:tcPr>
          <w:p>
            <w:pPr>
              <w:keepNext/>
              <w:spacing w:after="0" w:before="0"/>
            </w:pPr>
            <w:r>
              <w:rPr>
                <w:sz w:val="20"/>
                <w:szCs w:val="20"/>
              </w:rPr>
              <w:t xml:space="preserve">La primera propuesta, del 28 de octubre de 2026, dejaba fuera el servicio de alta y el de ingreso, el pueblo originario y la nacionalidad extranjera, con razones de interpretación y, en el pueblo originario, por su poca relación con el reingreso. La persona a cargo observó que en la propuesta las columnas del CMBD no pasan por ningún filtro («por lo que entiendo las variables del cmbd pasan todas, exceptuando procedimientos y diagnosticos») y se corrigió. Esas razones quedan como limitaciones.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Limitaciones para interpretar los resultados</w:t>
            </w:r>
          </w:p>
        </w:tc>
        <w:tc>
          <w:tcPr>
            <w:tcW w:type="dxa" w:w="7226"/>
            <w:tcMar>
              <w:top w:type="dxa" w:w="70"/>
              <w:left w:type="dxa" w:w="100"/>
              <w:bottom w:type="dxa" w:w="70"/>
              <w:right w:type="dxa" w:w="100"/>
            </w:tcMar>
          </w:tcPr>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93"/>
              <w:gridCol w:w="4633"/>
            </w:tblGrid>
            <w:tr>
              <w:trPr>
                <w:cantSplit/>
                <w:tblHeader/>
              </w:trPr>
              <w:tc>
                <w:tcPr>
                  <w:tcW w:type="dxa" w:w="2393"/>
                  <w:shd w:fill="D9E2F3" w:color="auto" w:val="clear"/>
                  <w:tcMar>
                    <w:top w:type="dxa" w:w="70"/>
                    <w:left w:type="dxa" w:w="100"/>
                    <w:bottom w:type="dxa" w:w="70"/>
                    <w:right w:type="dxa" w:w="100"/>
                  </w:tcMar>
                  <w:vAlign w:val="center"/>
                </w:tcPr>
                <w:p>
                  <w:pPr>
                    <w:spacing w:after="0"/>
                  </w:pPr>
                  <w:r>
                    <w:rPr>
                      <w:b/>
                      <w:bCs/>
                      <w:sz w:val="18"/>
                      <w:szCs w:val="18"/>
                    </w:rPr>
                    <w:t xml:space="preserve">Tema</w:t>
                  </w:r>
                </w:p>
              </w:tc>
              <w:tc>
                <w:tcPr>
                  <w:tcW w:type="dxa" w:w="4633"/>
                  <w:shd w:fill="D9E2F3" w:color="auto" w:val="clear"/>
                  <w:tcMar>
                    <w:top w:type="dxa" w:w="70"/>
                    <w:left w:type="dxa" w:w="100"/>
                    <w:bottom w:type="dxa" w:w="70"/>
                    <w:right w:type="dxa" w:w="100"/>
                  </w:tcMar>
                  <w:vAlign w:val="center"/>
                </w:tcPr>
                <w:p>
                  <w:pPr>
                    <w:spacing w:after="0"/>
                  </w:pPr>
                  <w:r>
                    <w:rPr>
                      <w:b/>
                      <w:bCs/>
                      <w:sz w:val="18"/>
                      <w:szCs w:val="18"/>
                    </w:rPr>
                    <w:t xml:space="preserve">Limitación</w:t>
                  </w:r>
                </w:p>
              </w:tc>
            </w:tr>
            <w:tr>
              <w:trPr>
                <w:cantSplit/>
                <w:tblHeader w:val="off"/>
              </w:trPr>
              <w:tc>
                <w:tcPr>
                  <w:tcW w:type="dxa" w:w="2393"/>
                  <w:tcMar>
                    <w:top w:type="dxa" w:w="70"/>
                    <w:left w:type="dxa" w:w="100"/>
                    <w:bottom w:type="dxa" w:w="70"/>
                    <w:right w:type="dxa" w:w="100"/>
                  </w:tcMar>
                  <w:vAlign w:val="center"/>
                </w:tcPr>
                <w:p>
                  <w:pPr>
                    <w:spacing w:after="0"/>
                  </w:pPr>
                  <w:r>
                    <w:rPr>
                      <w:sz w:val="18"/>
                      <w:szCs w:val="18"/>
                    </w:rPr>
                    <w:t xml:space="preserve">Servicios de ingreso y de alta</w:t>
                  </w:r>
                </w:p>
              </w:tc>
              <w:tc>
                <w:tcPr>
                  <w:tcW w:type="dxa" w:w="4633"/>
                  <w:tcMar>
                    <w:top w:type="dxa" w:w="70"/>
                    <w:left w:type="dxa" w:w="100"/>
                    <w:bottom w:type="dxa" w:w="70"/>
                    <w:right w:type="dxa" w:w="100"/>
                  </w:tcMar>
                  <w:vAlign w:val="center"/>
                </w:tcPr>
                <w:p>
                  <w:pPr>
                    <w:spacing w:after="0"/>
                  </w:pPr>
                  <w:r>
                    <w:rPr>
                      <w:sz w:val="18"/>
                      <w:szCs w:val="18"/>
                    </w:rPr>
                    <w:t xml:space="preserve">Los nombres dependen de cómo organiza sus camas cada hospital: «ÁREA MÉDICO-QUIRÚRGICO CUIDADOS MEDIOS», que usan 27 hospitales, mezcla 29.612 casos de cirugía general, 25.384 de medicina interna y 13.623 de traumatología, y 26 de los 90 servicios de alta se usan en 3 hospitales o menos</w:t>
                  </w:r>
                </w:p>
              </w:tc>
            </w:tr>
            <w:tr>
              <w:trPr>
                <w:cantSplit/>
                <w:tblHeader w:val="off"/>
              </w:trPr>
              <w:tc>
                <w:tcPr>
                  <w:tcW w:type="dxa" w:w="2393"/>
                  <w:tcMar>
                    <w:top w:type="dxa" w:w="70"/>
                    <w:left w:type="dxa" w:w="100"/>
                    <w:bottom w:type="dxa" w:w="70"/>
                    <w:right w:type="dxa" w:w="100"/>
                  </w:tcMar>
                  <w:vAlign w:val="center"/>
                </w:tcPr>
                <w:p>
                  <w:pPr>
                    <w:spacing w:after="0"/>
                  </w:pPr>
                  <w:r>
                    <w:rPr>
                      <w:sz w:val="18"/>
                      <w:szCs w:val="18"/>
                    </w:rPr>
                    <w:t xml:space="preserve">Nacionalidad extranjera</w:t>
                  </w:r>
                </w:p>
              </w:tc>
              <w:tc>
                <w:tcPr>
                  <w:tcW w:type="dxa" w:w="4633"/>
                  <w:tcMar>
                    <w:top w:type="dxa" w:w="70"/>
                    <w:left w:type="dxa" w:w="100"/>
                    <w:bottom w:type="dxa" w:w="70"/>
                    <w:right w:type="dxa" w:w="100"/>
                  </w:tcMar>
                  <w:vAlign w:val="center"/>
                </w:tcPr>
                <w:p>
                  <w:pPr>
                    <w:spacing w:after="0"/>
                  </w:pPr>
                  <w:r>
                    <w:rPr>
                      <w:sz w:val="18"/>
                      <w:szCs w:val="18"/>
                    </w:rPr>
                    <w:t xml:space="preserve">Los extranjeros reingresan menos aun considerando su edad y sus partos (observado frente a esperado, 0,88), pero su seguimiento es más incompleto: el 85 % de los egresos sin identificador que no son de recién nacidos es de extranjeros (D21 de la bitácora de la 2.2)</w:t>
                  </w:r>
                </w:p>
              </w:tc>
            </w:tr>
            <w:tr>
              <w:trPr>
                <w:cantSplit/>
                <w:tblHeader w:val="off"/>
              </w:trPr>
              <w:tc>
                <w:tcPr>
                  <w:tcW w:type="dxa" w:w="2393"/>
                  <w:tcMar>
                    <w:top w:type="dxa" w:w="70"/>
                    <w:left w:type="dxa" w:w="100"/>
                    <w:bottom w:type="dxa" w:w="70"/>
                    <w:right w:type="dxa" w:w="100"/>
                  </w:tcMar>
                  <w:vAlign w:val="center"/>
                </w:tcPr>
                <w:p>
                  <w:pPr>
                    <w:spacing w:after="0"/>
                  </w:pPr>
                  <w:r>
                    <w:rPr>
                      <w:sz w:val="18"/>
                      <w:szCs w:val="18"/>
                    </w:rPr>
                    <w:t xml:space="preserve">Paso por UCI o UTI</w:t>
                  </w:r>
                </w:p>
              </w:tc>
              <w:tc>
                <w:tcPr>
                  <w:tcW w:type="dxa" w:w="4633"/>
                  <w:tcMar>
                    <w:top w:type="dxa" w:w="70"/>
                    <w:left w:type="dxa" w:w="100"/>
                    <w:bottom w:type="dxa" w:w="70"/>
                    <w:right w:type="dxa" w:w="100"/>
                  </w:tcMar>
                  <w:vAlign w:val="center"/>
                </w:tcPr>
                <w:p>
                  <w:pPr>
                    <w:spacing w:after="0"/>
                  </w:pPr>
                  <w:r>
                    <w:rPr>
                      <w:sz w:val="18"/>
                      <w:szCs w:val="18"/>
                    </w:rPr>
                    <w:t xml:space="preserve">En 8 hospitales (108.186 casos, 3,2 %) casi no hay traslados internos registrados ni estadías en UCI o UTI: puede que no tengan esas unidades o que no las registren. Una de cada cinco estadías en UCI o UTI (103.100) solo se ve en los traslados internos</w:t>
                  </w:r>
                </w:p>
              </w:tc>
            </w:tr>
            <w:tr>
              <w:trPr>
                <w:cantSplit/>
                <w:tblHeader w:val="off"/>
              </w:trPr>
              <w:tc>
                <w:tcPr>
                  <w:tcW w:type="dxa" w:w="2393"/>
                  <w:tcMar>
                    <w:top w:type="dxa" w:w="70"/>
                    <w:left w:type="dxa" w:w="100"/>
                    <w:bottom w:type="dxa" w:w="70"/>
                    <w:right w:type="dxa" w:w="100"/>
                  </w:tcMar>
                  <w:vAlign w:val="center"/>
                </w:tcPr>
                <w:p>
                  <w:pPr>
                    <w:spacing w:after="0"/>
                  </w:pPr>
                  <w:r>
                    <w:rPr>
                      <w:sz w:val="18"/>
                      <w:szCs w:val="18"/>
                    </w:rPr>
                    <w:t xml:space="preserve">Variables parecidas</w:t>
                  </w:r>
                </w:p>
              </w:tc>
              <w:tc>
                <w:tcPr>
                  <w:tcW w:type="dxa" w:w="4633"/>
                  <w:tcMar>
                    <w:top w:type="dxa" w:w="70"/>
                    <w:left w:type="dxa" w:w="100"/>
                    <w:bottom w:type="dxa" w:w="70"/>
                    <w:right w:type="dxa" w:w="100"/>
                  </w:tcMar>
                  <w:vAlign w:val="center"/>
                </w:tcPr>
                <w:p>
                  <w:pPr>
                    <w:spacing w:after="0"/>
                  </w:pPr>
                  <w:r>
                    <w:rPr>
                      <w:sz w:val="18"/>
                      <w:szCs w:val="18"/>
                    </w:rPr>
                    <w:t xml:space="preserve">La severidad y el riesgo de mortalidad, o el número de diagnósticos y el índice de comorbilidad, miden cosas cercanas: al medir la importancia de las variables en la actividad 3.2, se la repartirán</w:t>
                  </w:r>
                </w:p>
              </w:tc>
            </w:tr>
            <w:tr>
              <w:trPr>
                <w:cantSplit/>
                <w:tblHeader w:val="off"/>
              </w:trPr>
              <w:tc>
                <w:tcPr>
                  <w:tcW w:type="dxa" w:w="2393"/>
                  <w:tcMar>
                    <w:top w:type="dxa" w:w="70"/>
                    <w:left w:type="dxa" w:w="100"/>
                    <w:bottom w:type="dxa" w:w="70"/>
                    <w:right w:type="dxa" w:w="100"/>
                  </w:tcMar>
                  <w:vAlign w:val="center"/>
                </w:tcPr>
                <w:p>
                  <w:pPr>
                    <w:spacing w:after="0"/>
                  </w:pPr>
                  <w:r>
                    <w:rPr>
                      <w:sz w:val="18"/>
                      <w:szCs w:val="18"/>
                    </w:rPr>
                    <w:t xml:space="preserve">Deriva de la codificación</w:t>
                  </w:r>
                </w:p>
              </w:tc>
              <w:tc>
                <w:tcPr>
                  <w:tcW w:type="dxa" w:w="4633"/>
                  <w:tcMar>
                    <w:top w:type="dxa" w:w="70"/>
                    <w:left w:type="dxa" w:w="100"/>
                    <w:bottom w:type="dxa" w:w="70"/>
                    <w:right w:type="dxa" w:w="100"/>
                  </w:tcMar>
                  <w:vAlign w:val="center"/>
                </w:tcPr>
                <w:p>
                  <w:pPr>
                    <w:spacing w:after="0"/>
                  </w:pPr>
                  <w:r>
                    <w:rPr>
                      <w:sz w:val="18"/>
                      <w:szCs w:val="18"/>
                    </w:rPr>
                    <w:t xml:space="preserve">La severidad 3 pasa de 13,2 % de los casos en 2019 a 21,8 % en 2024 y los diagnósticos por caso, de 4,60 a 6,18 (</w:t>
                  </w:r>
                  <w:hyperlink w:history="1" w:anchor="E_H31">
                    <w:r>
                      <w:rPr>
                        <w:color w:val="0563C1"/>
                        <w:sz w:val="18"/>
                        <w:szCs w:val="18"/>
                        <w:u w:val="single"/>
                      </w:rPr>
                      <w:t xml:space="preserve">H31</w:t>
                    </w:r>
                  </w:hyperlink>
                  <w:r>
                    <w:rPr>
                      <w:sz w:val="18"/>
                      <w:szCs w:val="18"/>
                    </w:rPr>
                    <w:t xml:space="preserve">)</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Hospital</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HOSPITAL</w:t>
            </w:r>
            <w:r>
              <w:rPr>
                <w:sz w:val="20"/>
                <w:szCs w:val="20"/>
              </w:rPr>
              <w:t xml:space="preserve"> queda en la tabla. Considerando el tipo de paciente (CDM, severidad, edad, tipo de ingreso y sexo), el reingreso observado frente al esperado va de 0,77 a 2,03 entre hospitales; 7 hospitales no tienen casos antes de 2023 (24.055 de los 1.185.781 casos de evaluación de la validación temporal), y en 5 regiones un solo hospital tiene más del 90 % de los casos. Si se usa como predictora lo decide la revisión del profesor guía, antes de la actividad 3.2.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casos_minimos_categoria</w:t>
            </w:r>
            <w:r>
              <w:rPr>
                <w:sz w:val="20"/>
                <w:szCs w:val="20"/>
              </w:rPr>
              <w:t xml:space="preserve"> (100), </w:t>
            </w:r>
            <w:r>
              <w:rPr>
                <w:rFonts w:ascii="Consolas" w:cs="Consolas" w:eastAsia="Consolas" w:hAnsi="Consolas"/>
                <w:sz w:val="18"/>
                <w:szCs w:val="18"/>
                <w:shd w:fill="F2F2F2" w:color="auto" w:val="clear"/>
              </w:rPr>
              <w:t xml:space="preserve">servicios_criticos</w:t>
            </w:r>
            <w:r>
              <w:rPr>
                <w:sz w:val="20"/>
                <w:szCs w:val="20"/>
              </w:rPr>
              <w:t xml:space="preserve">, </w:t>
            </w:r>
            <w:r>
              <w:rPr>
                <w:rFonts w:ascii="Consolas" w:cs="Consolas" w:eastAsia="Consolas" w:hAnsi="Consolas"/>
                <w:sz w:val="18"/>
                <w:szCs w:val="18"/>
                <w:shd w:fill="F2F2F2" w:color="auto" w:val="clear"/>
              </w:rPr>
              <w:t xml:space="preserve">servicios_criticos_excluidos</w:t>
            </w:r>
            <w:r>
              <w:rPr>
                <w:sz w:val="20"/>
                <w:szCs w:val="20"/>
              </w:rPr>
              <w:t xml:space="preserve">, </w:t>
            </w:r>
            <w:r>
              <w:rPr>
                <w:rFonts w:ascii="Consolas" w:cs="Consolas" w:eastAsia="Consolas" w:hAnsi="Consolas"/>
                <w:sz w:val="18"/>
                <w:szCs w:val="18"/>
                <w:shd w:fill="F2F2F2" w:color="auto" w:val="clear"/>
              </w:rPr>
              <w:t xml:space="preserve">etnia_sin_pueblo</w:t>
            </w:r>
            <w:r>
              <w:rPr>
                <w:sz w:val="20"/>
                <w:szCs w:val="20"/>
              </w:rPr>
              <w:t xml:space="preserve"> y </w:t>
            </w:r>
            <w:r>
              <w:rPr>
                <w:rFonts w:ascii="Consolas" w:cs="Consolas" w:eastAsia="Consolas" w:hAnsi="Consolas"/>
                <w:sz w:val="18"/>
                <w:szCs w:val="18"/>
                <w:shd w:fill="F2F2F2" w:color="auto" w:val="clear"/>
              </w:rPr>
              <w:t xml:space="preserve">nacionalidad_local</w:t>
            </w:r>
            <w:r>
              <w:rPr>
                <w:sz w:val="20"/>
                <w:szCs w:val="20"/>
              </w:rPr>
              <w:t xml:space="preserve">, en </w:t>
            </w:r>
            <w:r>
              <w:rPr>
                <w:rFonts w:ascii="Consolas" w:cs="Consolas" w:eastAsia="Consolas" w:hAnsi="Consolas"/>
                <w:sz w:val="18"/>
                <w:szCs w:val="18"/>
                <w:shd w:fill="F2F2F2" w:color="auto" w:val="clear"/>
              </w:rPr>
              <w:t xml:space="preserve">reglas/parametros.csv</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lo aprobó el 28 de octubre de 2026 («Sí, apruébala»).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reportes/15_variables_casos.md</w:t>
            </w:r>
            <w:r>
              <w:rPr>
                <w:sz w:val="20"/>
                <w:szCs w:val="20"/>
              </w:rPr>
              <w:t xml:space="preserve">, sección 4; la observación por hospital y por nacionalidad sale de una exploración de solo lectura del 28 de octubre de 2026 sobre el conjunto de desarrollo.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Referencias</w:t>
            </w:r>
          </w:p>
        </w:tc>
        <w:tc>
          <w:tcPr>
            <w:tcW w:type="dxa" w:w="7226"/>
            <w:tcMar>
              <w:top w:type="dxa" w:w="70"/>
              <w:left w:type="dxa" w:w="100"/>
              <w:bottom w:type="dxa" w:w="70"/>
              <w:right w:type="dxa" w:w="100"/>
            </w:tcMar>
          </w:tcPr>
          <w:p>
            <w:pPr>
              <w:keepNext/>
              <w:spacing w:after="0" w:before="0"/>
            </w:pPr>
            <w:r>
              <w:rPr>
                <w:sz w:val="20"/>
                <w:szCs w:val="20"/>
              </w:rPr>
              <w:t xml:space="preserve">Li, Yao y Échevin (2020), citado en la propuesta (destino y departamento al alta entre los predictores más importantes); Donzé, J., et al. (2013), </w:t>
            </w:r>
            <w:r>
              <w:rPr>
                <w:i/>
                <w:iCs/>
                <w:sz w:val="20"/>
                <w:szCs w:val="20"/>
              </w:rPr>
              <w:t xml:space="preserve">JAMA Internal Medicine</w:t>
            </w:r>
            <w:r>
              <w:rPr>
                <w:sz w:val="20"/>
                <w:szCs w:val="20"/>
              </w:rPr>
              <w:t xml:space="preserve">, 173(8), 632–638 (puntaje HOSPITAL: alta desde oncología y procedimiento durante la estadía).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 en especial el hospital como predictora.</w:t>
            </w:r>
          </w:p>
        </w:tc>
      </w:tr>
    </w:tbl>
    <w:p>
      <w:pPr>
        <w:pStyle w:val="Heading2"/>
      </w:pPr>
      <w:bookmarkStart w:name="E_H33" w:id="9"/>
      <w:r>
        <w:rPr>
          <w:color w:val="2E75B6"/>
        </w:rPr>
        <w:t xml:space="preserve">H33</w:t>
      </w:r>
      <w:bookmarkEnd w:id="9"/>
      <w:r>
        <w:t xml:space="preserve"> · Tratamientos periódicos de un día registrados como hospitalización</w:t>
      </w:r>
    </w:p>
    <w:p>
      <w:pPr>
        <w:keepNext/>
        <w:spacing w:after="100"/>
      </w:pPr>
      <w:r>
        <w:rPr>
          <w:b/>
          <w:bCs/>
          <w:color w:val="2E75B6"/>
          <w:sz w:val="18"/>
          <w:szCs w:val="18"/>
        </w:rPr>
        <w:t xml:space="preserve">Hallazgo</w:t>
      </w:r>
      <w:r>
        <w:rPr>
          <w:color w:val="808080"/>
          <w:sz w:val="18"/>
          <w:szCs w:val="18"/>
        </w:rPr>
        <w:t xml:space="preserve">  ·  29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3.1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697 casos de 13 personas tienen 50 o más hospitalizaciones previas en la ventana de </w:t>
            </w:r>
            <w:hyperlink w:history="1" w:anchor="E_D47">
              <w:r>
                <w:rPr>
                  <w:color w:val="0563C1"/>
                  <w:sz w:val="20"/>
                  <w:szCs w:val="20"/>
                  <w:u w:val="single"/>
                </w:rPr>
                <w:t xml:space="preserve">D47</w:t>
              </w:r>
            </w:hyperlink>
            <w:r>
              <w:rPr>
                <w:sz w:val="20"/>
                <w:szCs w:val="20"/>
              </w:rPr>
              <w:t xml:space="preserve">; el máximo es 342, mientras que el percentil 99 es 4 y el 99,9 es 13. De los 1.603 egresos de esas personas, el 72,4 % dura 0 días y el 94,5 % es programado. Sus diagnósticos principales más frecuentes son D66 (deficiencia hereditaria del factor VIII: 426 egresos), E76 (trastornos del metabolismo de los glucosaminoglicanos: 366), E78 (trastornos del metabolismo de las lipoproteínas: 229), Z29 (necesidad de otras medidas profilácticas: 198) y K91 (trastornos del sistema digestivo consecutivos a procedimientos: 151). Son tratamientos periódicos de un día, como infusiones o terapias de reemplazo, que no se codifican como sesión: D33 solo trata como sesión el diagnóstico principal Z51, así que cuentan como hospitalizaciones.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Las variables de historia no se corrigen: cuentan lo registrado, como define </w:t>
            </w:r>
            <w:hyperlink w:history="1" w:anchor="E_D47">
              <w:r>
                <w:rPr>
                  <w:color w:val="0563C1"/>
                  <w:sz w:val="20"/>
                  <w:szCs w:val="20"/>
                  <w:u w:val="single"/>
                </w:rPr>
                <w:t xml:space="preserve">D47</w:t>
              </w:r>
            </w:hyperlink>
            <w:r>
              <w:rPr>
                <w:sz w:val="20"/>
                <w:szCs w:val="20"/>
              </w:rPr>
              <w:t xml:space="preserve">. Los valores extremos afectan sobre todo a la regresión logística; en la actividad 3.2 se decide, con cada modelo, si se transforma la variable (por ejemplo, con un logaritmo o un tope). Se puede consultar al profesor guía si estos tratamientos deberían tratarse como sesiones, lo que cambiaría la cohorte de la 2.2 (criterio E14).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reportes/15_variables_casos.md</w:t>
            </w:r>
            <w:r>
              <w:rPr>
                <w:sz w:val="20"/>
                <w:szCs w:val="20"/>
              </w:rPr>
              <w:t xml:space="preserve">, sección 2 (valores extremos); exploración de solo lectura del 28 de octubre de 2026 (diagnósticos y tipo de ingreso de los egresos de esas personas, sin mostrar identificadores).</w:t>
            </w:r>
          </w:p>
        </w:tc>
      </w:tr>
    </w:tbl>
    <w:p>
      <w:pPr>
        <w:pStyle w:val="Heading1"/>
      </w:pPr>
      <w:r>
        <w:t xml:space="preserve">Pendientes</w:t>
      </w:r>
    </w:p>
    <w:p>
      <w:pPr>
        <w:pStyle w:val="ListParagraph"/>
        <w:numPr>
          <w:ilvl w:val="0"/>
          <w:numId w:val="2"/>
        </w:numPr>
      </w:pPr>
      <w:r>
        <w:t xml:space="preserve">Cierre de la actividad: armar las tablas que usarán los modelos (para cada variable de reingreso, las 30 variables de </w:t>
      </w:r>
      <w:hyperlink w:history="1" w:anchor="E_D46">
        <w:r>
          <w:rPr>
            <w:color w:val="0563C1"/>
            <w:u w:val="single"/>
          </w:rPr>
          <w:t xml:space="preserve">D46</w:t>
        </w:r>
      </w:hyperlink>
      <w:r>
        <w:t xml:space="preserve"> a </w:t>
      </w:r>
      <w:hyperlink w:history="1" w:anchor="E_D49">
        <w:r>
          <w:rPr>
            <w:color w:val="0563C1"/>
            <w:u w:val="single"/>
          </w:rPr>
          <w:t xml:space="preserve">D49</w:t>
        </w:r>
      </w:hyperlink>
      <w:r>
        <w:t xml:space="preserve">, los códigos de su lista de </w:t>
      </w:r>
      <w:hyperlink w:history="1" w:anchor="E_D45">
        <w:r>
          <w:rPr>
            <w:color w:val="0563C1"/>
            <w:u w:val="single"/>
          </w:rPr>
          <w:t xml:space="preserve">D45</w:t>
        </w:r>
      </w:hyperlink>
      <w:r>
        <w:t xml:space="preserve"> y la variable objetivo), con su prueba, su diccionario y su registro de versión. Conviene que su reporte incluya también el desglose de los códigos que quedan fuera y la lista ampliada de </w:t>
      </w:r>
      <w:hyperlink w:history="1" w:anchor="E_H30">
        <w:r>
          <w:rPr>
            <w:color w:val="0563C1"/>
            <w:u w:val="single"/>
          </w:rPr>
          <w:t xml:space="preserve">H30</w:t>
        </w:r>
      </w:hyperlink>
      <w:r>
        <w:t xml:space="preserve">, para que esas cifras queden reproducibles.</w:t>
      </w:r>
    </w:p>
    <w:p>
      <w:pPr>
        <w:pStyle w:val="ListParagraph"/>
        <w:numPr>
          <w:ilvl w:val="0"/>
          <w:numId w:val="2"/>
        </w:numPr>
      </w:pPr>
      <w:r>
        <w:t xml:space="preserve">Revisión del profesor guía, al terminar la actividad, en un informe de avance que incluya: el umbral de V y la comparación de las listas A y C en la actividad 3.2 (</w:t>
      </w:r>
      <w:hyperlink w:history="1" w:anchor="E_H30">
        <w:r>
          <w:rPr>
            <w:color w:val="0563C1"/>
            <w:u w:val="single"/>
          </w:rPr>
          <w:t xml:space="preserve">H30</w:t>
        </w:r>
      </w:hyperlink>
      <w:r>
        <w:t xml:space="preserve">), el mínimo de pacientes distintos (</w:t>
      </w:r>
      <w:hyperlink w:history="1" w:anchor="E_H32">
        <w:r>
          <w:rPr>
            <w:color w:val="0563C1"/>
            <w:u w:val="single"/>
          </w:rPr>
          <w:t xml:space="preserve">H32</w:t>
        </w:r>
      </w:hyperlink>
      <w:r>
        <w:t xml:space="preserve">), la deriva de la codificación (</w:t>
      </w:r>
      <w:hyperlink w:history="1" w:anchor="E_H31">
        <w:r>
          <w:rPr>
            <w:color w:val="0563C1"/>
            <w:u w:val="single"/>
          </w:rPr>
          <w:t xml:space="preserve">H31</w:t>
        </w:r>
      </w:hyperlink>
      <w:r>
        <w:t xml:space="preserve">), el índice de comorbilidad (</w:t>
      </w:r>
      <w:hyperlink w:history="1" w:anchor="E_D48">
        <w:r>
          <w:rPr>
            <w:color w:val="0563C1"/>
            <w:u w:val="single"/>
          </w:rPr>
          <w:t xml:space="preserve">D48</w:t>
        </w:r>
      </w:hyperlink>
      <w:r>
        <w:t xml:space="preserve">), el hospital como predictora y las limitaciones de las columnas del CMBD (</w:t>
      </w:r>
      <w:hyperlink w:history="1" w:anchor="E_D49">
        <w:r>
          <w:rPr>
            <w:color w:val="0563C1"/>
            <w:u w:val="single"/>
          </w:rPr>
          <w:t xml:space="preserve">D49</w:t>
        </w:r>
      </w:hyperlink>
      <w:r>
        <w:t xml:space="preserve">) y los tratamientos periódicos (</w:t>
      </w:r>
      <w:hyperlink w:history="1" w:anchor="E_H33">
        <w:r>
          <w:rPr>
            <w:color w:val="0563C1"/>
            <w:u w:val="single"/>
          </w:rPr>
          <w:t xml:space="preserve">H33</w:t>
        </w:r>
      </w:hyperlink>
      <w:r>
        <w:t xml:space="preserve">).</w:t>
      </w:r>
    </w:p>
    <w:p>
      <w:pPr>
        <w:pStyle w:val="ListParagraph"/>
        <w:numPr>
          <w:ilvl w:val="0"/>
          <w:numId w:val="2"/>
        </w:numPr>
      </w:pPr>
      <w:r>
        <w:t xml:space="preserve">Revisar la tabla 2 de Quan et al. (2005) si se consigue el artículo (</w:t>
      </w:r>
      <w:hyperlink w:history="1" w:anchor="E_D48">
        <w:r>
          <w:rPr>
            <w:color w:val="0563C1"/>
            <w:u w:val="single"/>
          </w:rPr>
          <w:t xml:space="preserve">D48</w:t>
        </w:r>
      </w:hyperlink>
      <w:r>
        <w:t xml:space="preserve">).</w:t>
      </w:r>
    </w:p>
    <w:p>
      <w:pPr>
        <w:pStyle w:val="ListParagraph"/>
        <w:numPr>
          <w:ilvl w:val="0"/>
          <w:numId w:val="2"/>
        </w:numPr>
      </w:pPr>
      <w:r>
        <w:t xml:space="preserve">Para la actividad 3.2: decidir con cada modelo cómo se codifican las categorías y si se transforman los números con valores extremos (</w:t>
      </w:r>
      <w:hyperlink w:history="1" w:anchor="E_H33">
        <w:r>
          <w:rPr>
            <w:color w:val="0563C1"/>
            <w:u w:val="single"/>
          </w:rPr>
          <w:t xml:space="preserve">H33</w:t>
        </w:r>
      </w:hyperlink>
      <w:r>
        <w:t xml:space="preserve">), y tener en cuenta que las variables parecidas se reparten la importancia (</w:t>
      </w:r>
      <w:hyperlink w:history="1" w:anchor="E_D49">
        <w:r>
          <w:rPr>
            <w:color w:val="0563C1"/>
            <w:u w:val="single"/>
          </w:rPr>
          <w:t xml:space="preserve">D49</w:t>
        </w:r>
      </w:hyperlink>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Bitácora de decisiones · Reingresos hospitalarios GRD 2019–2024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3"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4" w15:restartNumberingAfterBreak="0">
    <w:multiLevelType w:val="hybridMultilevel"/>
    <w:lvl w:ilvl="0" w:tentative="1">
      <w:start w:val="1"/>
      <w:numFmt w:val="bullet"/>
      <w:lvlText w:val="•"/>
      <w:lvlJc w:val="left"/>
      <w:pPr>
        <w:ind w:left="50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CL"/>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keepLines/>
      <w:spacing w:after="60" w:before="0"/>
    </w:pPr>
    <w:rPr>
      <w:rFonts w:ascii="Calibri" w:cs="Calibri" w:eastAsia="Calibri" w:hAnsi="Calibri"/>
      <w:b/>
      <w:bCs/>
      <w:color w:val="1F3864"/>
      <w:sz w:val="40"/>
      <w:szCs w:val="4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40" w:before="320"/>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la actividad 3.1: filtro de dimensionalidad (tamaño de efecto)</dc:title>
  <dc:creator>Tesis GRD</dc:creator>
  <dc:description>Hallazgos y decisiones del procesamiento de la base GRD 2019–2024</dc:description>
  <cp:lastModifiedBy>Un-named</cp:lastModifiedBy>
  <cp:revision>1</cp:revision>
  <dcterms:created xsi:type="dcterms:W3CDTF">2026-10-29T22:18:22.137Z</dcterms:created>
  <dcterms:modified xsi:type="dcterms:W3CDTF">2026-10-29T22:18:22.138Z</dcterms:modified>
</cp:coreProperties>
</file>

<file path=docProps/custom.xml><?xml version="1.0" encoding="utf-8"?>
<Properties xmlns="http://schemas.openxmlformats.org/officeDocument/2006/custom-properties" xmlns:vt="http://schemas.openxmlformats.org/officeDocument/2006/docPropsVTypes"/>
</file>