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Escenarios de riesgo: de dónde sale cada número</w:t>
      </w:r>
    </w:p>
    <w:p>
      <w:pPr>
        <w:spacing w:after="120"/>
        <w:rPr>
          <w:color w:val="555555"/>
          <w:sz w:val="18"/>
          <w:szCs w:val="18"/>
        </w:rPr>
      </w:pPr>
      <w:r>
        <w:rPr>
          <w:rFonts w:ascii="Arial" w:cs="Arial" w:eastAsia="Arial" w:hAnsi="Arial"/>
          <w:color w:val="555555"/>
          <w:sz w:val="18"/>
          <w:szCs w:val="18"/>
        </w:rPr>
        <w:t xml:space="preserve">Presupuesto financiero ShopMetrics.xlsx · hojas Escenario 1, Escenario 2, Escenario 3 y Plan de Contingencia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Cada escenario es el presupuesto financiero traído entero por referencia, con un riesgo aplicado encima. Ninguna celda tiene un número escrito a mano: todas son fórmulas que apuntan a la hoja "Presupuesto financiero", multiplican o suman el efecto del riesgo, y recalculan el resto. Si mañana cambia una venta en el modelo de ingresos, los cuatro escenarios cambian solos.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La regla de armado es la de la clase: lo que se sigue de aplicar el riesgo va en el escenario y no en el plan de contingencia. Si bajan las ventas, bajan los costos variables en la misma proporción, no se incorpora el recurso que ese nivel de actividad ya no justifica y no se arma su puesto. El plan de contingencia, en cambio, son acciones nuevas que se agregan sobre el peor escenario.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1. Las fórmulas, iguales en los tres escenarios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Todas las filas se calculan igual en las tres hojas. Lo único que cambia de un escenario a otro es el factor que multiplica las ventas y los montos que se suman o restan, y esos salen de la matriz de riesgos. Las referencias son a la hoja "Presupuesto financiero" (PF), que a su vez trae los valores de los modelos de ingresos, egresos e inversión.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00"/>
        <w:gridCol w:w="4138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Renglón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Cómo se calcula en la hoja</w:t>
            </w:r>
          </w:p>
        </w:tc>
        <w:tc>
          <w:tcPr>
            <w:tcW w:type="dxa" w:w="4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De dónde sale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Ingresos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= PF!fila 12 × factor del riesgo</w:t>
            </w:r>
          </w:p>
        </w:tc>
        <w:tc>
          <w:tcPr>
            <w:tcW w:type="dxa" w:w="4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PF!E12:G12 viene de Mod. ingresos!C30:E30. El factor (0,90 / 0,85 / 0,60) es la caída de ventas que la matriz cuantifica para ese riesgo. El año 2026 no se toca: el riesgo se aplica a los ejercicios 2 y 3.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Costos fijos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= PF!fila 13 (+ medida del plan)</w:t>
            </w:r>
          </w:p>
        </w:tc>
        <w:tc>
          <w:tcPr>
            <w:tcW w:type="dxa" w:w="4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PF!E13:G13 viene de Mod. egresos!B10:D10. En los escenarios no cambia; sólo el plan de contingencia le suma el costo de sus medidas.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Costos variables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= PF!fila 14 × mismo factor + reposición</w:t>
            </w:r>
          </w:p>
        </w:tc>
        <w:tc>
          <w:tcPr>
            <w:tcW w:type="dxa" w:w="4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PF!E14:G14 viene de Mod. egresos!B11:D11. Bajan en la misma proporción que las ventas porque son variables; se les suma la reposición y reinstalación de equipamiento que el riesgo provoca.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Costos de RRHH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= PF!fila 15 − puesto no incorporado</w:t>
            </w:r>
          </w:p>
        </w:tc>
        <w:tc>
          <w:tcPr>
            <w:tcW w:type="dxa" w:w="4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PF!E15:G15 viene de Mod. egresos!B12:D12. Cuando el nivel de ventas no justifica el segundo ejecutivo comercial, se resta su costo anual: Costos RRHH fila 19, sueldo bruto 1.000 × coeficiente de cargas 1,2945 × 12 meses = 15.534.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UAII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= Ingresos − Costos fijos − Costos variables − Costos de RRHH</w:t>
            </w:r>
          </w:p>
        </w:tc>
        <w:tc>
          <w:tcPr>
            <w:tcW w:type="dxa" w:w="4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Misma fórmula que PF!fila 16.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Impuesto Ingresos Brutos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= Ingresos × 3 %</w:t>
            </w:r>
          </w:p>
        </w:tc>
        <w:tc>
          <w:tcPr>
            <w:tcW w:type="dxa" w:w="4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Misma alícuota que PF!fila 17 (celda C9 de cada escenario).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Monto imponible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= UAII − IIB − Amortización del ejercicio</w:t>
            </w:r>
          </w:p>
        </w:tc>
        <w:tc>
          <w:tcPr>
            <w:tcW w:type="dxa" w:w="4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Igual que PF!L23:N23. La amortización sale de Amortizaciones!I5:K5: 2.148,67 / 3.735,33 / 5.292,20. Queda en la fila 22 de cada escenario, fuera del cuadro, como en el presupuesto.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Impuesto a las ganancias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2026: 0 · 2027: MAX(0; MI 2026) × 35 % · 2028: MAX(0; MI 2027) × 35 %</w:t>
            </w:r>
          </w:p>
        </w:tc>
        <w:tc>
          <w:tcPr>
            <w:tcW w:type="dxa" w:w="4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Diferido un año, igual que PF!F19 y PF!G19 (=MAX(0,$L$23)*0.35). Se recalcula dentro del escenario y no se copia del presupuesto: si baja la utilidad, baja el impuesto. El MAX deja en cero el año con quebranto.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UDII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= UAII − IIB − Ganancias</w:t>
            </w:r>
          </w:p>
        </w:tc>
        <w:tc>
          <w:tcPr>
            <w:tcW w:type="dxa" w:w="4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Misma fórmula que PF!fila 20.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Inversión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= PF!fila 21 (+ puesto no armado)</w:t>
            </w:r>
          </w:p>
        </w:tc>
        <w:tc>
          <w:tcPr>
            <w:tcW w:type="dxa" w:w="4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PF!D21:G21 viene de Mod. inversión (fila 20 del bloque J:M). Si no se incorpora el recurso, no se arma su puesto: notebook 940, escritorio 100, silla 85 y periféricos según Amortizaciones, unos 1.200, que se suman porque la inversión está en negativo.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Flujo de Fondos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= UDII + Inversión</w:t>
            </w:r>
          </w:p>
        </w:tc>
        <w:tc>
          <w:tcPr>
            <w:tcW w:type="dxa" w:w="4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Misma fórmula que PF!fila 22. El año Inicio es sólo la inversión inicial, PF!D21 = -67.705.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Tasa de corte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= PF!G33</w:t>
            </w:r>
          </w:p>
        </w:tc>
        <w:tc>
          <w:tcPr>
            <w:tcW w:type="dxa" w:w="4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30 %. La misma del presupuesto: no se mueve para que los riesgos muerdan.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VAN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= VNA(tasa; FF 2026:2028) + FF Inicio</w:t>
            </w:r>
          </w:p>
        </w:tc>
        <w:tc>
          <w:tcPr>
            <w:tcW w:type="dxa" w:w="4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Misma fórmula que PF!G34: el desembolso inicial no se descuenta, se suma.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TIR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= TIR(FF Inicio:2028)</w:t>
            </w:r>
          </w:p>
        </w:tc>
        <w:tc>
          <w:tcPr>
            <w:tcW w:type="dxa" w:w="4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Misma fórmula que PF!G35.</w:t>
            </w:r>
          </w:p>
        </w:tc>
      </w:tr>
    </w:tbl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2. El punto de partida: el presupuesto financiero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Estos son los valores de la hoja "Presupuesto financiero" que los escenarios toman como base. Son los que ya estaban; ningún escenario los modifica.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700"/>
        <w:gridCol w:w="1800"/>
        <w:gridCol w:w="1800"/>
        <w:gridCol w:w="1738"/>
      </w:tblGrid>
      <w:tr>
        <w:trPr>
          <w:tblHeader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Presupuesto financiero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Inicio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2026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2027</w:t>
            </w:r>
          </w:p>
        </w:tc>
        <w:tc>
          <w:tcPr>
            <w:tcW w:type="dxa" w:w="1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2028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Ingresos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105.865,00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386.897,00</w:t>
            </w:r>
          </w:p>
        </w:tc>
        <w:tc>
          <w:tcPr>
            <w:tcW w:type="dxa" w:w="1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705.506,00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Costos fijos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32.640,00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77.700,00</w:t>
            </w:r>
          </w:p>
        </w:tc>
        <w:tc>
          <w:tcPr>
            <w:tcW w:type="dxa" w:w="1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106.860,00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Costos variables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40.479,80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59.474,60</w:t>
            </w:r>
          </w:p>
        </w:tc>
        <w:tc>
          <w:tcPr>
            <w:tcW w:type="dxa" w:w="1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85.346,00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Costos de RRHH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67.319,20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67.319,20</w:t>
            </w:r>
          </w:p>
        </w:tc>
        <w:tc>
          <w:tcPr>
            <w:tcW w:type="dxa" w:w="1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67.319,20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UAII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-34.574,00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182.403,20</w:t>
            </w:r>
          </w:p>
        </w:tc>
        <w:tc>
          <w:tcPr>
            <w:tcW w:type="dxa" w:w="1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445.980,80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IIB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3.175,95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11.606,91</w:t>
            </w:r>
          </w:p>
        </w:tc>
        <w:tc>
          <w:tcPr>
            <w:tcW w:type="dxa" w:w="1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21.165,18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Ganancias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0,00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0,00</w:t>
            </w:r>
          </w:p>
        </w:tc>
        <w:tc>
          <w:tcPr>
            <w:tcW w:type="dxa" w:w="1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58.471,33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UDI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-37.749,95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170.796,29</w:t>
            </w:r>
          </w:p>
        </w:tc>
        <w:tc>
          <w:tcPr>
            <w:tcW w:type="dxa" w:w="1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366.344,29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Inversión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-67.705,00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-10.098,00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-11.900,00</w:t>
            </w:r>
          </w:p>
        </w:tc>
        <w:tc>
          <w:tcPr>
            <w:tcW w:type="dxa" w:w="1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-18.132,00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FF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-67.705,00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-47.847,95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158.896,29</w:t>
            </w:r>
          </w:p>
        </w:tc>
        <w:tc>
          <w:tcPr>
            <w:tcW w:type="dxa" w:w="1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348.212,29</w:t>
            </w:r>
          </w:p>
        </w:tc>
      </w:tr>
    </w:tbl>
    <w:p>
      <w:pPr>
        <w:spacing w:after="200" w:before="120"/>
        <w:rPr>
          <w:b/>
          <w:bCs/>
        </w:rPr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Tasa de corte 30 %  ·  VAN 148.005  ·  TIR 91,70 %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3. Escenario 1 · R1 · Caída de la plataforma o de la infraestructura en la nube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Qué se aplica y por qué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El factor 0,90 sale del efecto cuantitativo de R1 en la matriz: una caída de 72 horas bonifica el abono del período y una de cada diez cuentas se da de baja en el trimestre, de modo que el ingreso de 2027 y 2028 queda un 10 % por debajo.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Los 3.000 por ejercicio son la recuperación: horas de DevOps y créditos a los comercios afectados. Van en costos variables porque dependen del incidente, no de la estructura.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RRHH e inversión no cambian: una caída no reduce la dotación; si algo, la exige más.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La cuenta, renglón por renglón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Cada celda muestra la operación y su resultado. Las bases son las del presupuesto financiero de la sección 2.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46"/>
        <w:gridCol w:w="2546"/>
        <w:gridCol w:w="2546"/>
      </w:tblGrid>
      <w:tr>
        <w:trPr>
          <w:tblHeader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Renglón</w:t>
            </w:r>
          </w:p>
        </w:tc>
        <w:tc>
          <w:tcPr>
            <w:tcW w:type="dxa" w:w="25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2026</w:t>
            </w:r>
          </w:p>
        </w:tc>
        <w:tc>
          <w:tcPr>
            <w:tcW w:type="dxa" w:w="25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2027</w:t>
            </w:r>
          </w:p>
        </w:tc>
        <w:tc>
          <w:tcPr>
            <w:tcW w:type="dxa" w:w="25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2028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Ingresos</w:t>
            </w:r>
          </w:p>
        </w:tc>
        <w:tc>
          <w:tcPr>
            <w:tcW w:type="dxa" w:w="25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sin cambio</w:t>
            </w:r>
          </w:p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= 105.865,00</w:t>
            </w:r>
          </w:p>
        </w:tc>
        <w:tc>
          <w:tcPr>
            <w:tcW w:type="dxa" w:w="25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386.897 × 0,90</w:t>
            </w:r>
          </w:p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= 348.207,30</w:t>
            </w:r>
          </w:p>
        </w:tc>
        <w:tc>
          <w:tcPr>
            <w:tcW w:type="dxa" w:w="25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705.506 × 0,90</w:t>
            </w:r>
          </w:p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= 634.955,40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Costos fijos</w:t>
            </w:r>
          </w:p>
        </w:tc>
        <w:tc>
          <w:tcPr>
            <w:tcW w:type="dxa" w:w="25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sin cambio</w:t>
            </w:r>
          </w:p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= 32.640,00</w:t>
            </w:r>
          </w:p>
        </w:tc>
        <w:tc>
          <w:tcPr>
            <w:tcW w:type="dxa" w:w="25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sin cambio</w:t>
            </w:r>
          </w:p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= 77.700,00</w:t>
            </w:r>
          </w:p>
        </w:tc>
        <w:tc>
          <w:tcPr>
            <w:tcW w:type="dxa" w:w="25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sin cambio</w:t>
            </w:r>
          </w:p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= 106.860,00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Costos variables</w:t>
            </w:r>
          </w:p>
        </w:tc>
        <w:tc>
          <w:tcPr>
            <w:tcW w:type="dxa" w:w="25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sin cambio</w:t>
            </w:r>
          </w:p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= 40.479,80</w:t>
            </w:r>
          </w:p>
        </w:tc>
        <w:tc>
          <w:tcPr>
            <w:tcW w:type="dxa" w:w="25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59.474,60 × 0,90 + 3.000</w:t>
            </w:r>
          </w:p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= 56.527,14</w:t>
            </w:r>
          </w:p>
        </w:tc>
        <w:tc>
          <w:tcPr>
            <w:tcW w:type="dxa" w:w="25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85.346,00 × 0,90 + 3.000</w:t>
            </w:r>
          </w:p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= 79.811,40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Costos de RRHH</w:t>
            </w:r>
          </w:p>
        </w:tc>
        <w:tc>
          <w:tcPr>
            <w:tcW w:type="dxa" w:w="25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sin cambio</w:t>
            </w:r>
          </w:p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= 67.319,20</w:t>
            </w:r>
          </w:p>
        </w:tc>
        <w:tc>
          <w:tcPr>
            <w:tcW w:type="dxa" w:w="25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sin cambio</w:t>
            </w:r>
          </w:p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= 67.319,20</w:t>
            </w:r>
          </w:p>
        </w:tc>
        <w:tc>
          <w:tcPr>
            <w:tcW w:type="dxa" w:w="25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sin cambio</w:t>
            </w:r>
          </w:p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= 67.319,20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UAII</w:t>
            </w:r>
          </w:p>
        </w:tc>
        <w:tc>
          <w:tcPr>
            <w:tcW w:type="dxa" w:w="25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105.865,00 − 32.640,00 − 40.479,80 − 67.319,20</w:t>
            </w:r>
          </w:p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= -34.574,00</w:t>
            </w:r>
          </w:p>
        </w:tc>
        <w:tc>
          <w:tcPr>
            <w:tcW w:type="dxa" w:w="25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348.207,30 − 77.700,00 − 56.527,14 − 67.319,20</w:t>
            </w:r>
          </w:p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= 146.660,96</w:t>
            </w:r>
          </w:p>
        </w:tc>
        <w:tc>
          <w:tcPr>
            <w:tcW w:type="dxa" w:w="25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634.955,40 − 106.860,00 − 79.811,40 − 67.319,20</w:t>
            </w:r>
          </w:p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= 380.964,80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Impuesto Ingresos Brutos</w:t>
            </w:r>
          </w:p>
        </w:tc>
        <w:tc>
          <w:tcPr>
            <w:tcW w:type="dxa" w:w="25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105.865,00 × 3 %</w:t>
            </w:r>
          </w:p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= 3.175,95</w:t>
            </w:r>
          </w:p>
        </w:tc>
        <w:tc>
          <w:tcPr>
            <w:tcW w:type="dxa" w:w="25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348.207,30 × 3 %</w:t>
            </w:r>
          </w:p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= 10.446,22</w:t>
            </w:r>
          </w:p>
        </w:tc>
        <w:tc>
          <w:tcPr>
            <w:tcW w:type="dxa" w:w="25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634.955,40 × 3 %</w:t>
            </w:r>
          </w:p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= 19.048,66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Monto imponible</w:t>
            </w:r>
          </w:p>
        </w:tc>
        <w:tc>
          <w:tcPr>
            <w:tcW w:type="dxa" w:w="25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-34.574,00 − 3.175,95 − 2.148,67</w:t>
            </w:r>
          </w:p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= -39.898,62</w:t>
            </w:r>
          </w:p>
        </w:tc>
        <w:tc>
          <w:tcPr>
            <w:tcW w:type="dxa" w:w="25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146.660,96 − 10.446,22 − 3.735,33</w:t>
            </w:r>
          </w:p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= 132.479,41</w:t>
            </w:r>
          </w:p>
        </w:tc>
        <w:tc>
          <w:tcPr>
            <w:tcW w:type="dxa" w:w="25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380.964,80 − 19.048,66 − 5.292,20</w:t>
            </w:r>
          </w:p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= 356.623,94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Impuesto a las ganancias 35 %</w:t>
            </w:r>
          </w:p>
        </w:tc>
        <w:tc>
          <w:tcPr>
            <w:tcW w:type="dxa" w:w="25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primer ejercicio: 0</w:t>
            </w:r>
          </w:p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= 0,00</w:t>
            </w:r>
          </w:p>
        </w:tc>
        <w:tc>
          <w:tcPr>
            <w:tcW w:type="dxa" w:w="25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MAX(0; -39.898,62) × 35 %</w:t>
            </w:r>
          </w:p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= 0,00</w:t>
            </w:r>
          </w:p>
        </w:tc>
        <w:tc>
          <w:tcPr>
            <w:tcW w:type="dxa" w:w="25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MAX(0; 132.479,41) × 35 %</w:t>
            </w:r>
          </w:p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= 46.367,79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UDII</w:t>
            </w:r>
          </w:p>
        </w:tc>
        <w:tc>
          <w:tcPr>
            <w:tcW w:type="dxa" w:w="25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-34.574,00 − 3.175,95 − 0,00</w:t>
            </w:r>
          </w:p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= -37.749,95</w:t>
            </w:r>
          </w:p>
        </w:tc>
        <w:tc>
          <w:tcPr>
            <w:tcW w:type="dxa" w:w="25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146.660,96 − 10.446,22 − 0,00</w:t>
            </w:r>
          </w:p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= 136.214,74</w:t>
            </w:r>
          </w:p>
        </w:tc>
        <w:tc>
          <w:tcPr>
            <w:tcW w:type="dxa" w:w="25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380.964,80 − 19.048,66 − 46.367,79</w:t>
            </w:r>
          </w:p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= 315.548,35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Inversión</w:t>
            </w:r>
          </w:p>
        </w:tc>
        <w:tc>
          <w:tcPr>
            <w:tcW w:type="dxa" w:w="25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sin cambio</w:t>
            </w:r>
          </w:p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= -10.098,00</w:t>
            </w:r>
          </w:p>
        </w:tc>
        <w:tc>
          <w:tcPr>
            <w:tcW w:type="dxa" w:w="25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sin cambio</w:t>
            </w:r>
          </w:p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= -11.900,00</w:t>
            </w:r>
          </w:p>
        </w:tc>
        <w:tc>
          <w:tcPr>
            <w:tcW w:type="dxa" w:w="25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sin cambio</w:t>
            </w:r>
          </w:p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= -18.132,00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Flujo de Fondos</w:t>
            </w:r>
          </w:p>
        </w:tc>
        <w:tc>
          <w:tcPr>
            <w:tcW w:type="dxa" w:w="25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-37.749,95 + (-10.098)</w:t>
            </w:r>
          </w:p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= -47.847,95</w:t>
            </w:r>
          </w:p>
        </w:tc>
        <w:tc>
          <w:tcPr>
            <w:tcW w:type="dxa" w:w="25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136.214,74 + (-11.900)</w:t>
            </w:r>
          </w:p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= 124.314,74</w:t>
            </w:r>
          </w:p>
        </w:tc>
        <w:tc>
          <w:tcPr>
            <w:tcW w:type="dxa" w:w="25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315.548,35 + (-18.132)</w:t>
            </w:r>
          </w:p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= 297.416,35</w:t>
            </w:r>
          </w:p>
        </w:tc>
      </w:tr>
    </w:tbl>
    <w:p>
      <w:pPr>
        <w:spacing w:after="40" w:before="160"/>
      </w:pPr>
      <w:r>
        <w:rPr>
          <w:rFonts w:ascii="Arial" w:cs="Arial" w:eastAsia="Arial" w:hAnsi="Arial"/>
          <w:sz w:val="20"/>
          <w:szCs w:val="20"/>
        </w:rPr>
        <w:t xml:space="preserve">Flujo de fondos: -67.705 · -47.848 · 124.315 · 297.416</w:t>
      </w: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Tasa de corte 30 %  ·  VAN = VNA(30 %; 2026:2028) + Inicio = 104.422  ·  TIR = 75,83 %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La TIR queda por encima de la tasa de corte y el VAN positivo: el proyecto absorbe este riesgo.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4. Escenario 2 · R2 · Baja anticipada de comercios adheridos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Qué se aplica y por qué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El factor 0,85 sale del efecto cuantitativo de R2: los comercios que se dan de baja antes del año dejan de pagar el abono que la proyección daba por cobrado, un 15 % del ingreso recurrente de 2027 y 2028.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Los 12.000 por ejercicio son la reposición y el reacondicionamiento del equipamiento retirado, que vuelve en comodato pero hay que volver a instalarlo en otro local.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RRHH no baja: sostener la base rotando exige el mismo trabajo de instalación y posventa que crecer.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La cuenta, renglón por renglón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Cada celda muestra la operación y su resultado. Las bases son las del presupuesto financiero de la sección 2.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46"/>
        <w:gridCol w:w="2546"/>
        <w:gridCol w:w="2546"/>
      </w:tblGrid>
      <w:tr>
        <w:trPr>
          <w:tblHeader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Renglón</w:t>
            </w:r>
          </w:p>
        </w:tc>
        <w:tc>
          <w:tcPr>
            <w:tcW w:type="dxa" w:w="25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2026</w:t>
            </w:r>
          </w:p>
        </w:tc>
        <w:tc>
          <w:tcPr>
            <w:tcW w:type="dxa" w:w="25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2027</w:t>
            </w:r>
          </w:p>
        </w:tc>
        <w:tc>
          <w:tcPr>
            <w:tcW w:type="dxa" w:w="25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2028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Ingresos</w:t>
            </w:r>
          </w:p>
        </w:tc>
        <w:tc>
          <w:tcPr>
            <w:tcW w:type="dxa" w:w="25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sin cambio</w:t>
            </w:r>
          </w:p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= 105.865,00</w:t>
            </w:r>
          </w:p>
        </w:tc>
        <w:tc>
          <w:tcPr>
            <w:tcW w:type="dxa" w:w="25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386.897 × 0,85</w:t>
            </w:r>
          </w:p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= 328.862,45</w:t>
            </w:r>
          </w:p>
        </w:tc>
        <w:tc>
          <w:tcPr>
            <w:tcW w:type="dxa" w:w="25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705.506 × 0,85</w:t>
            </w:r>
          </w:p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= 599.680,10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Costos fijos</w:t>
            </w:r>
          </w:p>
        </w:tc>
        <w:tc>
          <w:tcPr>
            <w:tcW w:type="dxa" w:w="25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sin cambio</w:t>
            </w:r>
          </w:p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= 32.640,00</w:t>
            </w:r>
          </w:p>
        </w:tc>
        <w:tc>
          <w:tcPr>
            <w:tcW w:type="dxa" w:w="25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sin cambio</w:t>
            </w:r>
          </w:p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= 77.700,00</w:t>
            </w:r>
          </w:p>
        </w:tc>
        <w:tc>
          <w:tcPr>
            <w:tcW w:type="dxa" w:w="25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sin cambio</w:t>
            </w:r>
          </w:p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= 106.860,00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Costos variables</w:t>
            </w:r>
          </w:p>
        </w:tc>
        <w:tc>
          <w:tcPr>
            <w:tcW w:type="dxa" w:w="25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sin cambio</w:t>
            </w:r>
          </w:p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= 40.479,80</w:t>
            </w:r>
          </w:p>
        </w:tc>
        <w:tc>
          <w:tcPr>
            <w:tcW w:type="dxa" w:w="25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59.474,60 × 0,85 + 12.000</w:t>
            </w:r>
          </w:p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= 62.553,41</w:t>
            </w:r>
          </w:p>
        </w:tc>
        <w:tc>
          <w:tcPr>
            <w:tcW w:type="dxa" w:w="25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85.346,00 × 0,85 + 12.000</w:t>
            </w:r>
          </w:p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= 84.544,10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Costos de RRHH</w:t>
            </w:r>
          </w:p>
        </w:tc>
        <w:tc>
          <w:tcPr>
            <w:tcW w:type="dxa" w:w="25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sin cambio</w:t>
            </w:r>
          </w:p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= 67.319,20</w:t>
            </w:r>
          </w:p>
        </w:tc>
        <w:tc>
          <w:tcPr>
            <w:tcW w:type="dxa" w:w="25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sin cambio</w:t>
            </w:r>
          </w:p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= 67.319,20</w:t>
            </w:r>
          </w:p>
        </w:tc>
        <w:tc>
          <w:tcPr>
            <w:tcW w:type="dxa" w:w="25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sin cambio</w:t>
            </w:r>
          </w:p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= 67.319,20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UAII</w:t>
            </w:r>
          </w:p>
        </w:tc>
        <w:tc>
          <w:tcPr>
            <w:tcW w:type="dxa" w:w="25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105.865,00 − 32.640,00 − 40.479,80 − 67.319,20</w:t>
            </w:r>
          </w:p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= -34.574,00</w:t>
            </w:r>
          </w:p>
        </w:tc>
        <w:tc>
          <w:tcPr>
            <w:tcW w:type="dxa" w:w="25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328.862,45 − 77.700,00 − 62.553,41 − 67.319,20</w:t>
            </w:r>
          </w:p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= 121.289,84</w:t>
            </w:r>
          </w:p>
        </w:tc>
        <w:tc>
          <w:tcPr>
            <w:tcW w:type="dxa" w:w="25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599.680,10 − 106.860,00 − 84.544,10 − 67.319,20</w:t>
            </w:r>
          </w:p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= 340.956,80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Impuesto Ingresos Brutos</w:t>
            </w:r>
          </w:p>
        </w:tc>
        <w:tc>
          <w:tcPr>
            <w:tcW w:type="dxa" w:w="25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105.865,00 × 3 %</w:t>
            </w:r>
          </w:p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= 3.175,95</w:t>
            </w:r>
          </w:p>
        </w:tc>
        <w:tc>
          <w:tcPr>
            <w:tcW w:type="dxa" w:w="25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328.862,45 × 3 %</w:t>
            </w:r>
          </w:p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= 9.865,87</w:t>
            </w:r>
          </w:p>
        </w:tc>
        <w:tc>
          <w:tcPr>
            <w:tcW w:type="dxa" w:w="25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599.680,10 × 3 %</w:t>
            </w:r>
          </w:p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= 17.990,40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Monto imponible</w:t>
            </w:r>
          </w:p>
        </w:tc>
        <w:tc>
          <w:tcPr>
            <w:tcW w:type="dxa" w:w="25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-34.574,00 − 3.175,95 − 2.148,67</w:t>
            </w:r>
          </w:p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= -39.898,62</w:t>
            </w:r>
          </w:p>
        </w:tc>
        <w:tc>
          <w:tcPr>
            <w:tcW w:type="dxa" w:w="25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121.289,84 − 9.865,87 − 3.735,33</w:t>
            </w:r>
          </w:p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= 107.688,63</w:t>
            </w:r>
          </w:p>
        </w:tc>
        <w:tc>
          <w:tcPr>
            <w:tcW w:type="dxa" w:w="25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340.956,80 − 17.990,40 − 5.292,20</w:t>
            </w:r>
          </w:p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= 317.674,20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Impuesto a las ganancias 35 %</w:t>
            </w:r>
          </w:p>
        </w:tc>
        <w:tc>
          <w:tcPr>
            <w:tcW w:type="dxa" w:w="25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primer ejercicio: 0</w:t>
            </w:r>
          </w:p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= 0,00</w:t>
            </w:r>
          </w:p>
        </w:tc>
        <w:tc>
          <w:tcPr>
            <w:tcW w:type="dxa" w:w="25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MAX(0; -39.898,62) × 35 %</w:t>
            </w:r>
          </w:p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= 0,00</w:t>
            </w:r>
          </w:p>
        </w:tc>
        <w:tc>
          <w:tcPr>
            <w:tcW w:type="dxa" w:w="25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MAX(0; 107.688,63) × 35 %</w:t>
            </w:r>
          </w:p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= 37.691,02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UDII</w:t>
            </w:r>
          </w:p>
        </w:tc>
        <w:tc>
          <w:tcPr>
            <w:tcW w:type="dxa" w:w="25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-34.574,00 − 3.175,95 − 0,00</w:t>
            </w:r>
          </w:p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= -37.749,95</w:t>
            </w:r>
          </w:p>
        </w:tc>
        <w:tc>
          <w:tcPr>
            <w:tcW w:type="dxa" w:w="25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121.289,84 − 9.865,87 − 0,00</w:t>
            </w:r>
          </w:p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= 111.423,97</w:t>
            </w:r>
          </w:p>
        </w:tc>
        <w:tc>
          <w:tcPr>
            <w:tcW w:type="dxa" w:w="25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340.956,80 − 17.990,40 − 37.691,02</w:t>
            </w:r>
          </w:p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= 285.275,38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Inversión</w:t>
            </w:r>
          </w:p>
        </w:tc>
        <w:tc>
          <w:tcPr>
            <w:tcW w:type="dxa" w:w="25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sin cambio</w:t>
            </w:r>
          </w:p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= -10.098,00</w:t>
            </w:r>
          </w:p>
        </w:tc>
        <w:tc>
          <w:tcPr>
            <w:tcW w:type="dxa" w:w="25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sin cambio</w:t>
            </w:r>
          </w:p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= -11.900,00</w:t>
            </w:r>
          </w:p>
        </w:tc>
        <w:tc>
          <w:tcPr>
            <w:tcW w:type="dxa" w:w="25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sin cambio</w:t>
            </w:r>
          </w:p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= -18.132,00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Flujo de Fondos</w:t>
            </w:r>
          </w:p>
        </w:tc>
        <w:tc>
          <w:tcPr>
            <w:tcW w:type="dxa" w:w="25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-37.749,95 + (-10.098)</w:t>
            </w:r>
          </w:p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= -47.847,95</w:t>
            </w:r>
          </w:p>
        </w:tc>
        <w:tc>
          <w:tcPr>
            <w:tcW w:type="dxa" w:w="25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111.423,97 + (-11.900)</w:t>
            </w:r>
          </w:p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= 99.523,97</w:t>
            </w:r>
          </w:p>
        </w:tc>
        <w:tc>
          <w:tcPr>
            <w:tcW w:type="dxa" w:w="25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285.275,38 + (-18.132)</w:t>
            </w:r>
          </w:p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= 267.143,38</w:t>
            </w:r>
          </w:p>
        </w:tc>
      </w:tr>
    </w:tbl>
    <w:p>
      <w:pPr>
        <w:spacing w:after="40" w:before="160"/>
      </w:pPr>
      <w:r>
        <w:rPr>
          <w:rFonts w:ascii="Arial" w:cs="Arial" w:eastAsia="Arial" w:hAnsi="Arial"/>
          <w:sz w:val="20"/>
          <w:szCs w:val="20"/>
        </w:rPr>
        <w:t xml:space="preserve">Flujo de fondos: -67.705 · -47.848 · 99.524 · 267.143</w:t>
      </w: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Tasa de corte 30 %  ·  VAN = VNA(30 %; 2026:2028) + Inicio = 75.973  ·  TIR = 64,50 %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La TIR queda por encima de la tasa de corte y el VAN positivo: el proyecto absorbe este riesgo.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5. Escenario 3 · Combinado · R1 caída de plataforma + R2 baja anticipada + R10 competidor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Qué se aplica y por qué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Es el escenario combinado que pide la clase cuando ningún riesgo suelto rompe el proyecto: con 61,7 puntos de colchón sobre la tasa de corte, hay que apilar riesgos. Se juntan R1 (caída de la plataforma), R2 (bajas anticipadas) y R10 (competidor con precio agresivo): la caída hace perder cuentas, las bajas no se reponen y el competidor presiona el precio. El 40 % de caída es el efecto de los tres a la vez, no la suma aritmética de cada uno por separado.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Los 15.000 por ejercicio son reposición y reinstalación de equipamiento, más altos que en el escenario 2 porque las bajas son más.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 ese nivel de altas no se incorpora el segundo ejecutivo comercial: se restan 15.534 por ejercicio (Costos RRHH fila 19: 1.000 × 1,2945 × 12). El técnico de instalación se mantiene, porque con rotación hay más altas y retiros que atender, no menos.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Tampoco se arma el puesto de trabajo de ese recurso: notebook, escritorio, silla y periféricos, unos 1.200 que se suman a la inversión de 2027 y 2028 porque está en negativo.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La cuenta, renglón por renglón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Cada celda muestra la operación y su resultado. Las bases son las del presupuesto financiero de la sección 2.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46"/>
        <w:gridCol w:w="2546"/>
        <w:gridCol w:w="2546"/>
      </w:tblGrid>
      <w:tr>
        <w:trPr>
          <w:tblHeader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Renglón</w:t>
            </w:r>
          </w:p>
        </w:tc>
        <w:tc>
          <w:tcPr>
            <w:tcW w:type="dxa" w:w="25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2026</w:t>
            </w:r>
          </w:p>
        </w:tc>
        <w:tc>
          <w:tcPr>
            <w:tcW w:type="dxa" w:w="25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2027</w:t>
            </w:r>
          </w:p>
        </w:tc>
        <w:tc>
          <w:tcPr>
            <w:tcW w:type="dxa" w:w="25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2028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Ingresos</w:t>
            </w:r>
          </w:p>
        </w:tc>
        <w:tc>
          <w:tcPr>
            <w:tcW w:type="dxa" w:w="25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sin cambio</w:t>
            </w:r>
          </w:p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= 105.865,00</w:t>
            </w:r>
          </w:p>
        </w:tc>
        <w:tc>
          <w:tcPr>
            <w:tcW w:type="dxa" w:w="25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386.897 × 0,60</w:t>
            </w:r>
          </w:p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= 232.138,20</w:t>
            </w:r>
          </w:p>
        </w:tc>
        <w:tc>
          <w:tcPr>
            <w:tcW w:type="dxa" w:w="25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705.506 × 0,60</w:t>
            </w:r>
          </w:p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= 423.303,60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Costos fijos</w:t>
            </w:r>
          </w:p>
        </w:tc>
        <w:tc>
          <w:tcPr>
            <w:tcW w:type="dxa" w:w="25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sin cambio</w:t>
            </w:r>
          </w:p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= 32.640,00</w:t>
            </w:r>
          </w:p>
        </w:tc>
        <w:tc>
          <w:tcPr>
            <w:tcW w:type="dxa" w:w="25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sin cambio</w:t>
            </w:r>
          </w:p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= 77.700,00</w:t>
            </w:r>
          </w:p>
        </w:tc>
        <w:tc>
          <w:tcPr>
            <w:tcW w:type="dxa" w:w="25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sin cambio</w:t>
            </w:r>
          </w:p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= 106.860,00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Costos variables</w:t>
            </w:r>
          </w:p>
        </w:tc>
        <w:tc>
          <w:tcPr>
            <w:tcW w:type="dxa" w:w="25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sin cambio</w:t>
            </w:r>
          </w:p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= 40.479,80</w:t>
            </w:r>
          </w:p>
        </w:tc>
        <w:tc>
          <w:tcPr>
            <w:tcW w:type="dxa" w:w="25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59.474,60 × 0,60 + 15.000</w:t>
            </w:r>
          </w:p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= 50.684,76</w:t>
            </w:r>
          </w:p>
        </w:tc>
        <w:tc>
          <w:tcPr>
            <w:tcW w:type="dxa" w:w="25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85.346,00 × 0,60 + 15.000</w:t>
            </w:r>
          </w:p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= 66.207,60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Costos de RRHH</w:t>
            </w:r>
          </w:p>
        </w:tc>
        <w:tc>
          <w:tcPr>
            <w:tcW w:type="dxa" w:w="25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sin cambio</w:t>
            </w:r>
          </w:p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= 67.319,20</w:t>
            </w:r>
          </w:p>
        </w:tc>
        <w:tc>
          <w:tcPr>
            <w:tcW w:type="dxa" w:w="25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67.319,20 − 15.534</w:t>
            </w:r>
          </w:p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= 51.785,20</w:t>
            </w:r>
          </w:p>
        </w:tc>
        <w:tc>
          <w:tcPr>
            <w:tcW w:type="dxa" w:w="25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67.319,20 − 15.534</w:t>
            </w:r>
          </w:p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= 51.785,20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UAII</w:t>
            </w:r>
          </w:p>
        </w:tc>
        <w:tc>
          <w:tcPr>
            <w:tcW w:type="dxa" w:w="25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105.865,00 − 32.640,00 − 40.479,80 − 67.319,20</w:t>
            </w:r>
          </w:p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= -34.574,00</w:t>
            </w:r>
          </w:p>
        </w:tc>
        <w:tc>
          <w:tcPr>
            <w:tcW w:type="dxa" w:w="25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232.138,20 − 77.700,00 − 50.684,76 − 51.785,20</w:t>
            </w:r>
          </w:p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= 51.968,24</w:t>
            </w:r>
          </w:p>
        </w:tc>
        <w:tc>
          <w:tcPr>
            <w:tcW w:type="dxa" w:w="25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423.303,60 − 106.860,00 − 66.207,60 − 51.785,20</w:t>
            </w:r>
          </w:p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= 198.450,80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Impuesto Ingresos Brutos</w:t>
            </w:r>
          </w:p>
        </w:tc>
        <w:tc>
          <w:tcPr>
            <w:tcW w:type="dxa" w:w="25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105.865,00 × 3 %</w:t>
            </w:r>
          </w:p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= 3.175,95</w:t>
            </w:r>
          </w:p>
        </w:tc>
        <w:tc>
          <w:tcPr>
            <w:tcW w:type="dxa" w:w="25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232.138,20 × 3 %</w:t>
            </w:r>
          </w:p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= 6.964,15</w:t>
            </w:r>
          </w:p>
        </w:tc>
        <w:tc>
          <w:tcPr>
            <w:tcW w:type="dxa" w:w="25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423.303,60 × 3 %</w:t>
            </w:r>
          </w:p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= 12.699,11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Monto imponible</w:t>
            </w:r>
          </w:p>
        </w:tc>
        <w:tc>
          <w:tcPr>
            <w:tcW w:type="dxa" w:w="25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-34.574,00 − 3.175,95 − 2.148,67</w:t>
            </w:r>
          </w:p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= -39.898,62</w:t>
            </w:r>
          </w:p>
        </w:tc>
        <w:tc>
          <w:tcPr>
            <w:tcW w:type="dxa" w:w="25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51.968,24 − 6.964,15 − 3.735,33</w:t>
            </w:r>
          </w:p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= 41.268,76</w:t>
            </w:r>
          </w:p>
        </w:tc>
        <w:tc>
          <w:tcPr>
            <w:tcW w:type="dxa" w:w="25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198.450,80 − 12.699,11 − 5.292,20</w:t>
            </w:r>
          </w:p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= 180.459,49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Impuesto a las ganancias 35 %</w:t>
            </w:r>
          </w:p>
        </w:tc>
        <w:tc>
          <w:tcPr>
            <w:tcW w:type="dxa" w:w="25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primer ejercicio: 0</w:t>
            </w:r>
          </w:p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= 0,00</w:t>
            </w:r>
          </w:p>
        </w:tc>
        <w:tc>
          <w:tcPr>
            <w:tcW w:type="dxa" w:w="25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MAX(0; -39.898,62) × 35 %</w:t>
            </w:r>
          </w:p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= 0,00</w:t>
            </w:r>
          </w:p>
        </w:tc>
        <w:tc>
          <w:tcPr>
            <w:tcW w:type="dxa" w:w="25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MAX(0; 41.268,76) × 35 %</w:t>
            </w:r>
          </w:p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= 14.444,07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UDII</w:t>
            </w:r>
          </w:p>
        </w:tc>
        <w:tc>
          <w:tcPr>
            <w:tcW w:type="dxa" w:w="25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-34.574,00 − 3.175,95 − 0,00</w:t>
            </w:r>
          </w:p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= -37.749,95</w:t>
            </w:r>
          </w:p>
        </w:tc>
        <w:tc>
          <w:tcPr>
            <w:tcW w:type="dxa" w:w="25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51.968,24 − 6.964,15 − 0,00</w:t>
            </w:r>
          </w:p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= 45.004,09</w:t>
            </w:r>
          </w:p>
        </w:tc>
        <w:tc>
          <w:tcPr>
            <w:tcW w:type="dxa" w:w="25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198.450,80 − 12.699,11 − 14.444,07</w:t>
            </w:r>
          </w:p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= 171.307,63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Inversión</w:t>
            </w:r>
          </w:p>
        </w:tc>
        <w:tc>
          <w:tcPr>
            <w:tcW w:type="dxa" w:w="25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sin cambio</w:t>
            </w:r>
          </w:p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= -10.098,00</w:t>
            </w:r>
          </w:p>
        </w:tc>
        <w:tc>
          <w:tcPr>
            <w:tcW w:type="dxa" w:w="25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-11.900 + 1.200</w:t>
            </w:r>
          </w:p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= -10.700,00</w:t>
            </w:r>
          </w:p>
        </w:tc>
        <w:tc>
          <w:tcPr>
            <w:tcW w:type="dxa" w:w="25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-18.132 + 1.200</w:t>
            </w:r>
          </w:p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= -16.932,00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Flujo de Fondos</w:t>
            </w:r>
          </w:p>
        </w:tc>
        <w:tc>
          <w:tcPr>
            <w:tcW w:type="dxa" w:w="25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-37.749,95 + (-10.098)</w:t>
            </w:r>
          </w:p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= -47.847,95</w:t>
            </w:r>
          </w:p>
        </w:tc>
        <w:tc>
          <w:tcPr>
            <w:tcW w:type="dxa" w:w="25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45.004,09 + (-10.700)</w:t>
            </w:r>
          </w:p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= 34.304,09</w:t>
            </w:r>
          </w:p>
        </w:tc>
        <w:tc>
          <w:tcPr>
            <w:tcW w:type="dxa" w:w="25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171.307,63 + (-16.932)</w:t>
            </w:r>
          </w:p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= 154.375,63</w:t>
            </w:r>
          </w:p>
        </w:tc>
      </w:tr>
    </w:tbl>
    <w:p>
      <w:pPr>
        <w:spacing w:after="40" w:before="160"/>
      </w:pPr>
      <w:r>
        <w:rPr>
          <w:rFonts w:ascii="Arial" w:cs="Arial" w:eastAsia="Arial" w:hAnsi="Arial"/>
          <w:sz w:val="20"/>
          <w:szCs w:val="20"/>
        </w:rPr>
        <w:t xml:space="preserve">Flujo de fondos: -67.705 · -47.848 · 34.304 · 154.376</w:t>
      </w: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Tasa de corte 30 %  ·  VAN = VNA(30 %; 2026:2028) + Inicio = -13.946  ·  TIR = 22,54 %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La TIR cae por debajo de la tasa de corte y el VAN queda negativo: el proyecto no resiste. Es el peor de los tres y es el que sostiene el plan de contingencia.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6. Resumen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1600"/>
        <w:gridCol w:w="1600"/>
        <w:gridCol w:w="1838"/>
      </w:tblGrid>
      <w:tr>
        <w:trPr>
          <w:tblHeader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Hoja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Tasa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VAN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TIR</w:t>
            </w:r>
          </w:p>
        </w:tc>
        <w:tc>
          <w:tcPr>
            <w:tcW w:type="dxa" w:w="1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Lectura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Presupuesto financiero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30 %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148.005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91,70 %</w:t>
            </w:r>
          </w:p>
        </w:tc>
        <w:tc>
          <w:tcPr>
            <w:tcW w:type="dxa" w:w="1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el proyecto sano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Escenario 1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30 %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104.422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75,83 %</w:t>
            </w:r>
          </w:p>
        </w:tc>
        <w:tc>
          <w:tcPr>
            <w:tcW w:type="dxa" w:w="1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resiste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Escenario 2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30 %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75.973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64,50 %</w:t>
            </w:r>
          </w:p>
        </w:tc>
        <w:tc>
          <w:tcPr>
            <w:tcW w:type="dxa" w:w="1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resiste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Escenario 3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30 %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-13.946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22,54 %</w:t>
            </w:r>
          </w:p>
        </w:tc>
        <w:tc>
          <w:tcPr>
            <w:tcW w:type="dxa" w:w="1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 resiste</w:t>
            </w:r>
          </w:p>
        </w:tc>
      </w:tr>
    </w:tbl>
    <w:p>
      <w:pPr>
        <w:spacing w:before="160"/>
      </w:pPr>
      <w:r>
        <w:rPr>
          <w:rFonts w:ascii="Arial" w:cs="Arial" w:eastAsia="Arial" w:hAnsi="Arial"/>
          <w:sz w:val="20"/>
          <w:szCs w:val="20"/>
        </w:rPr>
        <w:t xml:space="preserve">Dos resisten y uno no, igual que en el ejemplo de la cátedra. El plan de contingencia se arma sobre el escenario 3 y lo lleva a 31,34 %: apenas por encima de la tasa de corte y muy por debajo del 91,70 % del presupuesto, porque un plan nivela, no mejora.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2026-10-25T00:09:23.625Z</dcterms:created>
  <dcterms:modified xsi:type="dcterms:W3CDTF">2026-10-25T00:09:23.625Z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