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2E74B5"/>
          <w:sz w:val="20"/>
        </w:rPr>
        <w:t>GUÍA OPERATIVA</w:t>
      </w:r>
    </w:p>
    <w:p>
      <w:pPr>
        <w:spacing w:after="160"/>
        <w:jc w:val="center"/>
      </w:pPr>
      <w:r>
        <w:rPr>
          <w:rFonts w:ascii="Calibri" w:hAnsi="Calibri"/>
          <w:b/>
          <w:color w:val="223548"/>
          <w:sz w:val="60"/>
        </w:rPr>
        <w:t>Finanzas Casa</w:t>
      </w:r>
    </w:p>
    <w:p>
      <w:pPr>
        <w:spacing w:after="560"/>
        <w:jc w:val="center"/>
      </w:pPr>
      <w:r>
        <w:rPr>
          <w:rFonts w:ascii="Calibri" w:hAnsi="Calibri"/>
          <w:color w:val="1F4D78"/>
          <w:sz w:val="32"/>
        </w:rPr>
        <w:t>Manual de usuario</w:t>
      </w:r>
    </w:p>
    <w:p>
      <w:pPr>
        <w:spacing w:after="1600"/>
        <w:jc w:val="center"/>
      </w:pPr>
      <w:r>
        <w:rPr>
          <w:rFonts w:ascii="Calibri" w:hAnsi="Calibri"/>
          <w:i/>
          <w:color w:val="657481"/>
          <w:sz w:val="22"/>
        </w:rPr>
        <w:t>Trabajo diario, cierre mensual, previsión, escenarios y recuperación</w:t>
      </w:r>
    </w:p>
    <w:p>
      <w:pPr>
        <w:spacing w:after="80"/>
        <w:jc w:val="center"/>
      </w:pPr>
      <w:r>
        <w:rPr>
          <w:rFonts w:ascii="Calibri" w:hAnsi="Calibri"/>
          <w:b/>
          <w:color w:val="223548"/>
          <w:sz w:val="21"/>
        </w:rPr>
        <w:t>Versión funcional cubierta: E1–E14a</w:t>
      </w:r>
    </w:p>
    <w:p>
      <w:pPr>
        <w:jc w:val="center"/>
      </w:pPr>
      <w:r>
        <w:rPr>
          <w:rFonts w:ascii="Calibri" w:hAnsi="Calibri"/>
          <w:color w:val="657481"/>
          <w:sz w:val="20"/>
        </w:rPr>
        <w:t>Revisión: 2 de agosto de 2026</w:t>
      </w:r>
    </w:p>
    <w:p>
      <w:r>
        <w:br w:type="page"/>
      </w:r>
    </w:p>
    <w:p>
      <w:pPr>
        <w:pStyle w:val="Heading1"/>
        <w:spacing w:before="0"/>
      </w:pPr>
      <w:r>
        <w:t>Contenido</w:t>
      </w:r>
    </w:p>
    <w:p>
      <w:pPr>
        <w:numPr>
          <w:ilvl w:val="0"/>
          <w:numId w:val="10"/>
        </w:numPr>
        <w:spacing w:after="80"/>
        <w:ind w:left="540" w:hanging="271"/>
      </w:pPr>
      <w:r>
        <w:rPr>
          <w:rFonts w:ascii="Calibri" w:hAnsi="Calibri"/>
          <w:color w:val="223548"/>
          <w:sz w:val="21"/>
        </w:rPr>
        <w:t>Antes de empezar</w:t>
      </w:r>
    </w:p>
    <w:p>
      <w:pPr>
        <w:numPr>
          <w:ilvl w:val="0"/>
          <w:numId w:val="10"/>
        </w:numPr>
        <w:spacing w:after="80"/>
        <w:ind w:left="540" w:hanging="271"/>
      </w:pPr>
      <w:r>
        <w:rPr>
          <w:rFonts w:ascii="Calibri" w:hAnsi="Calibri"/>
          <w:color w:val="223548"/>
          <w:sz w:val="21"/>
        </w:rPr>
        <w:t>Conceptos esenciales</w:t>
      </w:r>
    </w:p>
    <w:p>
      <w:pPr>
        <w:numPr>
          <w:ilvl w:val="0"/>
          <w:numId w:val="10"/>
        </w:numPr>
        <w:spacing w:after="80"/>
        <w:ind w:left="540" w:hanging="271"/>
      </w:pPr>
      <w:r>
        <w:rPr>
          <w:rFonts w:ascii="Calibri" w:hAnsi="Calibri"/>
          <w:color w:val="223548"/>
          <w:sz w:val="21"/>
        </w:rPr>
        <w:t>Recorrido recomendado</w:t>
      </w:r>
    </w:p>
    <w:p>
      <w:pPr>
        <w:numPr>
          <w:ilvl w:val="0"/>
          <w:numId w:val="10"/>
        </w:numPr>
        <w:spacing w:after="80"/>
        <w:ind w:left="540" w:hanging="271"/>
      </w:pPr>
      <w:r>
        <w:rPr>
          <w:rFonts w:ascii="Calibri" w:hAnsi="Calibri"/>
          <w:color w:val="223548"/>
          <w:sz w:val="21"/>
        </w:rPr>
        <w:t>Pantalla Hoy</w:t>
      </w:r>
    </w:p>
    <w:p>
      <w:pPr>
        <w:numPr>
          <w:ilvl w:val="0"/>
          <w:numId w:val="10"/>
        </w:numPr>
        <w:spacing w:after="80"/>
        <w:ind w:left="540" w:hanging="271"/>
      </w:pPr>
      <w:r>
        <w:rPr>
          <w:rFonts w:ascii="Calibri" w:hAnsi="Calibri"/>
          <w:color w:val="223548"/>
          <w:sz w:val="21"/>
        </w:rPr>
        <w:t>Actualizar datos</w:t>
      </w:r>
    </w:p>
    <w:p>
      <w:pPr>
        <w:numPr>
          <w:ilvl w:val="0"/>
          <w:numId w:val="10"/>
        </w:numPr>
        <w:spacing w:after="80"/>
        <w:ind w:left="540" w:hanging="271"/>
      </w:pPr>
      <w:r>
        <w:rPr>
          <w:rFonts w:ascii="Calibri" w:hAnsi="Calibri"/>
          <w:color w:val="223548"/>
          <w:sz w:val="21"/>
        </w:rPr>
        <w:t>Previsión, proyección y ahorro</w:t>
      </w:r>
    </w:p>
    <w:p>
      <w:pPr>
        <w:numPr>
          <w:ilvl w:val="0"/>
          <w:numId w:val="10"/>
        </w:numPr>
        <w:spacing w:after="80"/>
        <w:ind w:left="540" w:hanging="271"/>
      </w:pPr>
      <w:r>
        <w:rPr>
          <w:rFonts w:ascii="Calibri" w:hAnsi="Calibri"/>
          <w:color w:val="223548"/>
          <w:sz w:val="21"/>
        </w:rPr>
        <w:t>Escenarios y simulaciones</w:t>
      </w:r>
    </w:p>
    <w:p>
      <w:pPr>
        <w:numPr>
          <w:ilvl w:val="0"/>
          <w:numId w:val="10"/>
        </w:numPr>
        <w:spacing w:after="80"/>
        <w:ind w:left="540" w:hanging="271"/>
      </w:pPr>
      <w:r>
        <w:rPr>
          <w:rFonts w:ascii="Calibri" w:hAnsi="Calibri"/>
          <w:color w:val="223548"/>
          <w:sz w:val="21"/>
        </w:rPr>
        <w:t>Deuda y decisiones familiares</w:t>
      </w:r>
    </w:p>
    <w:p>
      <w:pPr>
        <w:numPr>
          <w:ilvl w:val="0"/>
          <w:numId w:val="10"/>
        </w:numPr>
        <w:spacing w:after="80"/>
        <w:ind w:left="540" w:hanging="271"/>
      </w:pPr>
      <w:r>
        <w:rPr>
          <w:rFonts w:ascii="Calibri" w:hAnsi="Calibri"/>
          <w:color w:val="223548"/>
          <w:sz w:val="21"/>
        </w:rPr>
        <w:t>Alertas, calidad y auditoría</w:t>
      </w:r>
    </w:p>
    <w:p>
      <w:pPr>
        <w:numPr>
          <w:ilvl w:val="0"/>
          <w:numId w:val="10"/>
        </w:numPr>
        <w:spacing w:after="80"/>
        <w:ind w:left="540" w:hanging="271"/>
      </w:pPr>
      <w:r>
        <w:rPr>
          <w:rFonts w:ascii="Calibri" w:hAnsi="Calibri"/>
          <w:color w:val="223548"/>
          <w:sz w:val="21"/>
        </w:rPr>
        <w:t>Copias, restauración y recuperación</w:t>
      </w:r>
    </w:p>
    <w:p>
      <w:pPr>
        <w:numPr>
          <w:ilvl w:val="0"/>
          <w:numId w:val="10"/>
        </w:numPr>
        <w:spacing w:after="80"/>
        <w:ind w:left="540" w:hanging="271"/>
      </w:pPr>
      <w:r>
        <w:rPr>
          <w:rFonts w:ascii="Calibri" w:hAnsi="Calibri"/>
          <w:color w:val="223548"/>
          <w:sz w:val="21"/>
        </w:rPr>
        <w:t>Trabajo sin conexión y entre dispositivos</w:t>
      </w:r>
    </w:p>
    <w:p>
      <w:pPr>
        <w:numPr>
          <w:ilvl w:val="0"/>
          <w:numId w:val="10"/>
        </w:numPr>
        <w:spacing w:after="80"/>
        <w:ind w:left="540" w:hanging="271"/>
      </w:pPr>
      <w:r>
        <w:rPr>
          <w:rFonts w:ascii="Calibri" w:hAnsi="Calibri"/>
          <w:color w:val="223548"/>
          <w:sz w:val="21"/>
        </w:rPr>
        <w:t>Rutinas recomendadas</w:t>
      </w:r>
    </w:p>
    <w:p>
      <w:pPr>
        <w:numPr>
          <w:ilvl w:val="0"/>
          <w:numId w:val="10"/>
        </w:numPr>
        <w:spacing w:after="80"/>
        <w:ind w:left="540" w:hanging="271"/>
      </w:pPr>
      <w:r>
        <w:rPr>
          <w:rFonts w:ascii="Calibri" w:hAnsi="Calibri"/>
          <w:color w:val="223548"/>
          <w:sz w:val="21"/>
        </w:rPr>
        <w:t>Problemas frecuentes</w:t>
      </w:r>
    </w:p>
    <w:p>
      <w:pPr>
        <w:numPr>
          <w:ilvl w:val="0"/>
          <w:numId w:val="10"/>
        </w:numPr>
        <w:spacing w:after="80"/>
        <w:ind w:left="540" w:hanging="271"/>
      </w:pPr>
      <w:r>
        <w:rPr>
          <w:rFonts w:ascii="Calibri" w:hAnsi="Calibri"/>
          <w:color w:val="223548"/>
          <w:sz w:val="21"/>
        </w:rPr>
        <w:t>Funciones todavía no disponibles</w:t>
      </w:r>
    </w:p>
    <w:p>
      <w:pPr>
        <w:numPr>
          <w:ilvl w:val="0"/>
          <w:numId w:val="10"/>
        </w:numPr>
        <w:spacing w:after="80"/>
        <w:ind w:left="540" w:hanging="271"/>
      </w:pPr>
      <w:r>
        <w:rPr>
          <w:rFonts w:ascii="Calibri" w:hAnsi="Calibri"/>
          <w:color w:val="223548"/>
          <w:sz w:val="21"/>
        </w:rPr>
        <w:t>Regla de seguridad final</w:t>
      </w:r>
    </w:p>
    <w:p>
      <w:r>
        <w:br w:type="page"/>
      </w:r>
    </w:p>
    <w:p>
      <w:r>
        <w:rPr>
          <w:rFonts w:ascii="Calibri" w:hAnsi="Calibri"/>
          <w:color w:val="223548"/>
          <w:sz w:val="22"/>
        </w:rPr>
        <w:t>Fecha de revisión: 2 de agosto de 2026.</w:t>
      </w:r>
    </w:p>
    <w:p>
      <w:r>
        <w:rPr>
          <w:rFonts w:ascii="Calibri" w:hAnsi="Calibri"/>
          <w:color w:val="223548"/>
          <w:sz w:val="22"/>
        </w:rPr>
        <w:t>Este manual explica cómo trabajar con las funciones disponibles y verificadas hasta E14a. Está pensado para el uso cotidiano del hogar, sin necesidad de conocer la arquitectura técnica de la aplicación.</w:t>
      </w:r>
    </w:p>
    <w:p>
      <w:pPr>
        <w:spacing w:before="120" w:after="160"/>
        <w:ind w:left="115" w:right="115"/>
        <w:shd w:fill="F4F6F9"/>
        <w:pBdr>
          <w:top w:val="single" w:sz="6" w:space="5" w:color="B9C7D3"/>
          <w:left w:val="single" w:sz="6" w:space="5" w:color="B9C7D3"/>
          <w:bottom w:val="single" w:sz="6" w:space="5" w:color="B9C7D3"/>
          <w:right w:val="single" w:sz="6" w:space="5" w:color="B9C7D3"/>
        </w:pBdr>
      </w:pPr>
      <w:r>
        <w:rPr>
          <w:rFonts w:ascii="Calibri" w:hAnsi="Calibri"/>
          <w:b/>
          <w:color w:val="1F4D78"/>
          <w:sz w:val="21"/>
        </w:rPr>
        <w:t>Alcance actual:</w:t>
      </w:r>
      <w:r>
        <w:rPr>
          <w:rFonts w:ascii="Calibri" w:hAnsi="Calibri"/>
          <w:color w:val="1F4D78"/>
          <w:sz w:val="21"/>
        </w:rPr>
        <w:t xml:space="preserve"> el forecast y los escenarios avanzados están disponibles; el plan visual de deuda ya puede leer los datos canónicos, pero todavía no puede aplicar ofertas o estrategias al plan real. Esa aplicación segura forma parte de E14b y continúa pendiente.</w:t>
      </w:r>
    </w:p>
    <w:p>
      <w:pPr>
        <w:pStyle w:val="Heading1"/>
      </w:pPr>
      <w:r>
        <w:t>1. Antes de empezar</w:t>
      </w:r>
    </w:p>
    <w:p>
      <w:pPr>
        <w:pStyle w:val="Heading2"/>
      </w:pPr>
      <w:r>
        <w:t>Abrir la aplicación</w:t>
      </w:r>
    </w:p>
    <w:p>
      <w:r>
        <w:rPr>
          <w:rFonts w:ascii="Calibri" w:hAnsi="Calibri"/>
          <w:color w:val="223548"/>
          <w:sz w:val="22"/>
        </w:rPr>
        <w:t>La aplicación puede utilizarse de tres formas:</w:t>
      </w:r>
    </w:p>
    <w:p>
      <w:pPr>
        <w:numPr>
          <w:ilvl w:val="0"/>
          <w:numId w:val="11"/>
        </w:numPr>
        <w:spacing w:after="80" w:line="300" w:lineRule="auto"/>
        <w:ind w:left="540" w:hanging="271"/>
      </w:pPr>
      <w:r>
        <w:rPr>
          <w:rFonts w:ascii="Calibri" w:hAnsi="Calibri"/>
          <w:color w:val="223548"/>
          <w:sz w:val="22"/>
        </w:rPr>
        <w:t>En la versión privada conectada a Supabase, iniciando sesión con el usuario del hogar.</w:t>
      </w:r>
    </w:p>
    <w:p>
      <w:pPr>
        <w:numPr>
          <w:ilvl w:val="0"/>
          <w:numId w:val="11"/>
        </w:numPr>
        <w:spacing w:after="80" w:line="300" w:lineRule="auto"/>
        <w:ind w:left="540" w:hanging="271"/>
      </w:pPr>
      <w:r>
        <w:rPr>
          <w:rFonts w:ascii="Calibri" w:hAnsi="Calibri"/>
          <w:color w:val="223548"/>
          <w:sz w:val="22"/>
        </w:rPr>
        <w:t>En local, abriendo el proyecto desde un servidor web.</w:t>
      </w:r>
    </w:p>
    <w:p>
      <w:pPr>
        <w:numPr>
          <w:ilvl w:val="0"/>
          <w:numId w:val="11"/>
        </w:numPr>
        <w:spacing w:after="80" w:line="300" w:lineRule="auto"/>
        <w:ind w:left="540" w:hanging="271"/>
      </w:pPr>
      <w:r>
        <w:rPr>
          <w:rFonts w:ascii="Calibri" w:hAnsi="Calibri"/>
          <w:color w:val="223548"/>
          <w:sz w:val="22"/>
        </w:rPr>
        <w:t>En la demostración pública de GitHub Pages, que contiene únicamente datos sintéticos.</w:t>
      </w:r>
    </w:p>
    <w:p>
      <w:r>
        <w:rPr>
          <w:rFonts w:ascii="Calibri" w:hAnsi="Calibri"/>
          <w:color w:val="223548"/>
          <w:sz w:val="22"/>
        </w:rPr>
        <w:t>No introduzcas datos personales reales en una demostración compartida. Para trabajar con información financiera real, usa la sesión privada o una copia local controlada.</w:t>
      </w:r>
    </w:p>
    <w:p>
      <w:pPr>
        <w:pStyle w:val="Heading2"/>
      </w:pPr>
      <w:r>
        <w:t>Comprobar el estado de guardado</w:t>
      </w:r>
    </w:p>
    <w:p>
      <w:r>
        <w:rPr>
          <w:rFonts w:ascii="Calibri" w:hAnsi="Calibri"/>
          <w:color w:val="223548"/>
          <w:sz w:val="22"/>
        </w:rPr>
        <w:t>Antes de editar, mira el indicador de estado situado en la parte superior. Puede mostrar:</w:t>
      </w:r>
    </w:p>
    <w:tbl>
      <w:tblPr>
        <w:tblW w:type="dxa" w:w="9360"/>
        <w:jc w:val="left"/>
        <w:tblLayout w:type="fixed"/>
        <w:tblLook w:firstColumn="1" w:firstRow="1" w:lastColumn="0" w:lastRow="0" w:noHBand="0" w:noVBand="1" w:val="04A0"/>
        <w:tblInd w:w="120" w:type="dxa"/>
        <w:tblBorders>
          <w:top w:val="single" w:sz="6" w:color="CDD5DD"/>
          <w:left w:val="single" w:sz="6" w:color="CDD5DD"/>
          <w:bottom w:val="single" w:sz="6" w:color="CDD5DD"/>
          <w:right w:val="single" w:sz="6" w:color="CDD5DD"/>
          <w:insideH w:val="single" w:sz="6" w:color="CDD5DD"/>
          <w:insideV w:val="single" w:sz="6" w:color="CDD5DD"/>
        </w:tblBorders>
      </w:tblPr>
      <w:tblGrid>
        <w:gridCol w:w="2100"/>
        <w:gridCol w:w="2500"/>
        <w:gridCol w:w="4760"/>
      </w:tblGrid>
      <w:tr>
        <w:trPr>
          <w:tblHeader w:val="true"/>
        </w:trPr>
        <w:tc>
          <w:tcPr>
            <w:tcW w:type="dxa" w:w="2100"/>
            <w:vAlign w:val="center"/>
            <w:tcMar>
              <w:top w:w="100" w:type="dxa"/>
              <w:start w:w="120" w:type="dxa"/>
              <w:bottom w:w="100" w:type="dxa"/>
              <w:end w:w="120" w:type="dxa"/>
            </w:tcMar>
            <w:shd w:fill="2E74B5"/>
          </w:tcPr>
          <w:p>
            <w:pPr>
              <w:spacing w:after="0" w:line="264" w:lineRule="auto"/>
            </w:pPr>
            <w:r>
              <w:rPr>
                <w:rFonts w:ascii="Calibri" w:hAnsi="Calibri"/>
                <w:b/>
                <w:color w:val="FFFFFF"/>
                <w:sz w:val="18"/>
              </w:rPr>
              <w:t>Estado</w:t>
            </w:r>
          </w:p>
        </w:tc>
        <w:tc>
          <w:tcPr>
            <w:tcW w:type="dxa" w:w="2500"/>
            <w:vAlign w:val="center"/>
            <w:tcMar>
              <w:top w:w="100" w:type="dxa"/>
              <w:start w:w="120" w:type="dxa"/>
              <w:bottom w:w="100" w:type="dxa"/>
              <w:end w:w="120" w:type="dxa"/>
            </w:tcMar>
            <w:shd w:fill="2E74B5"/>
          </w:tcPr>
          <w:p>
            <w:pPr>
              <w:spacing w:after="0" w:line="264" w:lineRule="auto"/>
            </w:pPr>
            <w:r>
              <w:rPr>
                <w:rFonts w:ascii="Calibri" w:hAnsi="Calibri"/>
                <w:b/>
                <w:color w:val="FFFFFF"/>
                <w:sz w:val="18"/>
              </w:rPr>
              <w:t>Significado</w:t>
            </w:r>
          </w:p>
        </w:tc>
        <w:tc>
          <w:tcPr>
            <w:tcW w:type="dxa" w:w="4760"/>
            <w:vAlign w:val="center"/>
            <w:tcMar>
              <w:top w:w="100" w:type="dxa"/>
              <w:start w:w="120" w:type="dxa"/>
              <w:bottom w:w="100" w:type="dxa"/>
              <w:end w:w="120" w:type="dxa"/>
            </w:tcMar>
            <w:shd w:fill="2E74B5"/>
          </w:tcPr>
          <w:p>
            <w:pPr>
              <w:spacing w:after="0" w:line="264" w:lineRule="auto"/>
            </w:pPr>
            <w:r>
              <w:rPr>
                <w:rFonts w:ascii="Calibri" w:hAnsi="Calibri"/>
                <w:b/>
                <w:color w:val="FFFFFF"/>
                <w:sz w:val="18"/>
              </w:rPr>
              <w:t>Qué hacer</w:t>
            </w:r>
          </w:p>
        </w:tc>
      </w:tr>
      <w:tr>
        <w:tc>
          <w:tcPr>
            <w:tcW w:type="dxa" w:w="2100"/>
            <w:vAlign w:val="center"/>
            <w:tcMar>
              <w:top w:w="100" w:type="dxa"/>
              <w:start w:w="120" w:type="dxa"/>
              <w:bottom w:w="100" w:type="dxa"/>
              <w:end w:w="120" w:type="dxa"/>
            </w:tcMar>
          </w:tcPr>
          <w:p>
            <w:pPr>
              <w:spacing w:after="0" w:line="264" w:lineRule="auto"/>
            </w:pPr>
            <w:r>
              <w:rPr>
                <w:rFonts w:ascii="Calibri" w:hAnsi="Calibri"/>
                <w:color w:val="223548"/>
                <w:sz w:val="18"/>
              </w:rPr>
              <w:t>Guardado local</w:t>
            </w:r>
          </w:p>
        </w:tc>
        <w:tc>
          <w:tcPr>
            <w:tcW w:type="dxa" w:w="2500"/>
            <w:vAlign w:val="center"/>
            <w:tcMar>
              <w:top w:w="100" w:type="dxa"/>
              <w:start w:w="120" w:type="dxa"/>
              <w:bottom w:w="100" w:type="dxa"/>
              <w:end w:w="120" w:type="dxa"/>
            </w:tcMar>
          </w:tcPr>
          <w:p>
            <w:pPr>
              <w:spacing w:after="0" w:line="264" w:lineRule="auto"/>
            </w:pPr>
            <w:r>
              <w:rPr>
                <w:rFonts w:ascii="Calibri" w:hAnsi="Calibri"/>
                <w:color w:val="223548"/>
                <w:sz w:val="18"/>
              </w:rPr>
              <w:t>Los cambios están conservados en este navegador</w:t>
            </w:r>
          </w:p>
        </w:tc>
        <w:tc>
          <w:tcPr>
            <w:tcW w:type="dxa" w:w="4760"/>
            <w:vAlign w:val="center"/>
            <w:tcMar>
              <w:top w:w="100" w:type="dxa"/>
              <w:start w:w="120" w:type="dxa"/>
              <w:bottom w:w="100" w:type="dxa"/>
              <w:end w:w="120" w:type="dxa"/>
            </w:tcMar>
          </w:tcPr>
          <w:p>
            <w:pPr>
              <w:spacing w:after="0" w:line="264" w:lineRule="auto"/>
            </w:pPr>
            <w:r>
              <w:rPr>
                <w:rFonts w:ascii="Calibri" w:hAnsi="Calibri"/>
                <w:color w:val="223548"/>
                <w:sz w:val="18"/>
              </w:rPr>
              <w:t>Puedes seguir trabajando; sincroniza cuando recuperes la conexión</w:t>
            </w:r>
          </w:p>
        </w:tc>
      </w:tr>
      <w:tr>
        <w:tc>
          <w:tcPr>
            <w:tcW w:type="dxa" w:w="2100"/>
            <w:vAlign w:val="center"/>
            <w:tcMar>
              <w:top w:w="100" w:type="dxa"/>
              <w:start w:w="120" w:type="dxa"/>
              <w:bottom w:w="100" w:type="dxa"/>
              <w:end w:w="120" w:type="dxa"/>
            </w:tcMar>
            <w:shd w:fill="F2F4F7"/>
          </w:tcPr>
          <w:p>
            <w:pPr>
              <w:spacing w:after="0" w:line="264" w:lineRule="auto"/>
            </w:pPr>
            <w:r>
              <w:rPr>
                <w:rFonts w:ascii="Calibri" w:hAnsi="Calibri"/>
                <w:color w:val="223548"/>
                <w:sz w:val="18"/>
              </w:rPr>
              <w:t>Pendiente remoto</w:t>
            </w:r>
          </w:p>
        </w:tc>
        <w:tc>
          <w:tcPr>
            <w:tcW w:type="dxa" w:w="2500"/>
            <w:vAlign w:val="center"/>
            <w:tcMar>
              <w:top w:w="100" w:type="dxa"/>
              <w:start w:w="120" w:type="dxa"/>
              <w:bottom w:w="100" w:type="dxa"/>
              <w:end w:w="120" w:type="dxa"/>
            </w:tcMar>
            <w:shd w:fill="F2F4F7"/>
          </w:tcPr>
          <w:p>
            <w:pPr>
              <w:spacing w:after="0" w:line="264" w:lineRule="auto"/>
            </w:pPr>
            <w:r>
              <w:rPr>
                <w:rFonts w:ascii="Calibri" w:hAnsi="Calibri"/>
                <w:color w:val="223548"/>
                <w:sz w:val="18"/>
              </w:rPr>
              <w:t>Existe una revisión esperando enviarse a Supabase</w:t>
            </w:r>
          </w:p>
        </w:tc>
        <w:tc>
          <w:tcPr>
            <w:tcW w:type="dxa" w:w="4760"/>
            <w:vAlign w:val="center"/>
            <w:tcMar>
              <w:top w:w="100" w:type="dxa"/>
              <w:start w:w="120" w:type="dxa"/>
              <w:bottom w:w="100" w:type="dxa"/>
              <w:end w:w="120" w:type="dxa"/>
            </w:tcMar>
            <w:shd w:fill="F2F4F7"/>
          </w:tcPr>
          <w:p>
            <w:pPr>
              <w:spacing w:after="0" w:line="264" w:lineRule="auto"/>
            </w:pPr>
            <w:r>
              <w:rPr>
                <w:rFonts w:ascii="Calibri" w:hAnsi="Calibri"/>
                <w:color w:val="223548"/>
                <w:sz w:val="18"/>
              </w:rPr>
              <w:t>Mantén la pestaña abierta si puedes y revisa la conexión</w:t>
            </w:r>
          </w:p>
        </w:tc>
      </w:tr>
      <w:tr>
        <w:tc>
          <w:tcPr>
            <w:tcW w:type="dxa" w:w="2100"/>
            <w:vAlign w:val="center"/>
            <w:tcMar>
              <w:top w:w="100" w:type="dxa"/>
              <w:start w:w="120" w:type="dxa"/>
              <w:bottom w:w="100" w:type="dxa"/>
              <w:end w:w="120" w:type="dxa"/>
            </w:tcMar>
          </w:tcPr>
          <w:p>
            <w:pPr>
              <w:spacing w:after="0" w:line="264" w:lineRule="auto"/>
            </w:pPr>
            <w:r>
              <w:rPr>
                <w:rFonts w:ascii="Calibri" w:hAnsi="Calibri"/>
                <w:color w:val="223548"/>
                <w:sz w:val="18"/>
              </w:rPr>
              <w:t>Sincronizado</w:t>
            </w:r>
          </w:p>
        </w:tc>
        <w:tc>
          <w:tcPr>
            <w:tcW w:type="dxa" w:w="2500"/>
            <w:vAlign w:val="center"/>
            <w:tcMar>
              <w:top w:w="100" w:type="dxa"/>
              <w:start w:w="120" w:type="dxa"/>
              <w:bottom w:w="100" w:type="dxa"/>
              <w:end w:w="120" w:type="dxa"/>
            </w:tcMar>
          </w:tcPr>
          <w:p>
            <w:pPr>
              <w:spacing w:after="0" w:line="264" w:lineRule="auto"/>
            </w:pPr>
            <w:r>
              <w:rPr>
                <w:rFonts w:ascii="Calibri" w:hAnsi="Calibri"/>
                <w:color w:val="223548"/>
                <w:sz w:val="18"/>
              </w:rPr>
              <w:t>La copia local y la remota coinciden</w:t>
            </w:r>
          </w:p>
        </w:tc>
        <w:tc>
          <w:tcPr>
            <w:tcW w:type="dxa" w:w="4760"/>
            <w:vAlign w:val="center"/>
            <w:tcMar>
              <w:top w:w="100" w:type="dxa"/>
              <w:start w:w="120" w:type="dxa"/>
              <w:bottom w:w="100" w:type="dxa"/>
              <w:end w:w="120" w:type="dxa"/>
            </w:tcMar>
          </w:tcPr>
          <w:p>
            <w:pPr>
              <w:spacing w:after="0" w:line="264" w:lineRule="auto"/>
            </w:pPr>
            <w:r>
              <w:rPr>
                <w:rFonts w:ascii="Calibri" w:hAnsi="Calibri"/>
                <w:color w:val="223548"/>
                <w:sz w:val="18"/>
              </w:rPr>
              <w:t>Puedes cerrar con normalidad</w:t>
            </w:r>
          </w:p>
        </w:tc>
      </w:tr>
      <w:tr>
        <w:tc>
          <w:tcPr>
            <w:tcW w:type="dxa" w:w="2100"/>
            <w:vAlign w:val="center"/>
            <w:tcMar>
              <w:top w:w="100" w:type="dxa"/>
              <w:start w:w="120" w:type="dxa"/>
              <w:bottom w:w="100" w:type="dxa"/>
              <w:end w:w="120" w:type="dxa"/>
            </w:tcMar>
            <w:shd w:fill="F2F4F7"/>
          </w:tcPr>
          <w:p>
            <w:pPr>
              <w:spacing w:after="0" w:line="264" w:lineRule="auto"/>
            </w:pPr>
            <w:r>
              <w:rPr>
                <w:rFonts w:ascii="Calibri" w:hAnsi="Calibri"/>
                <w:color w:val="223548"/>
                <w:sz w:val="18"/>
              </w:rPr>
              <w:t>Conflicto</w:t>
            </w:r>
          </w:p>
        </w:tc>
        <w:tc>
          <w:tcPr>
            <w:tcW w:type="dxa" w:w="2500"/>
            <w:vAlign w:val="center"/>
            <w:tcMar>
              <w:top w:w="100" w:type="dxa"/>
              <w:start w:w="120" w:type="dxa"/>
              <w:bottom w:w="100" w:type="dxa"/>
              <w:end w:w="120" w:type="dxa"/>
            </w:tcMar>
            <w:shd w:fill="F2F4F7"/>
          </w:tcPr>
          <w:p>
            <w:pPr>
              <w:spacing w:after="0" w:line="264" w:lineRule="auto"/>
            </w:pPr>
            <w:r>
              <w:rPr>
                <w:rFonts w:ascii="Calibri" w:hAnsi="Calibri"/>
                <w:color w:val="223548"/>
                <w:sz w:val="18"/>
              </w:rPr>
              <w:t>Otra sesión ha publicado una revisión diferente</w:t>
            </w:r>
          </w:p>
        </w:tc>
        <w:tc>
          <w:tcPr>
            <w:tcW w:type="dxa" w:w="4760"/>
            <w:vAlign w:val="center"/>
            <w:tcMar>
              <w:top w:w="100" w:type="dxa"/>
              <w:start w:w="120" w:type="dxa"/>
              <w:bottom w:w="100" w:type="dxa"/>
              <w:end w:w="120" w:type="dxa"/>
            </w:tcMar>
            <w:shd w:fill="F2F4F7"/>
          </w:tcPr>
          <w:p>
            <w:pPr>
              <w:spacing w:after="0" w:line="264" w:lineRule="auto"/>
            </w:pPr>
            <w:r>
              <w:rPr>
                <w:rFonts w:ascii="Calibri" w:hAnsi="Calibri"/>
                <w:color w:val="223548"/>
                <w:sz w:val="18"/>
              </w:rPr>
              <w:t>No sobrescribas; compara las copias y elige conscientemente cuál recuperar</w:t>
            </w:r>
          </w:p>
        </w:tc>
      </w:tr>
    </w:tbl>
    <w:p>
      <w:pPr>
        <w:spacing w:after="40"/>
      </w:pPr>
    </w:p>
    <w:p>
      <w:r>
        <w:rPr>
          <w:rFonts w:ascii="Calibri" w:hAnsi="Calibri"/>
          <w:color w:val="223548"/>
          <w:sz w:val="22"/>
        </w:rPr>
        <w:t>La aplicación carga primero la copia local. Un fallo de red no impide consultar ni editar, pero los cambios no estarán disponibles en otros dispositivos hasta completar la sincronización.</w:t>
      </w:r>
    </w:p>
    <w:p>
      <w:pPr>
        <w:pStyle w:val="Heading2"/>
      </w:pPr>
      <w:r>
        <w:t>Elegir el ámbito familiar</w:t>
      </w:r>
    </w:p>
    <w:p>
      <w:r>
        <w:rPr>
          <w:rFonts w:ascii="Calibri" w:hAnsi="Calibri"/>
          <w:color w:val="223548"/>
          <w:sz w:val="22"/>
        </w:rPr>
        <w:t xml:space="preserve">Cuando aparezca el selector, elige </w:t>
      </w:r>
      <w:r>
        <w:rPr>
          <w:rFonts w:ascii="Consolas" w:hAnsi="Consolas"/>
          <w:color w:val="1F4D78"/>
          <w:sz w:val="21"/>
        </w:rPr>
        <w:t>Hogar</w:t>
      </w:r>
      <w:r>
        <w:rPr>
          <w:rFonts w:ascii="Calibri" w:hAnsi="Calibri"/>
          <w:color w:val="223548"/>
          <w:sz w:val="22"/>
        </w:rPr>
        <w:t xml:space="preserve">, </w:t>
      </w:r>
      <w:r>
        <w:rPr>
          <w:rFonts w:ascii="Consolas" w:hAnsi="Consolas"/>
          <w:color w:val="1F4D78"/>
          <w:sz w:val="21"/>
        </w:rPr>
        <w:t>Javi</w:t>
      </w:r>
      <w:r>
        <w:rPr>
          <w:rFonts w:ascii="Calibri" w:hAnsi="Calibri"/>
          <w:color w:val="223548"/>
          <w:sz w:val="22"/>
        </w:rPr>
        <w:t xml:space="preserve"> o </w:t>
      </w:r>
      <w:r>
        <w:rPr>
          <w:rFonts w:ascii="Consolas" w:hAnsi="Consolas"/>
          <w:color w:val="1F4D78"/>
          <w:sz w:val="21"/>
        </w:rPr>
        <w:t>Tere</w:t>
      </w:r>
      <w:r>
        <w:rPr>
          <w:rFonts w:ascii="Calibri" w:hAnsi="Calibri"/>
          <w:color w:val="223548"/>
          <w:sz w:val="22"/>
        </w:rPr>
        <w:t>. Este filtro cambia la lectura de ingresos, gastos, margen y decisiones, pero no borra los datos de los otros titulares.</w:t>
      </w:r>
    </w:p>
    <w:p>
      <w:pPr>
        <w:pStyle w:val="Heading1"/>
      </w:pPr>
      <w:r>
        <w:t>2. Conceptos esenciales</w:t>
      </w:r>
    </w:p>
    <w:tbl>
      <w:tblPr>
        <w:tblW w:type="dxa" w:w="9360"/>
        <w:jc w:val="left"/>
        <w:tblLayout w:type="fixed"/>
        <w:tblLook w:firstColumn="1" w:firstRow="1" w:lastColumn="0" w:lastRow="0" w:noHBand="0" w:noVBand="1" w:val="04A0"/>
        <w:tblInd w:w="120" w:type="dxa"/>
        <w:tblBorders>
          <w:top w:val="single" w:sz="6" w:color="CDD5DD"/>
          <w:left w:val="single" w:sz="6" w:color="CDD5DD"/>
          <w:bottom w:val="single" w:sz="6" w:color="CDD5DD"/>
          <w:right w:val="single" w:sz="6" w:color="CDD5DD"/>
          <w:insideH w:val="single" w:sz="6" w:color="CDD5DD"/>
          <w:insideV w:val="single" w:sz="6" w:color="CDD5DD"/>
        </w:tblBorders>
      </w:tblPr>
      <w:tblGrid>
        <w:gridCol w:w="2700"/>
        <w:gridCol w:w="6660"/>
      </w:tblGrid>
      <w:tr>
        <w:trPr>
          <w:tblHeader w:val="true"/>
        </w:trPr>
        <w:tc>
          <w:tcPr>
            <w:tcW w:type="dxa" w:w="2700"/>
            <w:vAlign w:val="center"/>
            <w:tcMar>
              <w:top w:w="100" w:type="dxa"/>
              <w:start w:w="120" w:type="dxa"/>
              <w:bottom w:w="100" w:type="dxa"/>
              <w:end w:w="120" w:type="dxa"/>
            </w:tcMar>
            <w:shd w:fill="2E74B5"/>
          </w:tcPr>
          <w:p>
            <w:pPr>
              <w:spacing w:after="0" w:line="264" w:lineRule="auto"/>
            </w:pPr>
            <w:r>
              <w:rPr>
                <w:rFonts w:ascii="Calibri" w:hAnsi="Calibri"/>
                <w:b/>
                <w:color w:val="FFFFFF"/>
                <w:sz w:val="18"/>
              </w:rPr>
              <w:t>Concepto</w:t>
            </w:r>
          </w:p>
        </w:tc>
        <w:tc>
          <w:tcPr>
            <w:tcW w:type="dxa" w:w="6660"/>
            <w:vAlign w:val="center"/>
            <w:tcMar>
              <w:top w:w="100" w:type="dxa"/>
              <w:start w:w="120" w:type="dxa"/>
              <w:bottom w:w="100" w:type="dxa"/>
              <w:end w:w="120" w:type="dxa"/>
            </w:tcMar>
            <w:shd w:fill="2E74B5"/>
          </w:tcPr>
          <w:p>
            <w:pPr>
              <w:spacing w:after="0" w:line="264" w:lineRule="auto"/>
            </w:pPr>
            <w:r>
              <w:rPr>
                <w:rFonts w:ascii="Calibri" w:hAnsi="Calibri"/>
                <w:b/>
                <w:color w:val="FFFFFF"/>
                <w:sz w:val="18"/>
              </w:rPr>
              <w:t>Qué significa</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Previsto</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Importe planificado para un mes futuro o para una partida todavía no confirmada</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Real</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Importe que ya ha ocurrido y ha sido registrado</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Usado</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Importe que emplea el cálculo: el real cuando existe; si está vacío, el previsto</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Cero real</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Confirma que el importe ocurrido fue exactamente cero; no equivale a dejar la casilla vacía</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Conciliado</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Dato contrastado con movimientos, saldos o extractos bancarios</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Supuesto</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Hipótesis editable que afecta a una previsión o escenario, pero no es un dato ocurrido</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Revisión</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Copia versionada del estado que permite auditar y recuperar cambios</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Escenario</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Simulación separada del plan vigente; no modifica los datos reales por sí sola</w:t>
            </w:r>
          </w:p>
        </w:tc>
      </w:tr>
    </w:tbl>
    <w:p>
      <w:pPr>
        <w:spacing w:after="40"/>
      </w:pPr>
    </w:p>
    <w:p>
      <w:r>
        <w:rPr>
          <w:rFonts w:ascii="Calibri" w:hAnsi="Calibri"/>
          <w:color w:val="223548"/>
          <w:sz w:val="22"/>
        </w:rPr>
        <w:t xml:space="preserve">Regla práctica: </w:t>
      </w:r>
      <w:r>
        <w:rPr>
          <w:rFonts w:ascii="Calibri" w:hAnsi="Calibri"/>
          <w:b/>
          <w:color w:val="223548"/>
          <w:sz w:val="22"/>
        </w:rPr>
        <w:t>vaciar un real recupera el previsto; escribir `0` registra un real de cero euros</w:t>
      </w:r>
      <w:r>
        <w:rPr>
          <w:rFonts w:ascii="Calibri" w:hAnsi="Calibri"/>
          <w:color w:val="223548"/>
          <w:sz w:val="22"/>
        </w:rPr>
        <w:t>.</w:t>
      </w:r>
    </w:p>
    <w:p>
      <w:pPr>
        <w:pStyle w:val="Heading1"/>
      </w:pPr>
      <w:r>
        <w:t>3. Recorrido recomendado</w:t>
      </w:r>
    </w:p>
    <w:p>
      <w:r>
        <w:rPr>
          <w:rFonts w:ascii="Calibri" w:hAnsi="Calibri"/>
          <w:color w:val="223548"/>
          <w:sz w:val="22"/>
        </w:rPr>
        <w:t>Para el trabajo normal sigue este orden:</w:t>
      </w:r>
    </w:p>
    <w:p>
      <w:pPr>
        <w:numPr>
          <w:ilvl w:val="0"/>
          <w:numId w:val="12"/>
        </w:numPr>
        <w:spacing w:after="80" w:line="300" w:lineRule="auto"/>
        <w:ind w:left="540" w:hanging="271"/>
      </w:pPr>
      <w:r>
        <w:rPr>
          <w:rFonts w:ascii="Calibri" w:hAnsi="Calibri"/>
          <w:color w:val="223548"/>
          <w:sz w:val="22"/>
        </w:rPr>
        <w:t xml:space="preserve">Abre </w:t>
      </w:r>
      <w:r>
        <w:rPr>
          <w:rFonts w:ascii="Calibri" w:hAnsi="Calibri"/>
          <w:b/>
          <w:color w:val="223548"/>
          <w:sz w:val="22"/>
        </w:rPr>
        <w:t>Hoy</w:t>
      </w:r>
      <w:r>
        <w:rPr>
          <w:rFonts w:ascii="Calibri" w:hAnsi="Calibri"/>
          <w:color w:val="223548"/>
          <w:sz w:val="22"/>
        </w:rPr>
        <w:t xml:space="preserve"> para detectar lo que necesita atención.</w:t>
      </w:r>
    </w:p>
    <w:p>
      <w:pPr>
        <w:numPr>
          <w:ilvl w:val="0"/>
          <w:numId w:val="12"/>
        </w:numPr>
        <w:spacing w:after="80" w:line="300" w:lineRule="auto"/>
        <w:ind w:left="540" w:hanging="271"/>
      </w:pPr>
      <w:r>
        <w:rPr>
          <w:rFonts w:ascii="Calibri" w:hAnsi="Calibri"/>
          <w:color w:val="223548"/>
          <w:sz w:val="22"/>
        </w:rPr>
        <w:t xml:space="preserve">Entra en </w:t>
      </w:r>
      <w:r>
        <w:rPr>
          <w:rFonts w:ascii="Calibri" w:hAnsi="Calibri"/>
          <w:b/>
          <w:color w:val="223548"/>
          <w:sz w:val="22"/>
        </w:rPr>
        <w:t>Actualizar</w:t>
      </w:r>
      <w:r>
        <w:rPr>
          <w:rFonts w:ascii="Calibri" w:hAnsi="Calibri"/>
          <w:color w:val="223548"/>
          <w:sz w:val="22"/>
        </w:rPr>
        <w:t xml:space="preserve"> y elige el tipo de dato que vas a poner al día.</w:t>
      </w:r>
    </w:p>
    <w:p>
      <w:pPr>
        <w:numPr>
          <w:ilvl w:val="0"/>
          <w:numId w:val="12"/>
        </w:numPr>
        <w:spacing w:after="80" w:line="300" w:lineRule="auto"/>
        <w:ind w:left="540" w:hanging="271"/>
      </w:pPr>
      <w:r>
        <w:rPr>
          <w:rFonts w:ascii="Calibri" w:hAnsi="Calibri"/>
          <w:color w:val="223548"/>
          <w:sz w:val="22"/>
        </w:rPr>
        <w:t>Registra saldos, ingresos, gastos o movimientos.</w:t>
      </w:r>
    </w:p>
    <w:p>
      <w:pPr>
        <w:numPr>
          <w:ilvl w:val="0"/>
          <w:numId w:val="12"/>
        </w:numPr>
        <w:spacing w:after="80" w:line="300" w:lineRule="auto"/>
        <w:ind w:left="540" w:hanging="271"/>
      </w:pPr>
      <w:r>
        <w:rPr>
          <w:rFonts w:ascii="Calibri" w:hAnsi="Calibri"/>
          <w:color w:val="223548"/>
          <w:sz w:val="22"/>
        </w:rPr>
        <w:t xml:space="preserve">Abre </w:t>
      </w:r>
      <w:r>
        <w:rPr>
          <w:rFonts w:ascii="Calibri" w:hAnsi="Calibri"/>
          <w:b/>
          <w:color w:val="223548"/>
          <w:sz w:val="22"/>
        </w:rPr>
        <w:t>Conciliación</w:t>
      </w:r>
      <w:r>
        <w:rPr>
          <w:rFonts w:ascii="Calibri" w:hAnsi="Calibri"/>
          <w:color w:val="223548"/>
          <w:sz w:val="22"/>
        </w:rPr>
        <w:t xml:space="preserve"> para comprobar que banco, reales y saldos cuentan la misma historia.</w:t>
      </w:r>
    </w:p>
    <w:p>
      <w:pPr>
        <w:numPr>
          <w:ilvl w:val="0"/>
          <w:numId w:val="12"/>
        </w:numPr>
        <w:spacing w:after="80" w:line="300" w:lineRule="auto"/>
        <w:ind w:left="540" w:hanging="271"/>
      </w:pPr>
      <w:r>
        <w:rPr>
          <w:rFonts w:ascii="Calibri" w:hAnsi="Calibri"/>
          <w:color w:val="223548"/>
          <w:sz w:val="22"/>
        </w:rPr>
        <w:t xml:space="preserve">Revisa </w:t>
      </w:r>
      <w:r>
        <w:rPr>
          <w:rFonts w:ascii="Calibri" w:hAnsi="Calibri"/>
          <w:b/>
          <w:color w:val="223548"/>
          <w:sz w:val="22"/>
        </w:rPr>
        <w:t>Previsión</w:t>
      </w:r>
      <w:r>
        <w:rPr>
          <w:rFonts w:ascii="Calibri" w:hAnsi="Calibri"/>
          <w:color w:val="223548"/>
          <w:sz w:val="22"/>
        </w:rPr>
        <w:t xml:space="preserve"> y </w:t>
      </w:r>
      <w:r>
        <w:rPr>
          <w:rFonts w:ascii="Calibri" w:hAnsi="Calibri"/>
          <w:b/>
          <w:color w:val="223548"/>
          <w:sz w:val="22"/>
        </w:rPr>
        <w:t>Proyección</w:t>
      </w:r>
      <w:r>
        <w:rPr>
          <w:rFonts w:ascii="Calibri" w:hAnsi="Calibri"/>
          <w:color w:val="223548"/>
          <w:sz w:val="22"/>
        </w:rPr>
        <w:t>.</w:t>
      </w:r>
    </w:p>
    <w:p>
      <w:pPr>
        <w:numPr>
          <w:ilvl w:val="0"/>
          <w:numId w:val="12"/>
        </w:numPr>
        <w:spacing w:after="80" w:line="300" w:lineRule="auto"/>
        <w:ind w:left="540" w:hanging="271"/>
      </w:pPr>
      <w:r>
        <w:rPr>
          <w:rFonts w:ascii="Calibri" w:hAnsi="Calibri"/>
          <w:color w:val="223548"/>
          <w:sz w:val="22"/>
        </w:rPr>
        <w:t xml:space="preserve">Usa </w:t>
      </w:r>
      <w:r>
        <w:rPr>
          <w:rFonts w:ascii="Calibri" w:hAnsi="Calibri"/>
          <w:b/>
          <w:color w:val="223548"/>
          <w:sz w:val="22"/>
        </w:rPr>
        <w:t>Deuda y proyectos</w:t>
      </w:r>
      <w:r>
        <w:rPr>
          <w:rFonts w:ascii="Calibri" w:hAnsi="Calibri"/>
          <w:color w:val="223548"/>
          <w:sz w:val="22"/>
        </w:rPr>
        <w:t xml:space="preserve"> o el </w:t>
      </w:r>
      <w:r>
        <w:rPr>
          <w:rFonts w:ascii="Calibri" w:hAnsi="Calibri"/>
          <w:b/>
          <w:color w:val="223548"/>
          <w:sz w:val="22"/>
        </w:rPr>
        <w:t>Simulador</w:t>
      </w:r>
      <w:r>
        <w:rPr>
          <w:rFonts w:ascii="Calibri" w:hAnsi="Calibri"/>
          <w:color w:val="223548"/>
          <w:sz w:val="22"/>
        </w:rPr>
        <w:t xml:space="preserve"> para comparar decisiones sin modificar el plan.</w:t>
      </w:r>
    </w:p>
    <w:p>
      <w:pPr>
        <w:numPr>
          <w:ilvl w:val="0"/>
          <w:numId w:val="12"/>
        </w:numPr>
        <w:spacing w:after="80" w:line="300" w:lineRule="auto"/>
        <w:ind w:left="540" w:hanging="271"/>
      </w:pPr>
      <w:r>
        <w:rPr>
          <w:rFonts w:ascii="Calibri" w:hAnsi="Calibri"/>
          <w:color w:val="223548"/>
          <w:sz w:val="22"/>
        </w:rPr>
        <w:t>Revisa el estado de sincronización antes de cerrar.</w:t>
      </w:r>
    </w:p>
    <w:p>
      <w:pPr>
        <w:pStyle w:val="Heading1"/>
      </w:pPr>
      <w:r>
        <w:t>4. Pantalla Hoy</w:t>
      </w:r>
    </w:p>
    <w:p>
      <w:r>
        <w:rPr>
          <w:rFonts w:ascii="Calibri" w:hAnsi="Calibri"/>
          <w:b/>
          <w:color w:val="223548"/>
          <w:sz w:val="22"/>
        </w:rPr>
        <w:t>Hoy</w:t>
      </w:r>
      <w:r>
        <w:rPr>
          <w:rFonts w:ascii="Calibri" w:hAnsi="Calibri"/>
          <w:color w:val="223548"/>
          <w:sz w:val="22"/>
        </w:rPr>
        <w:t xml:space="preserve"> es la portada de trabajo. Resume:</w:t>
      </w:r>
    </w:p>
    <w:p>
      <w:pPr>
        <w:numPr>
          <w:ilvl w:val="0"/>
          <w:numId w:val="13"/>
        </w:numPr>
        <w:spacing w:after="80" w:line="300" w:lineRule="auto"/>
        <w:ind w:left="540" w:hanging="271"/>
      </w:pPr>
      <w:r>
        <w:rPr>
          <w:rFonts w:ascii="Calibri" w:hAnsi="Calibri"/>
          <w:color w:val="223548"/>
          <w:sz w:val="22"/>
        </w:rPr>
        <w:t>cobertura hasta el siguiente ingreso;</w:t>
      </w:r>
    </w:p>
    <w:p>
      <w:pPr>
        <w:numPr>
          <w:ilvl w:val="0"/>
          <w:numId w:val="13"/>
        </w:numPr>
        <w:spacing w:after="80" w:line="300" w:lineRule="auto"/>
        <w:ind w:left="540" w:hanging="271"/>
      </w:pPr>
      <w:r>
        <w:rPr>
          <w:rFonts w:ascii="Calibri" w:hAnsi="Calibri"/>
          <w:color w:val="223548"/>
          <w:sz w:val="22"/>
        </w:rPr>
        <w:t>liquidez, reserva y capacidad libre;</w:t>
      </w:r>
    </w:p>
    <w:p>
      <w:pPr>
        <w:numPr>
          <w:ilvl w:val="0"/>
          <w:numId w:val="13"/>
        </w:numPr>
        <w:spacing w:after="80" w:line="300" w:lineRule="auto"/>
        <w:ind w:left="540" w:hanging="271"/>
      </w:pPr>
      <w:r>
        <w:rPr>
          <w:rFonts w:ascii="Calibri" w:hAnsi="Calibri"/>
          <w:color w:val="223548"/>
          <w:sz w:val="22"/>
        </w:rPr>
        <w:t>tres decisiones priorizadas;</w:t>
      </w:r>
    </w:p>
    <w:p>
      <w:pPr>
        <w:numPr>
          <w:ilvl w:val="0"/>
          <w:numId w:val="13"/>
        </w:numPr>
        <w:spacing w:after="80" w:line="300" w:lineRule="auto"/>
        <w:ind w:left="540" w:hanging="271"/>
      </w:pPr>
      <w:r>
        <w:rPr>
          <w:rFonts w:ascii="Calibri" w:hAnsi="Calibri"/>
          <w:color w:val="223548"/>
          <w:sz w:val="22"/>
        </w:rPr>
        <w:t>próximos hitos y meses a vigilar;</w:t>
      </w:r>
    </w:p>
    <w:p>
      <w:pPr>
        <w:numPr>
          <w:ilvl w:val="0"/>
          <w:numId w:val="13"/>
        </w:numPr>
        <w:spacing w:after="80" w:line="300" w:lineRule="auto"/>
        <w:ind w:left="540" w:hanging="271"/>
      </w:pPr>
      <w:r>
        <w:rPr>
          <w:rFonts w:ascii="Calibri" w:hAnsi="Calibri"/>
          <w:color w:val="223548"/>
          <w:sz w:val="22"/>
        </w:rPr>
        <w:t>lectura del hogar o titular seleccionado;</w:t>
      </w:r>
    </w:p>
    <w:p>
      <w:pPr>
        <w:numPr>
          <w:ilvl w:val="0"/>
          <w:numId w:val="13"/>
        </w:numPr>
        <w:spacing w:after="80" w:line="300" w:lineRule="auto"/>
        <w:ind w:left="540" w:hanging="271"/>
      </w:pPr>
      <w:r>
        <w:rPr>
          <w:rFonts w:ascii="Calibri" w:hAnsi="Calibri"/>
          <w:color w:val="223548"/>
          <w:sz w:val="22"/>
        </w:rPr>
        <w:t>alertas y calidad de los datos utilizados.</w:t>
      </w:r>
    </w:p>
    <w:p>
      <w:r>
        <w:rPr>
          <w:rFonts w:ascii="Calibri" w:hAnsi="Calibri"/>
          <w:color w:val="223548"/>
          <w:sz w:val="22"/>
        </w:rPr>
        <w:t>Utiliza los botones de cada tarjeta para ir a saldos, flujo, reserva, previsión, ahorro o comparación. Las recomendaciones muestran fuente, fecha, método, cobertura y confianza. Una confianza baja indica que faltan datos o histórico suficiente; no debe interpretarse como una certeza.</w:t>
      </w:r>
    </w:p>
    <w:p>
      <w:pPr>
        <w:pStyle w:val="Heading1"/>
      </w:pPr>
      <w:r>
        <w:t>5. Actualizar datos</w:t>
      </w:r>
    </w:p>
    <w:p>
      <w:r>
        <w:rPr>
          <w:rFonts w:ascii="Calibri" w:hAnsi="Calibri"/>
          <w:color w:val="223548"/>
          <w:sz w:val="22"/>
        </w:rPr>
        <w:t xml:space="preserve">La portada </w:t>
      </w:r>
      <w:r>
        <w:rPr>
          <w:rFonts w:ascii="Calibri" w:hAnsi="Calibri"/>
          <w:b/>
          <w:color w:val="223548"/>
          <w:sz w:val="22"/>
        </w:rPr>
        <w:t>Actualizar</w:t>
      </w:r>
      <w:r>
        <w:rPr>
          <w:rFonts w:ascii="Calibri" w:hAnsi="Calibri"/>
          <w:color w:val="223548"/>
          <w:sz w:val="22"/>
        </w:rPr>
        <w:t xml:space="preserve"> ofrece seis rutas.</w:t>
      </w:r>
    </w:p>
    <w:p>
      <w:pPr>
        <w:pStyle w:val="Heading2"/>
      </w:pPr>
      <w:r>
        <w:t>5.1 Actualizar saldos de cuentas</w:t>
      </w:r>
    </w:p>
    <w:p>
      <w:pPr>
        <w:numPr>
          <w:ilvl w:val="0"/>
          <w:numId w:val="14"/>
        </w:numPr>
        <w:spacing w:after="80" w:line="300" w:lineRule="auto"/>
        <w:ind w:left="540" w:hanging="271"/>
      </w:pPr>
      <w:r>
        <w:rPr>
          <w:rFonts w:ascii="Calibri" w:hAnsi="Calibri"/>
          <w:color w:val="223548"/>
          <w:sz w:val="22"/>
        </w:rPr>
        <w:t xml:space="preserve">Pulsa </w:t>
      </w:r>
      <w:r>
        <w:rPr>
          <w:rFonts w:ascii="Calibri" w:hAnsi="Calibri"/>
          <w:b/>
          <w:color w:val="223548"/>
          <w:sz w:val="22"/>
        </w:rPr>
        <w:t>Saldo actual — Actualizar mis cuentas</w:t>
      </w:r>
      <w:r>
        <w:rPr>
          <w:rFonts w:ascii="Calibri" w:hAnsi="Calibri"/>
          <w:color w:val="223548"/>
          <w:sz w:val="22"/>
        </w:rPr>
        <w:t>.</w:t>
      </w:r>
    </w:p>
    <w:p>
      <w:pPr>
        <w:numPr>
          <w:ilvl w:val="0"/>
          <w:numId w:val="14"/>
        </w:numPr>
        <w:spacing w:after="80" w:line="300" w:lineRule="auto"/>
        <w:ind w:left="540" w:hanging="271"/>
      </w:pPr>
      <w:r>
        <w:rPr>
          <w:rFonts w:ascii="Calibri" w:hAnsi="Calibri"/>
          <w:color w:val="223548"/>
          <w:sz w:val="22"/>
        </w:rPr>
        <w:t>Comprueba la fecha del análisis y los saldos de CaixaBank y Mediolanum.</w:t>
      </w:r>
    </w:p>
    <w:p>
      <w:pPr>
        <w:numPr>
          <w:ilvl w:val="0"/>
          <w:numId w:val="14"/>
        </w:numPr>
        <w:spacing w:after="80" w:line="300" w:lineRule="auto"/>
        <w:ind w:left="540" w:hanging="271"/>
      </w:pPr>
      <w:r>
        <w:rPr>
          <w:rFonts w:ascii="Calibri" w:hAnsi="Calibri"/>
          <w:color w:val="223548"/>
          <w:sz w:val="22"/>
        </w:rPr>
        <w:t>Introduce el saldo real de cada cuenta.</w:t>
      </w:r>
    </w:p>
    <w:p>
      <w:pPr>
        <w:numPr>
          <w:ilvl w:val="0"/>
          <w:numId w:val="14"/>
        </w:numPr>
        <w:spacing w:after="80" w:line="300" w:lineRule="auto"/>
        <w:ind w:left="540" w:hanging="271"/>
      </w:pPr>
      <w:r>
        <w:rPr>
          <w:rFonts w:ascii="Calibri" w:hAnsi="Calibri"/>
          <w:color w:val="223548"/>
          <w:sz w:val="22"/>
        </w:rPr>
        <w:t>Comprueba que los resultados y mínimos se recalculan.</w:t>
      </w:r>
    </w:p>
    <w:p>
      <w:r>
        <w:rPr>
          <w:rFonts w:ascii="Calibri" w:hAnsi="Calibri"/>
          <w:color w:val="223548"/>
          <w:sz w:val="22"/>
        </w:rPr>
        <w:t>El saldo real se guarda al introducirlo. Utiliza siempre la fecha a la que corresponde, especialmente si estás copiándolo desde una aplicación bancaria.</w:t>
      </w:r>
    </w:p>
    <w:p>
      <w:pPr>
        <w:pStyle w:val="Heading2"/>
      </w:pPr>
      <w:r>
        <w:t>5.2 Registrar ingresos y gastos reales</w:t>
      </w:r>
    </w:p>
    <w:p>
      <w:pPr>
        <w:numPr>
          <w:ilvl w:val="0"/>
          <w:numId w:val="15"/>
        </w:numPr>
        <w:spacing w:after="80" w:line="300" w:lineRule="auto"/>
        <w:ind w:left="540" w:hanging="271"/>
      </w:pPr>
      <w:r>
        <w:rPr>
          <w:rFonts w:ascii="Calibri" w:hAnsi="Calibri"/>
          <w:color w:val="223548"/>
          <w:sz w:val="22"/>
        </w:rPr>
        <w:t xml:space="preserve">Pulsa </w:t>
      </w:r>
      <w:r>
        <w:rPr>
          <w:rFonts w:ascii="Calibri" w:hAnsi="Calibri"/>
          <w:b/>
          <w:color w:val="223548"/>
          <w:sz w:val="22"/>
        </w:rPr>
        <w:t>Lo ocurrido — Registrar ingresos y gastos reales</w:t>
      </w:r>
      <w:r>
        <w:rPr>
          <w:rFonts w:ascii="Calibri" w:hAnsi="Calibri"/>
          <w:color w:val="223548"/>
          <w:sz w:val="22"/>
        </w:rPr>
        <w:t>.</w:t>
      </w:r>
    </w:p>
    <w:p>
      <w:pPr>
        <w:numPr>
          <w:ilvl w:val="0"/>
          <w:numId w:val="15"/>
        </w:numPr>
        <w:spacing w:after="80" w:line="300" w:lineRule="auto"/>
        <w:ind w:left="540" w:hanging="271"/>
      </w:pPr>
      <w:r>
        <w:rPr>
          <w:rFonts w:ascii="Calibri" w:hAnsi="Calibri"/>
          <w:color w:val="223548"/>
          <w:sz w:val="22"/>
        </w:rPr>
        <w:t>Localiza el concepto y el mes.</w:t>
      </w:r>
    </w:p>
    <w:p>
      <w:pPr>
        <w:numPr>
          <w:ilvl w:val="0"/>
          <w:numId w:val="15"/>
        </w:numPr>
        <w:spacing w:after="80" w:line="300" w:lineRule="auto"/>
        <w:ind w:left="540" w:hanging="271"/>
      </w:pPr>
      <w:r>
        <w:rPr>
          <w:rFonts w:ascii="Calibri" w:hAnsi="Calibri"/>
          <w:color w:val="223548"/>
          <w:sz w:val="22"/>
        </w:rPr>
        <w:t>Introduce el importe en la columna de real.</w:t>
      </w:r>
    </w:p>
    <w:p>
      <w:pPr>
        <w:numPr>
          <w:ilvl w:val="0"/>
          <w:numId w:val="15"/>
        </w:numPr>
        <w:spacing w:after="80" w:line="300" w:lineRule="auto"/>
        <w:ind w:left="540" w:hanging="271"/>
      </w:pPr>
      <w:r>
        <w:rPr>
          <w:rFonts w:ascii="Calibri" w:hAnsi="Calibri"/>
          <w:color w:val="223548"/>
          <w:sz w:val="22"/>
        </w:rPr>
        <w:t xml:space="preserve">Revisa las columnas </w:t>
      </w:r>
      <w:r>
        <w:rPr>
          <w:rFonts w:ascii="Consolas" w:hAnsi="Consolas"/>
          <w:color w:val="1F4D78"/>
          <w:sz w:val="21"/>
        </w:rPr>
        <w:t>Previsto</w:t>
      </w:r>
      <w:r>
        <w:rPr>
          <w:rFonts w:ascii="Calibri" w:hAnsi="Calibri"/>
          <w:color w:val="223548"/>
          <w:sz w:val="22"/>
        </w:rPr>
        <w:t xml:space="preserve">, </w:t>
      </w:r>
      <w:r>
        <w:rPr>
          <w:rFonts w:ascii="Consolas" w:hAnsi="Consolas"/>
          <w:color w:val="1F4D78"/>
          <w:sz w:val="21"/>
        </w:rPr>
        <w:t>Real</w:t>
      </w:r>
      <w:r>
        <w:rPr>
          <w:rFonts w:ascii="Calibri" w:hAnsi="Calibri"/>
          <w:color w:val="223548"/>
          <w:sz w:val="22"/>
        </w:rPr>
        <w:t xml:space="preserve"> y </w:t>
      </w:r>
      <w:r>
        <w:rPr>
          <w:rFonts w:ascii="Consolas" w:hAnsi="Consolas"/>
          <w:color w:val="1F4D78"/>
          <w:sz w:val="21"/>
        </w:rPr>
        <w:t>Usado</w:t>
      </w:r>
      <w:r>
        <w:rPr>
          <w:rFonts w:ascii="Calibri" w:hAnsi="Calibri"/>
          <w:color w:val="223548"/>
          <w:sz w:val="22"/>
        </w:rPr>
        <w:t>.</w:t>
      </w:r>
    </w:p>
    <w:p>
      <w:r>
        <w:rPr>
          <w:rFonts w:ascii="Calibri" w:hAnsi="Calibri"/>
          <w:color w:val="223548"/>
          <w:sz w:val="22"/>
        </w:rPr>
        <w:t>Los reales se guardan automáticamente y no aparecen en el panel de cambios futuros. Si corriges una casilla, la nueva cifra sustituye al real anterior dentro de una revisión recuperable.</w:t>
      </w:r>
    </w:p>
    <w:p>
      <w:pPr>
        <w:pStyle w:val="Heading2"/>
      </w:pPr>
      <w:r>
        <w:t>5.3 Cambiar previsiones futuras</w:t>
      </w:r>
    </w:p>
    <w:p>
      <w:pPr>
        <w:numPr>
          <w:ilvl w:val="0"/>
          <w:numId w:val="16"/>
        </w:numPr>
        <w:spacing w:after="80" w:line="300" w:lineRule="auto"/>
        <w:ind w:left="540" w:hanging="271"/>
      </w:pPr>
      <w:r>
        <w:rPr>
          <w:rFonts w:ascii="Calibri" w:hAnsi="Calibri"/>
          <w:color w:val="223548"/>
          <w:sz w:val="22"/>
        </w:rPr>
        <w:t xml:space="preserve">Pulsa </w:t>
      </w:r>
      <w:r>
        <w:rPr>
          <w:rFonts w:ascii="Calibri" w:hAnsi="Calibri"/>
          <w:b/>
          <w:color w:val="223548"/>
          <w:sz w:val="22"/>
        </w:rPr>
        <w:t>Plan futuro — Cambiar previsiones</w:t>
      </w:r>
      <w:r>
        <w:rPr>
          <w:rFonts w:ascii="Calibri" w:hAnsi="Calibri"/>
          <w:color w:val="223548"/>
          <w:sz w:val="22"/>
        </w:rPr>
        <w:t>.</w:t>
      </w:r>
    </w:p>
    <w:p>
      <w:pPr>
        <w:numPr>
          <w:ilvl w:val="0"/>
          <w:numId w:val="16"/>
        </w:numPr>
        <w:spacing w:after="80" w:line="300" w:lineRule="auto"/>
        <w:ind w:left="540" w:hanging="271"/>
      </w:pPr>
      <w:r>
        <w:rPr>
          <w:rFonts w:ascii="Calibri" w:hAnsi="Calibri"/>
          <w:color w:val="223548"/>
          <w:sz w:val="22"/>
        </w:rPr>
        <w:t xml:space="preserve">Modifica el importe previsto o utiliza </w:t>
      </w:r>
      <w:r>
        <w:rPr>
          <w:rFonts w:ascii="Calibri" w:hAnsi="Calibri"/>
          <w:b/>
          <w:color w:val="223548"/>
          <w:sz w:val="22"/>
        </w:rPr>
        <w:t>Añadir línea</w:t>
      </w:r>
      <w:r>
        <w:rPr>
          <w:rFonts w:ascii="Calibri" w:hAnsi="Calibri"/>
          <w:color w:val="223548"/>
          <w:sz w:val="22"/>
        </w:rPr>
        <w:t xml:space="preserve"> para crear una partida.</w:t>
      </w:r>
    </w:p>
    <w:p>
      <w:pPr>
        <w:numPr>
          <w:ilvl w:val="0"/>
          <w:numId w:val="16"/>
        </w:numPr>
        <w:spacing w:after="80" w:line="300" w:lineRule="auto"/>
        <w:ind w:left="540" w:hanging="271"/>
      </w:pPr>
      <w:r>
        <w:rPr>
          <w:rFonts w:ascii="Calibri" w:hAnsi="Calibri"/>
          <w:color w:val="223548"/>
          <w:sz w:val="22"/>
        </w:rPr>
        <w:t xml:space="preserve">Pulsa </w:t>
      </w:r>
      <w:r>
        <w:rPr>
          <w:rFonts w:ascii="Calibri" w:hAnsi="Calibri"/>
          <w:b/>
          <w:color w:val="223548"/>
          <w:sz w:val="22"/>
        </w:rPr>
        <w:t>Preparar cambio pendiente</w:t>
      </w:r>
      <w:r>
        <w:rPr>
          <w:rFonts w:ascii="Calibri" w:hAnsi="Calibri"/>
          <w:color w:val="223548"/>
          <w:sz w:val="22"/>
        </w:rPr>
        <w:t xml:space="preserve"> cuando utilices el ajuste rápido.</w:t>
      </w:r>
    </w:p>
    <w:p>
      <w:pPr>
        <w:numPr>
          <w:ilvl w:val="0"/>
          <w:numId w:val="16"/>
        </w:numPr>
        <w:spacing w:after="80" w:line="300" w:lineRule="auto"/>
        <w:ind w:left="540" w:hanging="271"/>
      </w:pPr>
      <w:r>
        <w:rPr>
          <w:rFonts w:ascii="Calibri" w:hAnsi="Calibri"/>
          <w:color w:val="223548"/>
          <w:sz w:val="22"/>
        </w:rPr>
        <w:t>Revisa el resumen de diferencias.</w:t>
      </w:r>
    </w:p>
    <w:p>
      <w:pPr>
        <w:numPr>
          <w:ilvl w:val="0"/>
          <w:numId w:val="16"/>
        </w:numPr>
        <w:spacing w:after="80" w:line="300" w:lineRule="auto"/>
        <w:ind w:left="540" w:hanging="271"/>
      </w:pPr>
      <w:r>
        <w:rPr>
          <w:rFonts w:ascii="Calibri" w:hAnsi="Calibri"/>
          <w:color w:val="223548"/>
          <w:sz w:val="22"/>
        </w:rPr>
        <w:t xml:space="preserve">Pulsa </w:t>
      </w:r>
      <w:r>
        <w:rPr>
          <w:rFonts w:ascii="Calibri" w:hAnsi="Calibri"/>
          <w:b/>
          <w:color w:val="223548"/>
          <w:sz w:val="22"/>
        </w:rPr>
        <w:t>Guardar cambios</w:t>
      </w:r>
      <w:r>
        <w:rPr>
          <w:rFonts w:ascii="Calibri" w:hAnsi="Calibri"/>
          <w:color w:val="223548"/>
          <w:sz w:val="22"/>
        </w:rPr>
        <w:t xml:space="preserve"> para aplicarlas.</w:t>
      </w:r>
    </w:p>
    <w:p>
      <w:r>
        <w:rPr>
          <w:rFonts w:ascii="Calibri" w:hAnsi="Calibri"/>
          <w:color w:val="223548"/>
          <w:sz w:val="22"/>
        </w:rPr>
        <w:t xml:space="preserve">A diferencia de los reales, las previsiones no se aplican al abandonar una casilla. Permanecen como cambios pendientes hasta confirmar el guardado. </w:t>
      </w:r>
      <w:r>
        <w:rPr>
          <w:rFonts w:ascii="Calibri" w:hAnsi="Calibri"/>
          <w:b/>
          <w:color w:val="223548"/>
          <w:sz w:val="22"/>
        </w:rPr>
        <w:t>Descartar</w:t>
      </w:r>
      <w:r>
        <w:rPr>
          <w:rFonts w:ascii="Calibri" w:hAnsi="Calibri"/>
          <w:color w:val="223548"/>
          <w:sz w:val="22"/>
        </w:rPr>
        <w:t xml:space="preserve"> elimina únicamente ese borrador.</w:t>
      </w:r>
    </w:p>
    <w:p>
      <w:pPr>
        <w:pStyle w:val="Heading2"/>
      </w:pPr>
      <w:r>
        <w:t>5.4 Importar o revisar movimientos</w:t>
      </w:r>
    </w:p>
    <w:p>
      <w:pPr>
        <w:numPr>
          <w:ilvl w:val="0"/>
          <w:numId w:val="17"/>
        </w:numPr>
        <w:spacing w:after="80" w:line="300" w:lineRule="auto"/>
        <w:ind w:left="540" w:hanging="271"/>
      </w:pPr>
      <w:r>
        <w:rPr>
          <w:rFonts w:ascii="Calibri" w:hAnsi="Calibri"/>
          <w:color w:val="223548"/>
          <w:sz w:val="22"/>
        </w:rPr>
        <w:t xml:space="preserve">Entra en </w:t>
      </w:r>
      <w:r>
        <w:rPr>
          <w:rFonts w:ascii="Calibri" w:hAnsi="Calibri"/>
          <w:b/>
          <w:color w:val="223548"/>
          <w:sz w:val="22"/>
        </w:rPr>
        <w:t>Movimientos</w:t>
      </w:r>
      <w:r>
        <w:rPr>
          <w:rFonts w:ascii="Calibri" w:hAnsi="Calibri"/>
          <w:color w:val="223548"/>
          <w:sz w:val="22"/>
        </w:rPr>
        <w:t xml:space="preserve"> desde Actualizar.</w:t>
      </w:r>
    </w:p>
    <w:p>
      <w:pPr>
        <w:numPr>
          <w:ilvl w:val="0"/>
          <w:numId w:val="17"/>
        </w:numPr>
        <w:spacing w:after="80" w:line="300" w:lineRule="auto"/>
        <w:ind w:left="540" w:hanging="271"/>
      </w:pPr>
      <w:r>
        <w:rPr>
          <w:rFonts w:ascii="Calibri" w:hAnsi="Calibri"/>
          <w:color w:val="223548"/>
          <w:sz w:val="22"/>
        </w:rPr>
        <w:t>Selecciona el extracto bancario Excel compatible.</w:t>
      </w:r>
    </w:p>
    <w:p>
      <w:pPr>
        <w:numPr>
          <w:ilvl w:val="0"/>
          <w:numId w:val="17"/>
        </w:numPr>
        <w:spacing w:after="80" w:line="300" w:lineRule="auto"/>
        <w:ind w:left="540" w:hanging="271"/>
      </w:pPr>
      <w:r>
        <w:rPr>
          <w:rFonts w:ascii="Calibri" w:hAnsi="Calibri"/>
          <w:color w:val="223548"/>
          <w:sz w:val="22"/>
        </w:rPr>
        <w:t>Revisa fecha, concepto, importe, saldo y clasificación detectada.</w:t>
      </w:r>
    </w:p>
    <w:p>
      <w:pPr>
        <w:numPr>
          <w:ilvl w:val="0"/>
          <w:numId w:val="17"/>
        </w:numPr>
        <w:spacing w:after="80" w:line="300" w:lineRule="auto"/>
        <w:ind w:left="540" w:hanging="271"/>
      </w:pPr>
      <w:r>
        <w:rPr>
          <w:rFonts w:ascii="Calibri" w:hAnsi="Calibri"/>
          <w:color w:val="223548"/>
          <w:sz w:val="22"/>
        </w:rPr>
        <w:t>Confirma la incorporación desde la bandeja previa cuando se muestre.</w:t>
      </w:r>
    </w:p>
    <w:p>
      <w:pPr>
        <w:numPr>
          <w:ilvl w:val="0"/>
          <w:numId w:val="17"/>
        </w:numPr>
        <w:spacing w:after="80" w:line="300" w:lineRule="auto"/>
        <w:ind w:left="540" w:hanging="271"/>
      </w:pPr>
      <w:r>
        <w:rPr>
          <w:rFonts w:ascii="Calibri" w:hAnsi="Calibri"/>
          <w:color w:val="223548"/>
          <w:sz w:val="22"/>
        </w:rPr>
        <w:t xml:space="preserve">Ve a </w:t>
      </w:r>
      <w:r>
        <w:rPr>
          <w:rFonts w:ascii="Calibri" w:hAnsi="Calibri"/>
          <w:b/>
          <w:color w:val="223548"/>
          <w:sz w:val="22"/>
        </w:rPr>
        <w:t>Conciliación</w:t>
      </w:r>
      <w:r>
        <w:rPr>
          <w:rFonts w:ascii="Calibri" w:hAnsi="Calibri"/>
          <w:color w:val="223548"/>
          <w:sz w:val="22"/>
        </w:rPr>
        <w:t xml:space="preserve"> para resolver movimientos sin clasificar o diferencias.</w:t>
      </w:r>
    </w:p>
    <w:p>
      <w:r>
        <w:rPr>
          <w:rFonts w:ascii="Calibri" w:hAnsi="Calibri"/>
          <w:color w:val="223548"/>
          <w:sz w:val="22"/>
        </w:rPr>
        <w:t xml:space="preserve">La aplicación admite el formato de extracto con </w:t>
      </w:r>
      <w:r>
        <w:rPr>
          <w:rFonts w:ascii="Consolas" w:hAnsi="Consolas"/>
          <w:color w:val="1F4D78"/>
          <w:sz w:val="21"/>
        </w:rPr>
        <w:t>Fecha</w:t>
      </w:r>
      <w:r>
        <w:rPr>
          <w:rFonts w:ascii="Calibri" w:hAnsi="Calibri"/>
          <w:color w:val="223548"/>
          <w:sz w:val="22"/>
        </w:rPr>
        <w:t xml:space="preserve">, </w:t>
      </w:r>
      <w:r>
        <w:rPr>
          <w:rFonts w:ascii="Consolas" w:hAnsi="Consolas"/>
          <w:color w:val="1F4D78"/>
          <w:sz w:val="21"/>
        </w:rPr>
        <w:t>Fecha valor</w:t>
      </w:r>
      <w:r>
        <w:rPr>
          <w:rFonts w:ascii="Calibri" w:hAnsi="Calibri"/>
          <w:color w:val="223548"/>
          <w:sz w:val="22"/>
        </w:rPr>
        <w:t xml:space="preserve">, </w:t>
      </w:r>
      <w:r>
        <w:rPr>
          <w:rFonts w:ascii="Consolas" w:hAnsi="Consolas"/>
          <w:color w:val="1F4D78"/>
          <w:sz w:val="21"/>
        </w:rPr>
        <w:t>Movimiento</w:t>
      </w:r>
      <w:r>
        <w:rPr>
          <w:rFonts w:ascii="Calibri" w:hAnsi="Calibri"/>
          <w:color w:val="223548"/>
          <w:sz w:val="22"/>
        </w:rPr>
        <w:t xml:space="preserve">, </w:t>
      </w:r>
      <w:r>
        <w:rPr>
          <w:rFonts w:ascii="Consolas" w:hAnsi="Consolas"/>
          <w:color w:val="1F4D78"/>
          <w:sz w:val="21"/>
        </w:rPr>
        <w:t>Más datos</w:t>
      </w:r>
      <w:r>
        <w:rPr>
          <w:rFonts w:ascii="Calibri" w:hAnsi="Calibri"/>
          <w:color w:val="223548"/>
          <w:sz w:val="22"/>
        </w:rPr>
        <w:t xml:space="preserve">, </w:t>
      </w:r>
      <w:r>
        <w:rPr>
          <w:rFonts w:ascii="Consolas" w:hAnsi="Consolas"/>
          <w:color w:val="1F4D78"/>
          <w:sz w:val="21"/>
        </w:rPr>
        <w:t>Importe</w:t>
      </w:r>
      <w:r>
        <w:rPr>
          <w:rFonts w:ascii="Calibri" w:hAnsi="Calibri"/>
          <w:color w:val="223548"/>
          <w:sz w:val="22"/>
        </w:rPr>
        <w:t xml:space="preserve"> y </w:t>
      </w:r>
      <w:r>
        <w:rPr>
          <w:rFonts w:ascii="Consolas" w:hAnsi="Consolas"/>
          <w:color w:val="1F4D78"/>
          <w:sz w:val="21"/>
        </w:rPr>
        <w:t>Saldo</w:t>
      </w:r>
      <w:r>
        <w:rPr>
          <w:rFonts w:ascii="Calibri" w:hAnsi="Calibri"/>
          <w:color w:val="223548"/>
          <w:sz w:val="22"/>
        </w:rPr>
        <w:t>. La importación actualiza el último saldo real cuando puede identificarlo.</w:t>
      </w:r>
    </w:p>
    <w:p>
      <w:pPr>
        <w:pStyle w:val="Heading2"/>
      </w:pPr>
      <w:r>
        <w:t>5.5 Cargar CSV, Excel o tablas pegadas</w:t>
      </w:r>
    </w:p>
    <w:p>
      <w:r>
        <w:rPr>
          <w:rFonts w:ascii="Calibri" w:hAnsi="Calibri"/>
          <w:color w:val="223548"/>
          <w:sz w:val="22"/>
        </w:rPr>
        <w:t xml:space="preserve">En </w:t>
      </w:r>
      <w:r>
        <w:rPr>
          <w:rFonts w:ascii="Calibri" w:hAnsi="Calibri"/>
          <w:b/>
          <w:color w:val="223548"/>
          <w:sz w:val="22"/>
        </w:rPr>
        <w:t>Carga de datos</w:t>
      </w:r>
      <w:r>
        <w:rPr>
          <w:rFonts w:ascii="Calibri" w:hAnsi="Calibri"/>
          <w:color w:val="223548"/>
          <w:sz w:val="22"/>
        </w:rPr>
        <w:t xml:space="preserve"> puedes añadir una línea manual, pegar una tabla o importar un fichero.</w:t>
      </w:r>
    </w:p>
    <w:p>
      <w:pPr>
        <w:numPr>
          <w:ilvl w:val="0"/>
          <w:numId w:val="18"/>
        </w:numPr>
        <w:spacing w:after="80" w:line="300" w:lineRule="auto"/>
        <w:ind w:left="540" w:hanging="271"/>
      </w:pPr>
      <w:r>
        <w:rPr>
          <w:rFonts w:ascii="Calibri" w:hAnsi="Calibri"/>
          <w:color w:val="223548"/>
          <w:sz w:val="22"/>
        </w:rPr>
        <w:t xml:space="preserve">Mantén activa la </w:t>
      </w:r>
      <w:r>
        <w:rPr>
          <w:rFonts w:ascii="Calibri" w:hAnsi="Calibri"/>
          <w:b/>
          <w:color w:val="223548"/>
          <w:sz w:val="22"/>
        </w:rPr>
        <w:t>Bandeja</w:t>
      </w:r>
      <w:r>
        <w:rPr>
          <w:rFonts w:ascii="Calibri" w:hAnsi="Calibri"/>
          <w:color w:val="223548"/>
          <w:sz w:val="22"/>
        </w:rPr>
        <w:t>.</w:t>
      </w:r>
    </w:p>
    <w:p>
      <w:pPr>
        <w:numPr>
          <w:ilvl w:val="0"/>
          <w:numId w:val="18"/>
        </w:numPr>
        <w:spacing w:after="80" w:line="300" w:lineRule="auto"/>
        <w:ind w:left="540" w:hanging="271"/>
      </w:pPr>
      <w:r>
        <w:rPr>
          <w:rFonts w:ascii="Calibri" w:hAnsi="Calibri"/>
          <w:color w:val="223548"/>
          <w:sz w:val="22"/>
        </w:rPr>
        <w:t>Elige el tipo de dato y la fuente.</w:t>
      </w:r>
    </w:p>
    <w:p>
      <w:pPr>
        <w:numPr>
          <w:ilvl w:val="0"/>
          <w:numId w:val="18"/>
        </w:numPr>
        <w:spacing w:after="80" w:line="300" w:lineRule="auto"/>
        <w:ind w:left="540" w:hanging="271"/>
      </w:pPr>
      <w:r>
        <w:rPr>
          <w:rFonts w:ascii="Calibri" w:hAnsi="Calibri"/>
          <w:color w:val="223548"/>
          <w:sz w:val="22"/>
        </w:rPr>
        <w:t>Pega la tabla o selecciona el fichero.</w:t>
      </w:r>
    </w:p>
    <w:p>
      <w:pPr>
        <w:numPr>
          <w:ilvl w:val="0"/>
          <w:numId w:val="18"/>
        </w:numPr>
        <w:spacing w:after="80" w:line="300" w:lineRule="auto"/>
        <w:ind w:left="540" w:hanging="271"/>
      </w:pPr>
      <w:r>
        <w:rPr>
          <w:rFonts w:ascii="Calibri" w:hAnsi="Calibri"/>
          <w:color w:val="223548"/>
          <w:sz w:val="22"/>
        </w:rPr>
        <w:t>Revisa columnas detectadas, altas, cambios, duplicados, bajas y efecto mensual.</w:t>
      </w:r>
    </w:p>
    <w:p>
      <w:pPr>
        <w:numPr>
          <w:ilvl w:val="0"/>
          <w:numId w:val="18"/>
        </w:numPr>
        <w:spacing w:after="80" w:line="300" w:lineRule="auto"/>
        <w:ind w:left="540" w:hanging="271"/>
      </w:pPr>
      <w:r>
        <w:rPr>
          <w:rFonts w:ascii="Calibri" w:hAnsi="Calibri"/>
          <w:color w:val="223548"/>
          <w:sz w:val="22"/>
        </w:rPr>
        <w:t>Confirma solo si la comparación es correcta.</w:t>
      </w:r>
    </w:p>
    <w:p>
      <w:pPr>
        <w:numPr>
          <w:ilvl w:val="0"/>
          <w:numId w:val="18"/>
        </w:numPr>
        <w:spacing w:after="80" w:line="300" w:lineRule="auto"/>
        <w:ind w:left="540" w:hanging="271"/>
      </w:pPr>
      <w:r>
        <w:rPr>
          <w:rFonts w:ascii="Calibri" w:hAnsi="Calibri"/>
          <w:color w:val="223548"/>
          <w:sz w:val="22"/>
        </w:rPr>
        <w:t>Conserva el recibo de la actualización.</w:t>
      </w:r>
    </w:p>
    <w:p>
      <w:r>
        <w:rPr>
          <w:rFonts w:ascii="Calibri" w:hAnsi="Calibri"/>
          <w:color w:val="223548"/>
          <w:sz w:val="22"/>
        </w:rPr>
        <w:t xml:space="preserve">Nada entra en el libro desde la bandeja sin comparación y confirmación. </w:t>
      </w:r>
      <w:r>
        <w:rPr>
          <w:rFonts w:ascii="Calibri" w:hAnsi="Calibri"/>
          <w:b/>
          <w:color w:val="223548"/>
          <w:sz w:val="22"/>
        </w:rPr>
        <w:t>Deshacer último lote</w:t>
      </w:r>
      <w:r>
        <w:rPr>
          <w:rFonts w:ascii="Calibri" w:hAnsi="Calibri"/>
          <w:color w:val="223548"/>
          <w:sz w:val="22"/>
        </w:rPr>
        <w:t xml:space="preserve"> crea una revisión nueva; no borra el historial de la operación.</w:t>
      </w:r>
    </w:p>
    <w:p>
      <w:pPr>
        <w:pStyle w:val="Heading2"/>
      </w:pPr>
      <w:r>
        <w:t>5.6 Conciliar y cerrar el mes</w:t>
      </w:r>
    </w:p>
    <w:p>
      <w:pPr>
        <w:numPr>
          <w:ilvl w:val="0"/>
          <w:numId w:val="19"/>
        </w:numPr>
        <w:spacing w:after="80" w:line="300" w:lineRule="auto"/>
        <w:ind w:left="540" w:hanging="271"/>
      </w:pPr>
      <w:r>
        <w:rPr>
          <w:rFonts w:ascii="Calibri" w:hAnsi="Calibri"/>
          <w:color w:val="223548"/>
          <w:sz w:val="22"/>
        </w:rPr>
        <w:t xml:space="preserve">Abre </w:t>
      </w:r>
      <w:r>
        <w:rPr>
          <w:rFonts w:ascii="Calibri" w:hAnsi="Calibri"/>
          <w:b/>
          <w:color w:val="223548"/>
          <w:sz w:val="22"/>
        </w:rPr>
        <w:t>Conciliación</w:t>
      </w:r>
      <w:r>
        <w:rPr>
          <w:rFonts w:ascii="Calibri" w:hAnsi="Calibri"/>
          <w:color w:val="223548"/>
          <w:sz w:val="22"/>
        </w:rPr>
        <w:t>.</w:t>
      </w:r>
    </w:p>
    <w:p>
      <w:pPr>
        <w:numPr>
          <w:ilvl w:val="0"/>
          <w:numId w:val="19"/>
        </w:numPr>
        <w:spacing w:after="80" w:line="300" w:lineRule="auto"/>
        <w:ind w:left="540" w:hanging="271"/>
      </w:pPr>
      <w:r>
        <w:rPr>
          <w:rFonts w:ascii="Calibri" w:hAnsi="Calibri"/>
          <w:color w:val="223548"/>
          <w:sz w:val="22"/>
        </w:rPr>
        <w:t xml:space="preserve">Pulsa </w:t>
      </w:r>
      <w:r>
        <w:rPr>
          <w:rFonts w:ascii="Calibri" w:hAnsi="Calibri"/>
          <w:b/>
          <w:color w:val="223548"/>
          <w:sz w:val="22"/>
        </w:rPr>
        <w:t>Recalcular</w:t>
      </w:r>
      <w:r>
        <w:rPr>
          <w:rFonts w:ascii="Calibri" w:hAnsi="Calibri"/>
          <w:color w:val="223548"/>
          <w:sz w:val="22"/>
        </w:rPr>
        <w:t xml:space="preserve"> y revisa paridad, saldos e invariantes.</w:t>
      </w:r>
    </w:p>
    <w:p>
      <w:pPr>
        <w:numPr>
          <w:ilvl w:val="0"/>
          <w:numId w:val="19"/>
        </w:numPr>
        <w:spacing w:after="80" w:line="300" w:lineRule="auto"/>
        <w:ind w:left="540" w:hanging="271"/>
      </w:pPr>
      <w:r>
        <w:rPr>
          <w:rFonts w:ascii="Calibri" w:hAnsi="Calibri"/>
          <w:color w:val="223548"/>
          <w:sz w:val="22"/>
        </w:rPr>
        <w:t>Resuelve las tareas de movimientos sin clasificar, saldos discontinuos o reales incoherentes.</w:t>
      </w:r>
    </w:p>
    <w:p>
      <w:pPr>
        <w:numPr>
          <w:ilvl w:val="0"/>
          <w:numId w:val="19"/>
        </w:numPr>
        <w:spacing w:after="80" w:line="300" w:lineRule="auto"/>
        <w:ind w:left="540" w:hanging="271"/>
      </w:pPr>
      <w:r>
        <w:rPr>
          <w:rFonts w:ascii="Calibri" w:hAnsi="Calibri"/>
          <w:color w:val="223548"/>
          <w:sz w:val="22"/>
        </w:rPr>
        <w:t>Descarga la evidencia si necesitas conservar una copia del control.</w:t>
      </w:r>
    </w:p>
    <w:p>
      <w:pPr>
        <w:numPr>
          <w:ilvl w:val="0"/>
          <w:numId w:val="19"/>
        </w:numPr>
        <w:spacing w:after="80" w:line="300" w:lineRule="auto"/>
        <w:ind w:left="540" w:hanging="271"/>
      </w:pPr>
      <w:r>
        <w:rPr>
          <w:rFonts w:ascii="Calibri" w:hAnsi="Calibri"/>
          <w:color w:val="223548"/>
          <w:sz w:val="22"/>
        </w:rPr>
        <w:t xml:space="preserve">Pulsa </w:t>
      </w:r>
      <w:r>
        <w:rPr>
          <w:rFonts w:ascii="Calibri" w:hAnsi="Calibri"/>
          <w:b/>
          <w:color w:val="223548"/>
          <w:sz w:val="22"/>
        </w:rPr>
        <w:t>Cerrar mes actual</w:t>
      </w:r>
      <w:r>
        <w:rPr>
          <w:rFonts w:ascii="Calibri" w:hAnsi="Calibri"/>
          <w:color w:val="223548"/>
          <w:sz w:val="22"/>
        </w:rPr>
        <w:t xml:space="preserve"> únicamente cuando los datos reales estén completos.</w:t>
      </w:r>
    </w:p>
    <w:p>
      <w:pPr>
        <w:numPr>
          <w:ilvl w:val="0"/>
          <w:numId w:val="19"/>
        </w:numPr>
        <w:spacing w:after="80" w:line="300" w:lineRule="auto"/>
        <w:ind w:left="540" w:hanging="271"/>
      </w:pPr>
      <w:r>
        <w:rPr>
          <w:rFonts w:ascii="Calibri" w:hAnsi="Calibri"/>
          <w:color w:val="223548"/>
          <w:sz w:val="22"/>
        </w:rPr>
        <w:t>Revisa la vista previa y confirma.</w:t>
      </w:r>
    </w:p>
    <w:p>
      <w:r>
        <w:rPr>
          <w:rFonts w:ascii="Calibri" w:hAnsi="Calibri"/>
          <w:color w:val="223548"/>
          <w:sz w:val="22"/>
        </w:rPr>
        <w:t xml:space="preserve">Cerrar un mes congela sus reales, crea auditoría y arrastra al mes siguiente solo las previsiones que correspondan. </w:t>
      </w:r>
      <w:r>
        <w:rPr>
          <w:rFonts w:ascii="Calibri" w:hAnsi="Calibri"/>
          <w:b/>
          <w:color w:val="223548"/>
          <w:sz w:val="22"/>
        </w:rPr>
        <w:t>Reabrir último mes</w:t>
      </w:r>
      <w:r>
        <w:rPr>
          <w:rFonts w:ascii="Calibri" w:hAnsi="Calibri"/>
          <w:color w:val="223548"/>
          <w:sz w:val="22"/>
        </w:rPr>
        <w:t xml:space="preserve"> exige un motivo y crea una revisión nueva; no elimina el cierre previo.</w:t>
      </w:r>
    </w:p>
    <w:p>
      <w:pPr>
        <w:pStyle w:val="Heading1"/>
      </w:pPr>
      <w:r>
        <w:t>6. Previsión, proyección y ahorro</w:t>
      </w:r>
    </w:p>
    <w:p>
      <w:pPr>
        <w:pStyle w:val="Heading2"/>
      </w:pPr>
      <w:r>
        <w:t>Previsión mensual</w:t>
      </w:r>
    </w:p>
    <w:p>
      <w:r>
        <w:rPr>
          <w:rFonts w:ascii="Calibri" w:hAnsi="Calibri"/>
          <w:color w:val="223548"/>
          <w:sz w:val="22"/>
        </w:rPr>
        <w:t>Muestra la lectura mensual de ingresos, gastos, ahorro y saldos. Úsala para comprobar importes cercanos y detectar meses con caja insuficiente.</w:t>
      </w:r>
    </w:p>
    <w:p>
      <w:pPr>
        <w:pStyle w:val="Heading2"/>
      </w:pPr>
      <w:r>
        <w:t>Proyección de liquidez</w:t>
      </w:r>
    </w:p>
    <w:p>
      <w:r>
        <w:rPr>
          <w:rFonts w:ascii="Calibri" w:hAnsi="Calibri"/>
          <w:color w:val="223548"/>
          <w:sz w:val="22"/>
        </w:rPr>
        <w:t>Presenta la evolución futura de la liquidez. Consume el forecast canónico, por lo que comparte la misma base que las demás vistas. Si aparece un bloqueo de paridad, revisa los datos e invariantes antes de usar la proyección para decidir.</w:t>
      </w:r>
    </w:p>
    <w:p>
      <w:pPr>
        <w:pStyle w:val="Heading2"/>
      </w:pPr>
      <w:r>
        <w:t>Plan ahorro</w:t>
      </w:r>
    </w:p>
    <w:p>
      <w:r>
        <w:rPr>
          <w:rFonts w:ascii="Calibri" w:hAnsi="Calibri"/>
          <w:color w:val="223548"/>
          <w:sz w:val="22"/>
        </w:rPr>
        <w:t>Compara el ahorro actual, corriente y aconsejable. Los supuestos son ajustables y el horizonte lejano se muestra mediante bandas cuando no existe evidencia suficiente para una cifra exacta.</w:t>
      </w:r>
    </w:p>
    <w:p>
      <w:pPr>
        <w:pStyle w:val="Heading2"/>
      </w:pPr>
      <w:r>
        <w:t>Flujo mensual</w:t>
      </w:r>
    </w:p>
    <w:p>
      <w:r>
        <w:rPr>
          <w:rFonts w:ascii="Calibri" w:hAnsi="Calibri"/>
          <w:color w:val="223548"/>
          <w:sz w:val="22"/>
        </w:rPr>
        <w:t>Permite revisar el flujo de caja por años y meses y descargarlo como CSV. Es útil para análisis externo o para compartir una copia sin entregar acceso a toda la aplicación.</w:t>
      </w:r>
    </w:p>
    <w:p>
      <w:pPr>
        <w:pStyle w:val="Heading1"/>
      </w:pPr>
      <w:r>
        <w:t>7. Escenarios y simulaciones</w:t>
      </w:r>
    </w:p>
    <w:p>
      <w:pPr>
        <w:pStyle w:val="Heading2"/>
      </w:pPr>
      <w:r>
        <w:t>Laboratorio Deuda y proyectos</w:t>
      </w:r>
    </w:p>
    <w:p>
      <w:r>
        <w:rPr>
          <w:rFonts w:ascii="Calibri" w:hAnsi="Calibri"/>
          <w:color w:val="223548"/>
          <w:sz w:val="22"/>
        </w:rPr>
        <w:t>Permite comparar escenarios base, favorable y de tensión e introducir eventos como:</w:t>
      </w:r>
    </w:p>
    <w:p>
      <w:pPr>
        <w:numPr>
          <w:ilvl w:val="0"/>
          <w:numId w:val="20"/>
        </w:numPr>
        <w:spacing w:after="80" w:line="300" w:lineRule="auto"/>
        <w:ind w:left="540" w:hanging="271"/>
      </w:pPr>
      <w:r>
        <w:rPr>
          <w:rFonts w:ascii="Calibri" w:hAnsi="Calibri"/>
          <w:color w:val="223548"/>
          <w:sz w:val="22"/>
        </w:rPr>
        <w:t>pérdida temporal de ingresos;</w:t>
      </w:r>
    </w:p>
    <w:p>
      <w:pPr>
        <w:numPr>
          <w:ilvl w:val="0"/>
          <w:numId w:val="20"/>
        </w:numPr>
        <w:spacing w:after="80" w:line="300" w:lineRule="auto"/>
        <w:ind w:left="540" w:hanging="271"/>
      </w:pPr>
      <w:r>
        <w:rPr>
          <w:rFonts w:ascii="Calibri" w:hAnsi="Calibri"/>
          <w:color w:val="223548"/>
          <w:sz w:val="22"/>
        </w:rPr>
        <w:t>subida de gastos;</w:t>
      </w:r>
    </w:p>
    <w:p>
      <w:pPr>
        <w:numPr>
          <w:ilvl w:val="0"/>
          <w:numId w:val="20"/>
        </w:numPr>
        <w:spacing w:after="80" w:line="300" w:lineRule="auto"/>
        <w:ind w:left="540" w:hanging="271"/>
      </w:pPr>
      <w:r>
        <w:rPr>
          <w:rFonts w:ascii="Calibri" w:hAnsi="Calibri"/>
          <w:color w:val="223548"/>
          <w:sz w:val="22"/>
        </w:rPr>
        <w:t>avería o gasto extraordinario;</w:t>
      </w:r>
    </w:p>
    <w:p>
      <w:pPr>
        <w:numPr>
          <w:ilvl w:val="0"/>
          <w:numId w:val="20"/>
        </w:numPr>
        <w:spacing w:after="80" w:line="300" w:lineRule="auto"/>
        <w:ind w:left="540" w:hanging="271"/>
      </w:pPr>
      <w:r>
        <w:rPr>
          <w:rFonts w:ascii="Calibri" w:hAnsi="Calibri"/>
          <w:color w:val="223548"/>
          <w:sz w:val="22"/>
        </w:rPr>
        <w:t>coche o mudanza;</w:t>
      </w:r>
    </w:p>
    <w:p>
      <w:pPr>
        <w:numPr>
          <w:ilvl w:val="0"/>
          <w:numId w:val="20"/>
        </w:numPr>
        <w:spacing w:after="80" w:line="300" w:lineRule="auto"/>
        <w:ind w:left="540" w:hanging="271"/>
      </w:pPr>
      <w:r>
        <w:rPr>
          <w:rFonts w:ascii="Calibri" w:hAnsi="Calibri"/>
          <w:color w:val="223548"/>
          <w:sz w:val="22"/>
        </w:rPr>
        <w:t>nueva deuda;</w:t>
      </w:r>
    </w:p>
    <w:p>
      <w:pPr>
        <w:numPr>
          <w:ilvl w:val="0"/>
          <w:numId w:val="20"/>
        </w:numPr>
        <w:spacing w:after="80" w:line="300" w:lineRule="auto"/>
        <w:ind w:left="540" w:hanging="271"/>
      </w:pPr>
      <w:r>
        <w:rPr>
          <w:rFonts w:ascii="Calibri" w:hAnsi="Calibri"/>
          <w:color w:val="223548"/>
          <w:sz w:val="22"/>
        </w:rPr>
        <w:t>ingreso extraordinario.</w:t>
      </w:r>
    </w:p>
    <w:p>
      <w:r>
        <w:rPr>
          <w:rFonts w:ascii="Calibri" w:hAnsi="Calibri"/>
          <w:color w:val="223548"/>
          <w:sz w:val="22"/>
        </w:rPr>
        <w:t>Indica importe, fecha y duración. Compara caja mínima, meses negativos, ahorro, deuda y tiempo de recuperación. La simulación prudente puede mostrar percentiles, tamaño de muestra y reglas de correlación.</w:t>
      </w:r>
    </w:p>
    <w:p>
      <w:r>
        <w:rPr>
          <w:rFonts w:ascii="Calibri" w:hAnsi="Calibri"/>
          <w:color w:val="223548"/>
          <w:sz w:val="22"/>
        </w:rPr>
        <w:t>Puedes guardar un escenario y recalcular una copia con datos nuevos. El original se conserva.</w:t>
      </w:r>
    </w:p>
    <w:p>
      <w:pPr>
        <w:spacing w:before="120" w:after="160"/>
        <w:ind w:left="115" w:right="115"/>
        <w:shd w:fill="F4F6F9"/>
        <w:pBdr>
          <w:top w:val="single" w:sz="6" w:space="5" w:color="B9C7D3"/>
          <w:left w:val="single" w:sz="6" w:space="5" w:color="B9C7D3"/>
          <w:bottom w:val="single" w:sz="6" w:space="5" w:color="B9C7D3"/>
          <w:right w:val="single" w:sz="6" w:space="5" w:color="B9C7D3"/>
        </w:pBdr>
      </w:pPr>
      <w:r>
        <w:rPr>
          <w:rFonts w:ascii="Calibri" w:hAnsi="Calibri"/>
          <w:b/>
          <w:color w:val="1F4D78"/>
          <w:sz w:val="21"/>
        </w:rPr>
        <w:t>Importante:</w:t>
      </w:r>
      <w:r>
        <w:rPr>
          <w:rFonts w:ascii="Calibri" w:hAnsi="Calibri"/>
          <w:color w:val="1F4D78"/>
          <w:sz w:val="21"/>
        </w:rPr>
        <w:t xml:space="preserve"> simular o guardar un escenario no modifica el plan financiero vigente. La promoción confirmada de un escenario al plan todavía no está disponible.</w:t>
      </w:r>
    </w:p>
    <w:p>
      <w:pPr>
        <w:pStyle w:val="Heading2"/>
      </w:pPr>
      <w:r>
        <w:t>Simulador de decisiones</w:t>
      </w:r>
    </w:p>
    <w:p>
      <w:r>
        <w:rPr>
          <w:rFonts w:ascii="Calibri" w:hAnsi="Calibri"/>
          <w:color w:val="223548"/>
          <w:sz w:val="22"/>
        </w:rPr>
        <w:t xml:space="preserve">Ofrece variantes </w:t>
      </w:r>
      <w:r>
        <w:rPr>
          <w:rFonts w:ascii="Consolas" w:hAnsi="Consolas"/>
          <w:color w:val="1F4D78"/>
          <w:sz w:val="21"/>
        </w:rPr>
        <w:t>Base</w:t>
      </w:r>
      <w:r>
        <w:rPr>
          <w:rFonts w:ascii="Calibri" w:hAnsi="Calibri"/>
          <w:color w:val="223548"/>
          <w:sz w:val="22"/>
        </w:rPr>
        <w:t xml:space="preserve">, </w:t>
      </w:r>
      <w:r>
        <w:rPr>
          <w:rFonts w:ascii="Consolas" w:hAnsi="Consolas"/>
          <w:color w:val="1F4D78"/>
          <w:sz w:val="21"/>
        </w:rPr>
        <w:t>Prudente</w:t>
      </w:r>
      <w:r>
        <w:rPr>
          <w:rFonts w:ascii="Calibri" w:hAnsi="Calibri"/>
          <w:color w:val="223548"/>
          <w:sz w:val="22"/>
        </w:rPr>
        <w:t xml:space="preserve"> y </w:t>
      </w:r>
      <w:r>
        <w:rPr>
          <w:rFonts w:ascii="Consolas" w:hAnsi="Consolas"/>
          <w:color w:val="1F4D78"/>
          <w:sz w:val="21"/>
        </w:rPr>
        <w:t>Ahorro alto</w:t>
      </w:r>
      <w:r>
        <w:rPr>
          <w:rFonts w:ascii="Calibri" w:hAnsi="Calibri"/>
          <w:color w:val="223548"/>
          <w:sz w:val="22"/>
        </w:rPr>
        <w:t xml:space="preserve">, además de proyectos e imprevistos. Utiliza </w:t>
      </w:r>
      <w:r>
        <w:rPr>
          <w:rFonts w:ascii="Calibri" w:hAnsi="Calibri"/>
          <w:b/>
          <w:color w:val="223548"/>
          <w:sz w:val="22"/>
        </w:rPr>
        <w:t>Comparar plan</w:t>
      </w:r>
      <w:r>
        <w:rPr>
          <w:rFonts w:ascii="Calibri" w:hAnsi="Calibri"/>
          <w:color w:val="223548"/>
          <w:sz w:val="22"/>
        </w:rPr>
        <w:t xml:space="preserve"> para revisar el efecto antes de tomar una decisión.</w:t>
      </w:r>
    </w:p>
    <w:p>
      <w:pPr>
        <w:pStyle w:val="Heading1"/>
      </w:pPr>
      <w:r>
        <w:t>8. Deuda y decisiones familiares</w:t>
      </w:r>
    </w:p>
    <w:p>
      <w:pPr>
        <w:pStyle w:val="Heading2"/>
      </w:pPr>
      <w:r>
        <w:t>Plan familiar</w:t>
      </w:r>
    </w:p>
    <w:p>
      <w:r>
        <w:rPr>
          <w:rFonts w:ascii="Calibri" w:hAnsi="Calibri"/>
          <w:color w:val="223548"/>
          <w:sz w:val="22"/>
        </w:rPr>
        <w:t xml:space="preserve">Reúne deuda, coche y estabilidad. Muestra alternativas familiares, impacto mensual por cuenta y una explicación de la ruta recomendada. </w:t>
      </w:r>
      <w:r>
        <w:rPr>
          <w:rFonts w:ascii="Calibri" w:hAnsi="Calibri"/>
          <w:b/>
          <w:color w:val="223548"/>
          <w:sz w:val="22"/>
        </w:rPr>
        <w:t>Restablecer</w:t>
      </w:r>
      <w:r>
        <w:rPr>
          <w:rFonts w:ascii="Calibri" w:hAnsi="Calibri"/>
          <w:color w:val="223548"/>
          <w:sz w:val="22"/>
        </w:rPr>
        <w:t xml:space="preserve"> devuelve los supuestos de esa vista a su punto inicial.</w:t>
      </w:r>
    </w:p>
    <w:p>
      <w:pPr>
        <w:pStyle w:val="Heading2"/>
      </w:pPr>
      <w:r>
        <w:t>Control de deuda</w:t>
      </w:r>
    </w:p>
    <w:p>
      <w:r>
        <w:rPr>
          <w:rFonts w:ascii="Calibri" w:hAnsi="Calibri"/>
          <w:color w:val="223548"/>
          <w:sz w:val="22"/>
        </w:rPr>
        <w:t xml:space="preserve">Muestra deuda por entidad y producto y permite comparar liquidación o refinanciación. Primero utiliza </w:t>
      </w:r>
      <w:r>
        <w:rPr>
          <w:rFonts w:ascii="Calibri" w:hAnsi="Calibri"/>
          <w:b/>
          <w:color w:val="223548"/>
          <w:sz w:val="22"/>
        </w:rPr>
        <w:t>Comparar decisión</w:t>
      </w:r>
      <w:r>
        <w:rPr>
          <w:rFonts w:ascii="Calibri" w:hAnsi="Calibri"/>
          <w:color w:val="223548"/>
          <w:sz w:val="22"/>
        </w:rPr>
        <w:t>; una comparación no aplica por sí sola ningún cambio.</w:t>
      </w:r>
    </w:p>
    <w:p>
      <w:pPr>
        <w:pStyle w:val="Heading2"/>
      </w:pPr>
      <w:r>
        <w:t>Plan visual de deuda</w:t>
      </w:r>
    </w:p>
    <w:p>
      <w:r>
        <w:rPr>
          <w:rFonts w:ascii="Calibri" w:hAnsi="Calibri"/>
          <w:color w:val="223548"/>
          <w:sz w:val="22"/>
        </w:rPr>
        <w:t>El plan visual recibe en modo de solo lectura los saldos, contratos, capacidad y forecast canónicos. Puedes trabajar con sus tareas, notas y supuestos propios, que sí forman parte de las copias versionadas.</w:t>
      </w:r>
    </w:p>
    <w:p>
      <w:r>
        <w:rPr>
          <w:rFonts w:ascii="Calibri" w:hAnsi="Calibri"/>
          <w:color w:val="223548"/>
          <w:sz w:val="22"/>
        </w:rPr>
        <w:t>Actualmente no debes utilizar el plan visual para aplicar automáticamente una oferta o estrategia al plan financiero. Ofertas, optimización con restricciones, integración completa con escenarios y aplicación confirmada corresponden a E14b.</w:t>
      </w:r>
    </w:p>
    <w:p>
      <w:pPr>
        <w:pStyle w:val="Heading2"/>
      </w:pPr>
      <w:r>
        <w:t>Vistas de apoyo</w:t>
      </w:r>
    </w:p>
    <w:p>
      <w:pPr>
        <w:numPr>
          <w:ilvl w:val="0"/>
          <w:numId w:val="21"/>
        </w:numPr>
        <w:spacing w:after="80" w:line="300" w:lineRule="auto"/>
        <w:ind w:left="540" w:hanging="271"/>
      </w:pPr>
      <w:r>
        <w:rPr>
          <w:rFonts w:ascii="Calibri" w:hAnsi="Calibri"/>
          <w:b/>
          <w:color w:val="223548"/>
          <w:sz w:val="22"/>
        </w:rPr>
        <w:t>Asesor ejecutivo:</w:t>
      </w:r>
      <w:r>
        <w:rPr>
          <w:rFonts w:ascii="Calibri" w:hAnsi="Calibri"/>
          <w:color w:val="223548"/>
          <w:sz w:val="22"/>
        </w:rPr>
        <w:t xml:space="preserve"> ordena decisiones inmediatas y presenta la agenda ejecutiva.</w:t>
      </w:r>
    </w:p>
    <w:p>
      <w:pPr>
        <w:numPr>
          <w:ilvl w:val="0"/>
          <w:numId w:val="21"/>
        </w:numPr>
        <w:spacing w:after="80" w:line="300" w:lineRule="auto"/>
        <w:ind w:left="540" w:hanging="271"/>
      </w:pPr>
      <w:r>
        <w:rPr>
          <w:rFonts w:ascii="Calibri" w:hAnsi="Calibri"/>
          <w:b/>
          <w:color w:val="223548"/>
          <w:sz w:val="22"/>
        </w:rPr>
        <w:t>Asesor virtual:</w:t>
      </w:r>
      <w:r>
        <w:rPr>
          <w:rFonts w:ascii="Calibri" w:hAnsi="Calibri"/>
          <w:color w:val="223548"/>
          <w:sz w:val="22"/>
        </w:rPr>
        <w:t xml:space="preserve"> reúne decisiones preparadas para comparar; no ejecuta servicios externos de IA.</w:t>
      </w:r>
    </w:p>
    <w:p>
      <w:pPr>
        <w:numPr>
          <w:ilvl w:val="0"/>
          <w:numId w:val="21"/>
        </w:numPr>
        <w:spacing w:after="80" w:line="300" w:lineRule="auto"/>
        <w:ind w:left="540" w:hanging="271"/>
      </w:pPr>
      <w:r>
        <w:rPr>
          <w:rFonts w:ascii="Calibri" w:hAnsi="Calibri"/>
          <w:b/>
          <w:color w:val="223548"/>
          <w:sz w:val="22"/>
        </w:rPr>
        <w:t>Plan deuda óptimo:</w:t>
      </w:r>
      <w:r>
        <w:rPr>
          <w:rFonts w:ascii="Calibri" w:hAnsi="Calibri"/>
          <w:color w:val="223548"/>
          <w:sz w:val="22"/>
        </w:rPr>
        <w:t xml:space="preserve"> muestra una ruta propuesta para salir de deuda sin perder estabilidad.</w:t>
      </w:r>
    </w:p>
    <w:p>
      <w:pPr>
        <w:numPr>
          <w:ilvl w:val="0"/>
          <w:numId w:val="21"/>
        </w:numPr>
        <w:spacing w:after="80" w:line="300" w:lineRule="auto"/>
        <w:ind w:left="540" w:hanging="271"/>
      </w:pPr>
      <w:r>
        <w:rPr>
          <w:rFonts w:ascii="Calibri" w:hAnsi="Calibri"/>
          <w:b/>
          <w:color w:val="223548"/>
          <w:sz w:val="22"/>
        </w:rPr>
        <w:t>Agente ahorro:</w:t>
      </w:r>
      <w:r>
        <w:rPr>
          <w:rFonts w:ascii="Calibri" w:hAnsi="Calibri"/>
          <w:color w:val="223548"/>
          <w:sz w:val="22"/>
        </w:rPr>
        <w:t xml:space="preserve"> combina agenda de caja, reglas de ahorro y candidatas de liquidación.</w:t>
      </w:r>
    </w:p>
    <w:p>
      <w:r>
        <w:rPr>
          <w:rFonts w:ascii="Calibri" w:hAnsi="Calibri"/>
          <w:color w:val="223548"/>
          <w:sz w:val="22"/>
        </w:rPr>
        <w:t>Las recomendaciones son apoyo a la decisión. Los efectos legales y fiscales son informativos y deben contrastarse con un profesional cuando una operación tenga consecuencias jurídicas o tributarias.</w:t>
      </w:r>
    </w:p>
    <w:p>
      <w:pPr>
        <w:pStyle w:val="Heading1"/>
      </w:pPr>
      <w:r>
        <w:t>9. Alertas, calidad y auditoría</w:t>
      </w:r>
    </w:p>
    <w:p>
      <w:pPr>
        <w:pStyle w:val="Heading2"/>
      </w:pPr>
      <w:r>
        <w:t>Centro de alertas</w:t>
      </w:r>
    </w:p>
    <w:p>
      <w:r>
        <w:rPr>
          <w:rFonts w:ascii="Calibri" w:hAnsi="Calibri"/>
          <w:color w:val="223548"/>
          <w:sz w:val="22"/>
        </w:rPr>
        <w:t>Permite crear, editar, pausar, reactivar y eliminar reglas con umbral, frecuencia y acción recomendada. Las alertas locales funcionan sin activar servicios externos. Web push continúa desactivado.</w:t>
      </w:r>
    </w:p>
    <w:p>
      <w:pPr>
        <w:pStyle w:val="Heading2"/>
      </w:pPr>
      <w:r>
        <w:t>Datos y auditoría</w:t>
      </w:r>
    </w:p>
    <w:p>
      <w:r>
        <w:rPr>
          <w:rFonts w:ascii="Calibri" w:hAnsi="Calibri"/>
          <w:color w:val="223548"/>
          <w:sz w:val="22"/>
        </w:rPr>
        <w:t>Utiliza esta pantalla para consultar:</w:t>
      </w:r>
    </w:p>
    <w:p>
      <w:pPr>
        <w:numPr>
          <w:ilvl w:val="0"/>
          <w:numId w:val="22"/>
        </w:numPr>
        <w:spacing w:after="80" w:line="300" w:lineRule="auto"/>
        <w:ind w:left="540" w:hanging="271"/>
      </w:pPr>
      <w:r>
        <w:rPr>
          <w:rFonts w:ascii="Calibri" w:hAnsi="Calibri"/>
          <w:color w:val="223548"/>
          <w:sz w:val="22"/>
        </w:rPr>
        <w:t>procedencia y certeza de los datos;</w:t>
      </w:r>
    </w:p>
    <w:p>
      <w:pPr>
        <w:numPr>
          <w:ilvl w:val="0"/>
          <w:numId w:val="22"/>
        </w:numPr>
        <w:spacing w:after="80" w:line="300" w:lineRule="auto"/>
        <w:ind w:left="540" w:hanging="271"/>
      </w:pPr>
      <w:r>
        <w:rPr>
          <w:rFonts w:ascii="Calibri" w:hAnsi="Calibri"/>
          <w:color w:val="223548"/>
          <w:sz w:val="22"/>
        </w:rPr>
        <w:t>campos conocidos y desconocidos de deuda;</w:t>
      </w:r>
    </w:p>
    <w:p>
      <w:pPr>
        <w:numPr>
          <w:ilvl w:val="0"/>
          <w:numId w:val="22"/>
        </w:numPr>
        <w:spacing w:after="80" w:line="300" w:lineRule="auto"/>
        <w:ind w:left="540" w:hanging="271"/>
      </w:pPr>
      <w:r>
        <w:rPr>
          <w:rFonts w:ascii="Calibri" w:hAnsi="Calibri"/>
          <w:color w:val="223548"/>
          <w:sz w:val="22"/>
        </w:rPr>
        <w:t>movimientos sin clasificar y saldos discontinuos;</w:t>
      </w:r>
    </w:p>
    <w:p>
      <w:pPr>
        <w:numPr>
          <w:ilvl w:val="0"/>
          <w:numId w:val="22"/>
        </w:numPr>
        <w:spacing w:after="80" w:line="300" w:lineRule="auto"/>
        <w:ind w:left="540" w:hanging="271"/>
      </w:pPr>
      <w:r>
        <w:rPr>
          <w:rFonts w:ascii="Calibri" w:hAnsi="Calibri"/>
          <w:color w:val="223548"/>
          <w:sz w:val="22"/>
        </w:rPr>
        <w:t>historial de sincronizaciones, cierres, restauraciones y conflictos;</w:t>
      </w:r>
    </w:p>
    <w:p>
      <w:pPr>
        <w:numPr>
          <w:ilvl w:val="0"/>
          <w:numId w:val="22"/>
        </w:numPr>
        <w:spacing w:after="80" w:line="300" w:lineRule="auto"/>
        <w:ind w:left="540" w:hanging="271"/>
      </w:pPr>
      <w:r>
        <w:rPr>
          <w:rFonts w:ascii="Calibri" w:hAnsi="Calibri"/>
          <w:color w:val="223548"/>
          <w:sz w:val="22"/>
        </w:rPr>
        <w:t>controles automáticos y rendimiento.</w:t>
      </w:r>
    </w:p>
    <w:p>
      <w:r>
        <w:rPr>
          <w:rFonts w:ascii="Calibri" w:hAnsi="Calibri"/>
          <w:b/>
          <w:color w:val="223548"/>
          <w:sz w:val="22"/>
        </w:rPr>
        <w:t>Reconstruir índice</w:t>
      </w:r>
      <w:r>
        <w:rPr>
          <w:rFonts w:ascii="Calibri" w:hAnsi="Calibri"/>
          <w:color w:val="223548"/>
          <w:sz w:val="22"/>
        </w:rPr>
        <w:t xml:space="preserve"> rehace el índice de consulta; </w:t>
      </w:r>
      <w:r>
        <w:rPr>
          <w:rFonts w:ascii="Calibri" w:hAnsi="Calibri"/>
          <w:b/>
          <w:color w:val="223548"/>
          <w:sz w:val="22"/>
        </w:rPr>
        <w:t>Descargar inventario</w:t>
      </w:r>
      <w:r>
        <w:rPr>
          <w:rFonts w:ascii="Calibri" w:hAnsi="Calibri"/>
          <w:color w:val="223548"/>
          <w:sz w:val="22"/>
        </w:rPr>
        <w:t xml:space="preserve"> genera una evidencia del estado conocido. Ninguna de estas acciones corrige automáticamente cifras financieras.</w:t>
      </w:r>
    </w:p>
    <w:p>
      <w:pPr>
        <w:pStyle w:val="Heading1"/>
      </w:pPr>
      <w:r>
        <w:t>10. Copias, restauración y recuperación</w:t>
      </w:r>
    </w:p>
    <w:p>
      <w:pPr>
        <w:pStyle w:val="Heading2"/>
      </w:pPr>
      <w:r>
        <w:t>Descargar una copia completa</w:t>
      </w:r>
    </w:p>
    <w:p>
      <w:pPr>
        <w:numPr>
          <w:ilvl w:val="0"/>
          <w:numId w:val="23"/>
        </w:numPr>
        <w:spacing w:after="80" w:line="300" w:lineRule="auto"/>
        <w:ind w:left="540" w:hanging="271"/>
      </w:pPr>
      <w:r>
        <w:rPr>
          <w:rFonts w:ascii="Calibri" w:hAnsi="Calibri"/>
          <w:color w:val="223548"/>
          <w:sz w:val="22"/>
        </w:rPr>
        <w:t xml:space="preserve">Abre </w:t>
      </w:r>
      <w:r>
        <w:rPr>
          <w:rFonts w:ascii="Calibri" w:hAnsi="Calibri"/>
          <w:b/>
          <w:color w:val="223548"/>
          <w:sz w:val="22"/>
        </w:rPr>
        <w:t>Carga de datos</w:t>
      </w:r>
      <w:r>
        <w:rPr>
          <w:rFonts w:ascii="Calibri" w:hAnsi="Calibri"/>
          <w:color w:val="223548"/>
          <w:sz w:val="22"/>
        </w:rPr>
        <w:t>.</w:t>
      </w:r>
    </w:p>
    <w:p>
      <w:pPr>
        <w:numPr>
          <w:ilvl w:val="0"/>
          <w:numId w:val="23"/>
        </w:numPr>
        <w:spacing w:after="80" w:line="300" w:lineRule="auto"/>
        <w:ind w:left="540" w:hanging="271"/>
      </w:pPr>
      <w:r>
        <w:rPr>
          <w:rFonts w:ascii="Calibri" w:hAnsi="Calibri"/>
          <w:color w:val="223548"/>
          <w:sz w:val="22"/>
        </w:rPr>
        <w:t xml:space="preserve">Pulsa </w:t>
      </w:r>
      <w:r>
        <w:rPr>
          <w:rFonts w:ascii="Calibri" w:hAnsi="Calibri"/>
          <w:b/>
          <w:color w:val="223548"/>
          <w:sz w:val="22"/>
        </w:rPr>
        <w:t>Descargar copia completa</w:t>
      </w:r>
      <w:r>
        <w:rPr>
          <w:rFonts w:ascii="Calibri" w:hAnsi="Calibri"/>
          <w:color w:val="223548"/>
          <w:sz w:val="22"/>
        </w:rPr>
        <w:t>.</w:t>
      </w:r>
    </w:p>
    <w:p>
      <w:pPr>
        <w:numPr>
          <w:ilvl w:val="0"/>
          <w:numId w:val="23"/>
        </w:numPr>
        <w:spacing w:after="80" w:line="300" w:lineRule="auto"/>
        <w:ind w:left="540" w:hanging="271"/>
      </w:pPr>
      <w:r>
        <w:rPr>
          <w:rFonts w:ascii="Calibri" w:hAnsi="Calibri"/>
          <w:color w:val="223548"/>
          <w:sz w:val="22"/>
        </w:rPr>
        <w:t>Guarda el fichero en una ubicación privada.</w:t>
      </w:r>
    </w:p>
    <w:p>
      <w:r>
        <w:rPr>
          <w:rFonts w:ascii="Calibri" w:hAnsi="Calibri"/>
          <w:color w:val="223548"/>
          <w:sz w:val="22"/>
        </w:rPr>
        <w:t>La copia incluye una versión y una huella de integridad. Trátala como información financiera sensible.</w:t>
      </w:r>
    </w:p>
    <w:p>
      <w:pPr>
        <w:pStyle w:val="Heading2"/>
      </w:pPr>
      <w:r>
        <w:t>Recuperar una versión de Supabase</w:t>
      </w:r>
    </w:p>
    <w:p>
      <w:pPr>
        <w:numPr>
          <w:ilvl w:val="0"/>
          <w:numId w:val="24"/>
        </w:numPr>
        <w:spacing w:after="80" w:line="300" w:lineRule="auto"/>
        <w:ind w:left="540" w:hanging="271"/>
      </w:pPr>
      <w:r>
        <w:rPr>
          <w:rFonts w:ascii="Calibri" w:hAnsi="Calibri"/>
          <w:color w:val="223548"/>
          <w:sz w:val="22"/>
        </w:rPr>
        <w:t xml:space="preserve">Pulsa </w:t>
      </w:r>
      <w:r>
        <w:rPr>
          <w:rFonts w:ascii="Calibri" w:hAnsi="Calibri"/>
          <w:b/>
          <w:color w:val="223548"/>
          <w:sz w:val="22"/>
        </w:rPr>
        <w:t>Buscar versiones en Supabase</w:t>
      </w:r>
      <w:r>
        <w:rPr>
          <w:rFonts w:ascii="Calibri" w:hAnsi="Calibri"/>
          <w:color w:val="223548"/>
          <w:sz w:val="22"/>
        </w:rPr>
        <w:t>.</w:t>
      </w:r>
    </w:p>
    <w:p>
      <w:pPr>
        <w:numPr>
          <w:ilvl w:val="0"/>
          <w:numId w:val="24"/>
        </w:numPr>
        <w:spacing w:after="80" w:line="300" w:lineRule="auto"/>
        <w:ind w:left="540" w:hanging="271"/>
      </w:pPr>
      <w:r>
        <w:rPr>
          <w:rFonts w:ascii="Calibri" w:hAnsi="Calibri"/>
          <w:color w:val="223548"/>
          <w:sz w:val="22"/>
        </w:rPr>
        <w:t xml:space="preserve">Selecciona una versión y pulsa </w:t>
      </w:r>
      <w:r>
        <w:rPr>
          <w:rFonts w:ascii="Calibri" w:hAnsi="Calibri"/>
          <w:b/>
          <w:color w:val="223548"/>
          <w:sz w:val="22"/>
        </w:rPr>
        <w:t>Previsualizar versión</w:t>
      </w:r>
      <w:r>
        <w:rPr>
          <w:rFonts w:ascii="Calibri" w:hAnsi="Calibri"/>
          <w:color w:val="223548"/>
          <w:sz w:val="22"/>
        </w:rPr>
        <w:t>.</w:t>
      </w:r>
    </w:p>
    <w:p>
      <w:pPr>
        <w:numPr>
          <w:ilvl w:val="0"/>
          <w:numId w:val="24"/>
        </w:numPr>
        <w:spacing w:after="80" w:line="300" w:lineRule="auto"/>
        <w:ind w:left="540" w:hanging="271"/>
      </w:pPr>
      <w:r>
        <w:rPr>
          <w:rFonts w:ascii="Calibri" w:hAnsi="Calibri"/>
          <w:color w:val="223548"/>
          <w:sz w:val="22"/>
        </w:rPr>
        <w:t>Compara cuentas, movimientos, deuda, proyectos y ajustes.</w:t>
      </w:r>
    </w:p>
    <w:p>
      <w:pPr>
        <w:numPr>
          <w:ilvl w:val="0"/>
          <w:numId w:val="24"/>
        </w:numPr>
        <w:spacing w:after="80" w:line="300" w:lineRule="auto"/>
        <w:ind w:left="540" w:hanging="271"/>
      </w:pPr>
      <w:r>
        <w:rPr>
          <w:rFonts w:ascii="Calibri" w:hAnsi="Calibri"/>
          <w:color w:val="223548"/>
          <w:sz w:val="22"/>
        </w:rPr>
        <w:t>Confirma solo si la versión elegida es la correcta.</w:t>
      </w:r>
    </w:p>
    <w:p>
      <w:r>
        <w:rPr>
          <w:rFonts w:ascii="Calibri" w:hAnsi="Calibri"/>
          <w:color w:val="223548"/>
          <w:sz w:val="22"/>
        </w:rPr>
        <w:t>Restaurar no borra el historial: crea una revisión nueva idéntica al objetivo y actualiza el puntero activo. Si existe un conflicto entre sesiones, descarga primero la copia que no quieras perder.</w:t>
      </w:r>
    </w:p>
    <w:p>
      <w:pPr>
        <w:pStyle w:val="Heading2"/>
      </w:pPr>
      <w:r>
        <w:t>Verificar copias</w:t>
      </w:r>
    </w:p>
    <w:p>
      <w:r>
        <w:rPr>
          <w:rFonts w:ascii="Calibri" w:hAnsi="Calibri"/>
          <w:b/>
          <w:color w:val="223548"/>
          <w:sz w:val="22"/>
        </w:rPr>
        <w:t>Verificar copias</w:t>
      </w:r>
      <w:r>
        <w:rPr>
          <w:rFonts w:ascii="Calibri" w:hAnsi="Calibri"/>
          <w:color w:val="223548"/>
          <w:sz w:val="22"/>
        </w:rPr>
        <w:t xml:space="preserve"> comprueba huellas y ensaya una muestra restaurable. La política protege revisiones recientes, cierres, reaperturas, importaciones, deshacer y restauraciones. No elimina copias automáticamente.</w:t>
      </w:r>
    </w:p>
    <w:p>
      <w:pPr>
        <w:pStyle w:val="Heading1"/>
      </w:pPr>
      <w:r>
        <w:t>11. Trabajo sin conexión y entre dispositivos</w:t>
      </w:r>
    </w:p>
    <w:p>
      <w:pPr>
        <w:numPr>
          <w:ilvl w:val="0"/>
          <w:numId w:val="25"/>
        </w:numPr>
        <w:spacing w:after="80" w:line="300" w:lineRule="auto"/>
        <w:ind w:left="540" w:hanging="271"/>
      </w:pPr>
      <w:r>
        <w:rPr>
          <w:rFonts w:ascii="Calibri" w:hAnsi="Calibri"/>
          <w:color w:val="223548"/>
          <w:sz w:val="22"/>
        </w:rPr>
        <w:t>Después de una primera visita, el shell puede abrir sin conexión.</w:t>
      </w:r>
    </w:p>
    <w:p>
      <w:pPr>
        <w:numPr>
          <w:ilvl w:val="0"/>
          <w:numId w:val="25"/>
        </w:numPr>
        <w:spacing w:after="80" w:line="300" w:lineRule="auto"/>
        <w:ind w:left="540" w:hanging="271"/>
      </w:pPr>
      <w:r>
        <w:rPr>
          <w:rFonts w:ascii="Calibri" w:hAnsi="Calibri"/>
          <w:color w:val="223548"/>
          <w:sz w:val="22"/>
        </w:rPr>
        <w:t>Los cambios se conservan localmente y la cola pendiente sobrevive al cierre del navegador.</w:t>
      </w:r>
    </w:p>
    <w:p>
      <w:pPr>
        <w:numPr>
          <w:ilvl w:val="0"/>
          <w:numId w:val="25"/>
        </w:numPr>
        <w:spacing w:after="80" w:line="300" w:lineRule="auto"/>
        <w:ind w:left="540" w:hanging="271"/>
      </w:pPr>
      <w:r>
        <w:rPr>
          <w:rFonts w:ascii="Calibri" w:hAnsi="Calibri"/>
          <w:color w:val="223548"/>
          <w:sz w:val="22"/>
        </w:rPr>
        <w:t>Cuando vuelve la red, las revisiones pendientes se envían en orden y sin duplicados.</w:t>
      </w:r>
    </w:p>
    <w:p>
      <w:pPr>
        <w:numPr>
          <w:ilvl w:val="0"/>
          <w:numId w:val="25"/>
        </w:numPr>
        <w:spacing w:after="80" w:line="300" w:lineRule="auto"/>
        <w:ind w:left="540" w:hanging="271"/>
      </w:pPr>
      <w:r>
        <w:rPr>
          <w:rFonts w:ascii="Calibri" w:hAnsi="Calibri"/>
          <w:color w:val="223548"/>
          <w:sz w:val="22"/>
        </w:rPr>
        <w:t>Si dos dispositivos editan a la vez, una sesión obsoleta queda bloqueada para evitar sobrescrituras.</w:t>
      </w:r>
    </w:p>
    <w:p>
      <w:pPr>
        <w:numPr>
          <w:ilvl w:val="0"/>
          <w:numId w:val="25"/>
        </w:numPr>
        <w:spacing w:after="80" w:line="300" w:lineRule="auto"/>
        <w:ind w:left="540" w:hanging="271"/>
      </w:pPr>
      <w:r>
        <w:rPr>
          <w:rFonts w:ascii="Calibri" w:hAnsi="Calibri"/>
          <w:color w:val="223548"/>
          <w:sz w:val="22"/>
        </w:rPr>
        <w:t>Los adjuntos privados se cifran; la clave no se guarda ni sincroniza. Sin la clave no podrán descifrarse</w:t>
      </w:r>
    </w:p>
    <w:p>
      <w:r>
        <w:rPr>
          <w:rFonts w:ascii="Calibri" w:hAnsi="Calibri"/>
          <w:color w:val="223548"/>
          <w:sz w:val="22"/>
        </w:rPr>
        <w:t>desde otro dispositivo.</w:t>
      </w:r>
    </w:p>
    <w:p>
      <w:r>
        <w:rPr>
          <w:rFonts w:ascii="Calibri" w:hAnsi="Calibri"/>
          <w:color w:val="223548"/>
          <w:sz w:val="22"/>
        </w:rPr>
        <w:t xml:space="preserve">Antes de cambiar de dispositivo, espera a que el indicador muestre </w:t>
      </w:r>
      <w:r>
        <w:rPr>
          <w:rFonts w:ascii="Calibri" w:hAnsi="Calibri"/>
          <w:b/>
          <w:color w:val="223548"/>
          <w:sz w:val="22"/>
        </w:rPr>
        <w:t>Sincronizado</w:t>
      </w:r>
      <w:r>
        <w:rPr>
          <w:rFonts w:ascii="Calibri" w:hAnsi="Calibri"/>
          <w:color w:val="223548"/>
          <w:sz w:val="22"/>
        </w:rPr>
        <w:t xml:space="preserve"> o descarga una copia.</w:t>
      </w:r>
    </w:p>
    <w:p>
      <w:pPr>
        <w:pStyle w:val="Heading1"/>
      </w:pPr>
      <w:r>
        <w:t>12. Rutinas recomendadas</w:t>
      </w:r>
    </w:p>
    <w:p>
      <w:pPr>
        <w:pStyle w:val="Heading2"/>
      </w:pPr>
      <w:r>
        <w:t>Revisión rápida semanal</w:t>
      </w:r>
    </w:p>
    <w:p>
      <w:pPr>
        <w:numPr>
          <w:ilvl w:val="0"/>
          <w:numId w:val="26"/>
        </w:numPr>
        <w:spacing w:after="80" w:line="300" w:lineRule="auto"/>
        <w:ind w:left="540" w:hanging="271"/>
      </w:pPr>
      <w:r>
        <w:rPr>
          <w:rFonts w:ascii="Calibri" w:hAnsi="Calibri"/>
          <w:color w:val="223548"/>
          <w:sz w:val="22"/>
        </w:rPr>
        <w:t xml:space="preserve">Abrir </w:t>
      </w:r>
      <w:r>
        <w:rPr>
          <w:rFonts w:ascii="Calibri" w:hAnsi="Calibri"/>
          <w:b/>
          <w:color w:val="223548"/>
          <w:sz w:val="22"/>
        </w:rPr>
        <w:t>Hoy</w:t>
      </w:r>
      <w:r>
        <w:rPr>
          <w:rFonts w:ascii="Calibri" w:hAnsi="Calibri"/>
          <w:color w:val="223548"/>
          <w:sz w:val="22"/>
        </w:rPr>
        <w:t xml:space="preserve"> y revisar alertas y cobertura.</w:t>
      </w:r>
    </w:p>
    <w:p>
      <w:pPr>
        <w:numPr>
          <w:ilvl w:val="0"/>
          <w:numId w:val="26"/>
        </w:numPr>
        <w:spacing w:after="80" w:line="300" w:lineRule="auto"/>
        <w:ind w:left="540" w:hanging="271"/>
      </w:pPr>
      <w:r>
        <w:rPr>
          <w:rFonts w:ascii="Calibri" w:hAnsi="Calibri"/>
          <w:color w:val="223548"/>
          <w:sz w:val="22"/>
        </w:rPr>
        <w:t>Actualizar saldos reales.</w:t>
      </w:r>
    </w:p>
    <w:p>
      <w:pPr>
        <w:numPr>
          <w:ilvl w:val="0"/>
          <w:numId w:val="26"/>
        </w:numPr>
        <w:spacing w:after="80" w:line="300" w:lineRule="auto"/>
        <w:ind w:left="540" w:hanging="271"/>
      </w:pPr>
      <w:r>
        <w:rPr>
          <w:rFonts w:ascii="Calibri" w:hAnsi="Calibri"/>
          <w:color w:val="223548"/>
          <w:sz w:val="22"/>
        </w:rPr>
        <w:t>Importar movimientos recientes.</w:t>
      </w:r>
    </w:p>
    <w:p>
      <w:pPr>
        <w:numPr>
          <w:ilvl w:val="0"/>
          <w:numId w:val="26"/>
        </w:numPr>
        <w:spacing w:after="80" w:line="300" w:lineRule="auto"/>
        <w:ind w:left="540" w:hanging="271"/>
      </w:pPr>
      <w:r>
        <w:rPr>
          <w:rFonts w:ascii="Calibri" w:hAnsi="Calibri"/>
          <w:color w:val="223548"/>
          <w:sz w:val="22"/>
        </w:rPr>
        <w:t>Clasificar diferencias importantes.</w:t>
      </w:r>
    </w:p>
    <w:p>
      <w:pPr>
        <w:numPr>
          <w:ilvl w:val="0"/>
          <w:numId w:val="26"/>
        </w:numPr>
        <w:spacing w:after="80" w:line="300" w:lineRule="auto"/>
        <w:ind w:left="540" w:hanging="271"/>
      </w:pPr>
      <w:r>
        <w:rPr>
          <w:rFonts w:ascii="Calibri" w:hAnsi="Calibri"/>
          <w:color w:val="223548"/>
          <w:sz w:val="22"/>
        </w:rPr>
        <w:t>Revisar previsión de los dos meses siguientes.</w:t>
      </w:r>
    </w:p>
    <w:p>
      <w:pPr>
        <w:numPr>
          <w:ilvl w:val="0"/>
          <w:numId w:val="26"/>
        </w:numPr>
        <w:spacing w:after="80" w:line="300" w:lineRule="auto"/>
        <w:ind w:left="540" w:hanging="271"/>
      </w:pPr>
      <w:r>
        <w:rPr>
          <w:rFonts w:ascii="Calibri" w:hAnsi="Calibri"/>
          <w:color w:val="223548"/>
          <w:sz w:val="22"/>
        </w:rPr>
        <w:t>Confirmar que el estado queda sincronizado.</w:t>
      </w:r>
    </w:p>
    <w:p>
      <w:pPr>
        <w:pStyle w:val="Heading2"/>
      </w:pPr>
      <w:r>
        <w:t>Cierre mensual</w:t>
      </w:r>
    </w:p>
    <w:p>
      <w:pPr>
        <w:numPr>
          <w:ilvl w:val="0"/>
          <w:numId w:val="27"/>
        </w:numPr>
        <w:spacing w:after="80" w:line="300" w:lineRule="auto"/>
        <w:ind w:left="540" w:hanging="271"/>
      </w:pPr>
      <w:r>
        <w:rPr>
          <w:rFonts w:ascii="Calibri" w:hAnsi="Calibri"/>
          <w:color w:val="223548"/>
          <w:sz w:val="22"/>
        </w:rPr>
        <w:t>Importar el extracto completo del mes.</w:t>
      </w:r>
    </w:p>
    <w:p>
      <w:pPr>
        <w:numPr>
          <w:ilvl w:val="0"/>
          <w:numId w:val="27"/>
        </w:numPr>
        <w:spacing w:after="80" w:line="300" w:lineRule="auto"/>
        <w:ind w:left="540" w:hanging="271"/>
      </w:pPr>
      <w:r>
        <w:rPr>
          <w:rFonts w:ascii="Calibri" w:hAnsi="Calibri"/>
          <w:color w:val="223548"/>
          <w:sz w:val="22"/>
        </w:rPr>
        <w:t>Registrar ingresos y gastos reales que falten.</w:t>
      </w:r>
    </w:p>
    <w:p>
      <w:pPr>
        <w:numPr>
          <w:ilvl w:val="0"/>
          <w:numId w:val="27"/>
        </w:numPr>
        <w:spacing w:after="80" w:line="300" w:lineRule="auto"/>
        <w:ind w:left="540" w:hanging="271"/>
      </w:pPr>
      <w:r>
        <w:rPr>
          <w:rFonts w:ascii="Calibri" w:hAnsi="Calibri"/>
          <w:color w:val="223548"/>
          <w:sz w:val="22"/>
        </w:rPr>
        <w:t>Conciliar movimientos, saldos y reales.</w:t>
      </w:r>
    </w:p>
    <w:p>
      <w:pPr>
        <w:numPr>
          <w:ilvl w:val="0"/>
          <w:numId w:val="27"/>
        </w:numPr>
        <w:spacing w:after="80" w:line="300" w:lineRule="auto"/>
        <w:ind w:left="540" w:hanging="271"/>
      </w:pPr>
      <w:r>
        <w:rPr>
          <w:rFonts w:ascii="Calibri" w:hAnsi="Calibri"/>
          <w:color w:val="223548"/>
          <w:sz w:val="22"/>
        </w:rPr>
        <w:t>Revisar la previsión del mes siguiente.</w:t>
      </w:r>
    </w:p>
    <w:p>
      <w:pPr>
        <w:numPr>
          <w:ilvl w:val="0"/>
          <w:numId w:val="27"/>
        </w:numPr>
        <w:spacing w:after="80" w:line="300" w:lineRule="auto"/>
        <w:ind w:left="540" w:hanging="271"/>
      </w:pPr>
      <w:r>
        <w:rPr>
          <w:rFonts w:ascii="Calibri" w:hAnsi="Calibri"/>
          <w:color w:val="223548"/>
          <w:sz w:val="22"/>
        </w:rPr>
        <w:t>Descargar evidencia o copia completa.</w:t>
      </w:r>
    </w:p>
    <w:p>
      <w:pPr>
        <w:numPr>
          <w:ilvl w:val="0"/>
          <w:numId w:val="27"/>
        </w:numPr>
        <w:spacing w:after="80" w:line="300" w:lineRule="auto"/>
        <w:ind w:left="540" w:hanging="271"/>
      </w:pPr>
      <w:r>
        <w:rPr>
          <w:rFonts w:ascii="Calibri" w:hAnsi="Calibri"/>
          <w:color w:val="223548"/>
          <w:sz w:val="22"/>
        </w:rPr>
        <w:t>Cerrar el mes con vista previa y confirmación.</w:t>
      </w:r>
    </w:p>
    <w:p>
      <w:pPr>
        <w:numPr>
          <w:ilvl w:val="0"/>
          <w:numId w:val="27"/>
        </w:numPr>
        <w:spacing w:after="80" w:line="300" w:lineRule="auto"/>
        <w:ind w:left="540" w:hanging="271"/>
      </w:pPr>
      <w:r>
        <w:rPr>
          <w:rFonts w:ascii="Calibri" w:hAnsi="Calibri"/>
          <w:color w:val="223548"/>
          <w:sz w:val="22"/>
        </w:rPr>
        <w:t>Comprobar que la revisión queda sincronizada.</w:t>
      </w:r>
    </w:p>
    <w:p>
      <w:pPr>
        <w:pStyle w:val="Heading2"/>
      </w:pPr>
      <w:r>
        <w:t>Antes de una decisión importante</w:t>
      </w:r>
    </w:p>
    <w:p>
      <w:pPr>
        <w:numPr>
          <w:ilvl w:val="0"/>
          <w:numId w:val="28"/>
        </w:numPr>
        <w:spacing w:after="80" w:line="300" w:lineRule="auto"/>
        <w:ind w:left="540" w:hanging="271"/>
      </w:pPr>
      <w:r>
        <w:rPr>
          <w:rFonts w:ascii="Calibri" w:hAnsi="Calibri"/>
          <w:color w:val="223548"/>
          <w:sz w:val="22"/>
        </w:rPr>
        <w:t>Actualizar saldos, deuda y previsiones.</w:t>
      </w:r>
    </w:p>
    <w:p>
      <w:pPr>
        <w:numPr>
          <w:ilvl w:val="0"/>
          <w:numId w:val="28"/>
        </w:numPr>
        <w:spacing w:after="80" w:line="300" w:lineRule="auto"/>
        <w:ind w:left="540" w:hanging="271"/>
      </w:pPr>
      <w:r>
        <w:rPr>
          <w:rFonts w:ascii="Calibri" w:hAnsi="Calibri"/>
          <w:color w:val="223548"/>
          <w:sz w:val="22"/>
        </w:rPr>
        <w:t>Resolver avisos de calidad relevantes.</w:t>
      </w:r>
    </w:p>
    <w:p>
      <w:pPr>
        <w:numPr>
          <w:ilvl w:val="0"/>
          <w:numId w:val="28"/>
        </w:numPr>
        <w:spacing w:after="80" w:line="300" w:lineRule="auto"/>
        <w:ind w:left="540" w:hanging="271"/>
      </w:pPr>
      <w:r>
        <w:rPr>
          <w:rFonts w:ascii="Calibri" w:hAnsi="Calibri"/>
          <w:color w:val="223548"/>
          <w:sz w:val="22"/>
        </w:rPr>
        <w:t>Crear un escenario sin alterar el plan.</w:t>
      </w:r>
    </w:p>
    <w:p>
      <w:pPr>
        <w:numPr>
          <w:ilvl w:val="0"/>
          <w:numId w:val="28"/>
        </w:numPr>
        <w:spacing w:after="80" w:line="300" w:lineRule="auto"/>
        <w:ind w:left="540" w:hanging="271"/>
      </w:pPr>
      <w:r>
        <w:rPr>
          <w:rFonts w:ascii="Calibri" w:hAnsi="Calibri"/>
          <w:color w:val="223548"/>
          <w:sz w:val="22"/>
        </w:rPr>
        <w:t>Comparar caja mínima, meses negativos, coste y recuperación.</w:t>
      </w:r>
    </w:p>
    <w:p>
      <w:pPr>
        <w:numPr>
          <w:ilvl w:val="0"/>
          <w:numId w:val="28"/>
        </w:numPr>
        <w:spacing w:after="80" w:line="300" w:lineRule="auto"/>
        <w:ind w:left="540" w:hanging="271"/>
      </w:pPr>
      <w:r>
        <w:rPr>
          <w:rFonts w:ascii="Calibri" w:hAnsi="Calibri"/>
          <w:color w:val="223548"/>
          <w:sz w:val="22"/>
        </w:rPr>
        <w:t>Conservar la simulación o exportar la información.</w:t>
      </w:r>
    </w:p>
    <w:p>
      <w:pPr>
        <w:numPr>
          <w:ilvl w:val="0"/>
          <w:numId w:val="28"/>
        </w:numPr>
        <w:spacing w:after="80" w:line="300" w:lineRule="auto"/>
        <w:ind w:left="540" w:hanging="271"/>
      </w:pPr>
      <w:r>
        <w:rPr>
          <w:rFonts w:ascii="Calibri" w:hAnsi="Calibri"/>
          <w:color w:val="223548"/>
          <w:sz w:val="22"/>
        </w:rPr>
        <w:t>Aplicar manualmente solo las decisiones soportadas y confirmables en la versión actual.</w:t>
      </w:r>
    </w:p>
    <w:p>
      <w:pPr>
        <w:pStyle w:val="Heading1"/>
        <w:pageBreakBefore/>
      </w:pPr>
      <w:r>
        <w:t>13. Problemas frecuentes</w:t>
      </w:r>
    </w:p>
    <w:tbl>
      <w:tblPr>
        <w:tblW w:type="dxa" w:w="9360"/>
        <w:jc w:val="left"/>
        <w:tblLayout w:type="fixed"/>
        <w:tblLook w:firstColumn="1" w:firstRow="1" w:lastColumn="0" w:lastRow="0" w:noHBand="0" w:noVBand="1" w:val="04A0"/>
        <w:tblInd w:w="120" w:type="dxa"/>
        <w:tblBorders>
          <w:top w:val="single" w:sz="6" w:color="CDD5DD"/>
          <w:left w:val="single" w:sz="6" w:color="CDD5DD"/>
          <w:bottom w:val="single" w:sz="6" w:color="CDD5DD"/>
          <w:right w:val="single" w:sz="6" w:color="CDD5DD"/>
          <w:insideH w:val="single" w:sz="6" w:color="CDD5DD"/>
          <w:insideV w:val="single" w:sz="6" w:color="CDD5DD"/>
        </w:tblBorders>
      </w:tblPr>
      <w:tblGrid>
        <w:gridCol w:w="2700"/>
        <w:gridCol w:w="6660"/>
      </w:tblGrid>
      <w:tr>
        <w:trPr>
          <w:tblHeader w:val="true"/>
        </w:trPr>
        <w:tc>
          <w:tcPr>
            <w:tcW w:type="dxa" w:w="2700"/>
            <w:vAlign w:val="center"/>
            <w:tcMar>
              <w:top w:w="100" w:type="dxa"/>
              <w:start w:w="120" w:type="dxa"/>
              <w:bottom w:w="100" w:type="dxa"/>
              <w:end w:w="120" w:type="dxa"/>
            </w:tcMar>
            <w:shd w:fill="2E74B5"/>
          </w:tcPr>
          <w:p>
            <w:pPr>
              <w:spacing w:after="0" w:line="264" w:lineRule="auto"/>
            </w:pPr>
            <w:r>
              <w:rPr>
                <w:rFonts w:ascii="Calibri" w:hAnsi="Calibri"/>
                <w:b/>
                <w:color w:val="FFFFFF"/>
                <w:sz w:val="18"/>
              </w:rPr>
              <w:t>Problema</w:t>
            </w:r>
          </w:p>
        </w:tc>
        <w:tc>
          <w:tcPr>
            <w:tcW w:type="dxa" w:w="6660"/>
            <w:vAlign w:val="center"/>
            <w:tcMar>
              <w:top w:w="100" w:type="dxa"/>
              <w:start w:w="120" w:type="dxa"/>
              <w:bottom w:w="100" w:type="dxa"/>
              <w:end w:w="120" w:type="dxa"/>
            </w:tcMar>
            <w:shd w:fill="2E74B5"/>
          </w:tcPr>
          <w:p>
            <w:pPr>
              <w:spacing w:after="0" w:line="264" w:lineRule="auto"/>
            </w:pPr>
            <w:r>
              <w:rPr>
                <w:rFonts w:ascii="Calibri" w:hAnsi="Calibri"/>
                <w:b/>
                <w:color w:val="FFFFFF"/>
                <w:sz w:val="18"/>
              </w:rPr>
              <w:t>Comprobación o solución segura</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Un real no aparece en el cálculo</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 xml:space="preserve">Comprueba si la casilla quedó vacía; vacío usa el previsto y cero debe escribirse como </w:t>
            </w:r>
            <w:r>
              <w:rPr>
                <w:rFonts w:ascii="Consolas" w:hAnsi="Consolas"/>
                <w:color w:val="1F4D78"/>
                <w:sz w:val="17"/>
              </w:rPr>
              <w:t>0</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Una previsión no se aplicó</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 xml:space="preserve">Revisa el panel de cambios pendientes y pulsa </w:t>
            </w:r>
            <w:r>
              <w:rPr>
                <w:rFonts w:ascii="Calibri" w:hAnsi="Calibri"/>
                <w:b/>
                <w:color w:val="223548"/>
                <w:sz w:val="18"/>
              </w:rPr>
              <w:t>Guardar cambios</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La sincronización no termina</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Sigue trabajando localmente, revisa la conexión y no abras otra sesión para sobrescribir</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Aparece un conflicto</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Compara fechas y huellas; descarga una copia antes de elegir la versión local o remota</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El extracto tiene duplicados</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No confirmes la bandeja hasta revisar las coincidencias y el efecto mensual</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El forecast queda bloqueado</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Abre Conciliación y revisa invariantes, paridad y datos incompletos</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Una recomendación tiene confianza baja</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Revisa histórico conciliado, fechas, campos desconocidos y supuestos manuales</w:t>
            </w:r>
          </w:p>
        </w:tc>
      </w:tr>
      <w:tr>
        <w:tc>
          <w:tcPr>
            <w:tcW w:type="dxa" w:w="2700"/>
            <w:vAlign w:val="center"/>
            <w:tcMar>
              <w:top w:w="100" w:type="dxa"/>
              <w:start w:w="120" w:type="dxa"/>
              <w:bottom w:w="100" w:type="dxa"/>
              <w:end w:w="120" w:type="dxa"/>
            </w:tcMar>
            <w:shd w:fill="F2F4F7"/>
          </w:tcPr>
          <w:p>
            <w:pPr>
              <w:spacing w:after="0" w:line="264" w:lineRule="auto"/>
            </w:pPr>
            <w:r>
              <w:rPr>
                <w:rFonts w:ascii="Calibri" w:hAnsi="Calibri"/>
                <w:color w:val="223548"/>
                <w:sz w:val="18"/>
              </w:rPr>
              <w:t>La interfaz parece antigua tras una actualización</w:t>
            </w:r>
          </w:p>
        </w:tc>
        <w:tc>
          <w:tcPr>
            <w:tcW w:type="dxa" w:w="6660"/>
            <w:vAlign w:val="center"/>
            <w:tcMar>
              <w:top w:w="100" w:type="dxa"/>
              <w:start w:w="120" w:type="dxa"/>
              <w:bottom w:w="100" w:type="dxa"/>
              <w:end w:w="120" w:type="dxa"/>
            </w:tcMar>
            <w:shd w:fill="F2F4F7"/>
          </w:tcPr>
          <w:p>
            <w:pPr>
              <w:spacing w:after="0" w:line="264" w:lineRule="auto"/>
            </w:pPr>
            <w:r>
              <w:rPr>
                <w:rFonts w:ascii="Calibri" w:hAnsi="Calibri"/>
                <w:color w:val="223548"/>
                <w:sz w:val="18"/>
              </w:rPr>
              <w:t>Recarga una vez para que el nuevo shell offline tome el control</w:t>
            </w:r>
          </w:p>
        </w:tc>
      </w:tr>
      <w:tr>
        <w:tc>
          <w:tcPr>
            <w:tcW w:type="dxa" w:w="2700"/>
            <w:vAlign w:val="center"/>
            <w:tcMar>
              <w:top w:w="100" w:type="dxa"/>
              <w:start w:w="120" w:type="dxa"/>
              <w:bottom w:w="100" w:type="dxa"/>
              <w:end w:w="120" w:type="dxa"/>
            </w:tcMar>
          </w:tcPr>
          <w:p>
            <w:pPr>
              <w:spacing w:after="0" w:line="264" w:lineRule="auto"/>
            </w:pPr>
            <w:r>
              <w:rPr>
                <w:rFonts w:ascii="Calibri" w:hAnsi="Calibri"/>
                <w:color w:val="223548"/>
                <w:sz w:val="18"/>
              </w:rPr>
              <w:t>No puedes recuperar un adjunto cifrado</w:t>
            </w:r>
          </w:p>
        </w:tc>
        <w:tc>
          <w:tcPr>
            <w:tcW w:type="dxa" w:w="6660"/>
            <w:vAlign w:val="center"/>
            <w:tcMar>
              <w:top w:w="100" w:type="dxa"/>
              <w:start w:w="120" w:type="dxa"/>
              <w:bottom w:w="100" w:type="dxa"/>
              <w:end w:w="120" w:type="dxa"/>
            </w:tcMar>
          </w:tcPr>
          <w:p>
            <w:pPr>
              <w:spacing w:after="0" w:line="264" w:lineRule="auto"/>
            </w:pPr>
            <w:r>
              <w:rPr>
                <w:rFonts w:ascii="Calibri" w:hAnsi="Calibri"/>
                <w:color w:val="223548"/>
                <w:sz w:val="18"/>
              </w:rPr>
              <w:t>Utiliza la clave con la que se cifró; la aplicación no la almacena ni puede reconstruirla</w:t>
            </w:r>
          </w:p>
        </w:tc>
      </w:tr>
    </w:tbl>
    <w:p>
      <w:pPr>
        <w:spacing w:after="40"/>
      </w:pPr>
    </w:p>
    <w:p>
      <w:pPr>
        <w:pStyle w:val="Heading1"/>
      </w:pPr>
      <w:r>
        <w:t>14. Funciones todavía no disponibles</w:t>
      </w:r>
    </w:p>
    <w:p>
      <w:r>
        <w:rPr>
          <w:rFonts w:ascii="Calibri" w:hAnsi="Calibri"/>
          <w:color w:val="223548"/>
          <w:sz w:val="22"/>
        </w:rPr>
        <w:t>No deben darse por terminadas ni utilizarse como si estuvieran activas:</w:t>
      </w:r>
    </w:p>
    <w:p>
      <w:pPr>
        <w:numPr>
          <w:ilvl w:val="0"/>
          <w:numId w:val="29"/>
        </w:numPr>
        <w:spacing w:after="80" w:line="300" w:lineRule="auto"/>
        <w:ind w:left="540" w:hanging="271"/>
      </w:pPr>
      <w:r>
        <w:rPr>
          <w:rFonts w:ascii="Calibri" w:hAnsi="Calibri"/>
          <w:color w:val="223548"/>
          <w:sz w:val="22"/>
        </w:rPr>
        <w:t>aplicación automática y recuperable de una estrategia de deuda u oferta negociada;</w:t>
      </w:r>
    </w:p>
    <w:p>
      <w:pPr>
        <w:numPr>
          <w:ilvl w:val="0"/>
          <w:numId w:val="29"/>
        </w:numPr>
        <w:spacing w:after="80" w:line="300" w:lineRule="auto"/>
        <w:ind w:left="540" w:hanging="271"/>
      </w:pPr>
      <w:r>
        <w:rPr>
          <w:rFonts w:ascii="Calibri" w:hAnsi="Calibri"/>
          <w:color w:val="223548"/>
          <w:sz w:val="22"/>
        </w:rPr>
        <w:t>optimización completa de deuda con restricciones reales dentro del plan;</w:t>
      </w:r>
    </w:p>
    <w:p>
      <w:pPr>
        <w:numPr>
          <w:ilvl w:val="0"/>
          <w:numId w:val="29"/>
        </w:numPr>
        <w:spacing w:after="80" w:line="300" w:lineRule="auto"/>
        <w:ind w:left="540" w:hanging="271"/>
      </w:pPr>
      <w:r>
        <w:rPr>
          <w:rFonts w:ascii="Calibri" w:hAnsi="Calibri"/>
          <w:color w:val="223548"/>
          <w:sz w:val="22"/>
        </w:rPr>
        <w:t xml:space="preserve">retirada definitiva del plan visual en </w:t>
      </w:r>
      <w:r>
        <w:rPr>
          <w:rFonts w:ascii="Consolas" w:hAnsi="Consolas"/>
          <w:color w:val="1F4D78"/>
          <w:sz w:val="21"/>
        </w:rPr>
        <w:t>iframe</w:t>
      </w:r>
      <w:r>
        <w:rPr>
          <w:rFonts w:ascii="Calibri" w:hAnsi="Calibri"/>
          <w:color w:val="223548"/>
          <w:sz w:val="22"/>
        </w:rPr>
        <w:t>;</w:t>
      </w:r>
    </w:p>
    <w:p>
      <w:pPr>
        <w:numPr>
          <w:ilvl w:val="0"/>
          <w:numId w:val="29"/>
        </w:numPr>
        <w:spacing w:after="80" w:line="300" w:lineRule="auto"/>
        <w:ind w:left="540" w:hanging="271"/>
      </w:pPr>
      <w:r>
        <w:rPr>
          <w:rFonts w:ascii="Calibri" w:hAnsi="Calibri"/>
          <w:color w:val="223548"/>
          <w:sz w:val="22"/>
        </w:rPr>
        <w:t>objetivos y calendario financiero integrados de E15;</w:t>
      </w:r>
    </w:p>
    <w:p>
      <w:pPr>
        <w:numPr>
          <w:ilvl w:val="0"/>
          <w:numId w:val="29"/>
        </w:numPr>
        <w:spacing w:after="80" w:line="300" w:lineRule="auto"/>
        <w:ind w:left="540" w:hanging="271"/>
      </w:pPr>
      <w:r>
        <w:rPr>
          <w:rFonts w:ascii="Calibri" w:hAnsi="Calibri"/>
          <w:color w:val="223548"/>
          <w:sz w:val="22"/>
        </w:rPr>
        <w:t>alertas predictivas y explicación continua de errores de E16;</w:t>
      </w:r>
    </w:p>
    <w:p>
      <w:pPr>
        <w:numPr>
          <w:ilvl w:val="0"/>
          <w:numId w:val="29"/>
        </w:numPr>
        <w:spacing w:after="80" w:line="300" w:lineRule="auto"/>
        <w:ind w:left="540" w:hanging="271"/>
      </w:pPr>
      <w:r>
        <w:rPr>
          <w:rFonts w:ascii="Calibri" w:hAnsi="Calibri"/>
          <w:color w:val="223548"/>
          <w:sz w:val="22"/>
        </w:rPr>
        <w:t>navegación simplificada definitiva de E17;</w:t>
      </w:r>
    </w:p>
    <w:p>
      <w:pPr>
        <w:numPr>
          <w:ilvl w:val="0"/>
          <w:numId w:val="29"/>
        </w:numPr>
        <w:spacing w:after="80" w:line="300" w:lineRule="auto"/>
        <w:ind w:left="540" w:hanging="271"/>
      </w:pPr>
      <w:r>
        <w:rPr>
          <w:rFonts w:ascii="Calibri" w:hAnsi="Calibri"/>
          <w:color w:val="223548"/>
          <w:sz w:val="22"/>
        </w:rPr>
        <w:t>backend privado de IA, hogar compartido, web push y conexión bancaria PSD2 de E10.</w:t>
      </w:r>
    </w:p>
    <w:p>
      <w:r>
        <w:rPr>
          <w:rFonts w:ascii="Calibri" w:hAnsi="Calibri"/>
          <w:color w:val="223548"/>
          <w:sz w:val="22"/>
        </w:rPr>
        <w:t>La aplicación sigue siendo plenamente utilizable sin estos servicios externos.</w:t>
      </w:r>
    </w:p>
    <w:p>
      <w:pPr>
        <w:pStyle w:val="Heading1"/>
        <w:pageBreakBefore/>
      </w:pPr>
      <w:r>
        <w:t>15. Regla de seguridad final</w:t>
      </w:r>
    </w:p>
    <w:p>
      <w:r>
        <w:rPr>
          <w:rFonts w:ascii="Calibri" w:hAnsi="Calibri"/>
          <w:color w:val="223548"/>
          <w:sz w:val="22"/>
        </w:rPr>
        <w:t>Antes de confirmar una importación, cierre, reapertura, restauración o cambio futuro:</w:t>
      </w:r>
    </w:p>
    <w:p>
      <w:pPr>
        <w:numPr>
          <w:ilvl w:val="0"/>
          <w:numId w:val="30"/>
        </w:numPr>
        <w:spacing w:after="80" w:line="300" w:lineRule="auto"/>
        <w:ind w:left="540" w:hanging="271"/>
      </w:pPr>
      <w:r>
        <w:rPr>
          <w:rFonts w:ascii="Calibri" w:hAnsi="Calibri"/>
          <w:color w:val="223548"/>
          <w:sz w:val="22"/>
        </w:rPr>
        <w:t>revisa la vista previa;</w:t>
      </w:r>
    </w:p>
    <w:p>
      <w:pPr>
        <w:numPr>
          <w:ilvl w:val="0"/>
          <w:numId w:val="30"/>
        </w:numPr>
        <w:spacing w:after="80" w:line="300" w:lineRule="auto"/>
        <w:ind w:left="540" w:hanging="271"/>
      </w:pPr>
      <w:r>
        <w:rPr>
          <w:rFonts w:ascii="Calibri" w:hAnsi="Calibri"/>
          <w:color w:val="223548"/>
          <w:sz w:val="22"/>
        </w:rPr>
        <w:t>comprueba la fecha y el titular;</w:t>
      </w:r>
    </w:p>
    <w:p>
      <w:pPr>
        <w:numPr>
          <w:ilvl w:val="0"/>
          <w:numId w:val="30"/>
        </w:numPr>
        <w:spacing w:after="80" w:line="300" w:lineRule="auto"/>
        <w:ind w:left="540" w:hanging="271"/>
      </w:pPr>
      <w:r>
        <w:rPr>
          <w:rFonts w:ascii="Calibri" w:hAnsi="Calibri"/>
          <w:color w:val="223548"/>
          <w:sz w:val="22"/>
        </w:rPr>
        <w:t>verifica qué cifras cambian;</w:t>
      </w:r>
    </w:p>
    <w:p>
      <w:pPr>
        <w:numPr>
          <w:ilvl w:val="0"/>
          <w:numId w:val="30"/>
        </w:numPr>
        <w:spacing w:after="80" w:line="300" w:lineRule="auto"/>
        <w:ind w:left="540" w:hanging="271"/>
      </w:pPr>
      <w:r>
        <w:rPr>
          <w:rFonts w:ascii="Calibri" w:hAnsi="Calibri"/>
          <w:color w:val="223548"/>
          <w:sz w:val="22"/>
        </w:rPr>
        <w:t>conserva una copia si la operación es importante;</w:t>
      </w:r>
    </w:p>
    <w:p>
      <w:pPr>
        <w:numPr>
          <w:ilvl w:val="0"/>
          <w:numId w:val="30"/>
        </w:numPr>
        <w:spacing w:after="80" w:line="300" w:lineRule="auto"/>
        <w:ind w:left="540" w:hanging="271"/>
      </w:pPr>
      <w:r>
        <w:rPr>
          <w:rFonts w:ascii="Calibri" w:hAnsi="Calibri"/>
          <w:color w:val="223548"/>
          <w:sz w:val="22"/>
        </w:rPr>
        <w:t>confirma que el estado termina sincronizado.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657481"/>
        <w:sz w:val="17"/>
      </w:rPr>
      <w:t xml:space="preserve">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8E0E7"/>
      </w:pBdr>
    </w:pPr>
    <w:r>
      <w:rPr>
        <w:rFonts w:ascii="Calibri" w:hAnsi="Calibri"/>
        <w:b/>
        <w:color w:val="657481"/>
        <w:sz w:val="17"/>
      </w:rPr>
      <w:t>FINANZAS CASA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abstractNum w:abstractNumId="17">
    <w:multiLevelType w:val="singleLevel"/>
    <w:lvl w:ilvl="0">
      <w:start w:val="1"/>
      <w:numFmt w:val="decimal"/>
      <w:lvlText w:val="%1."/>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lvl>
  </w:abstractNum>
  <w:num w:numId="20">
    <w:abstractNumId w:val="19"/>
  </w:num>
  <w:abstractNum w:abstractNumId="20">
    <w:multiLevelType w:val="singleLevel"/>
    <w:lvl w:ilvl="0">
      <w:start w:val="1"/>
      <w:numFmt w:val="bullet"/>
      <w:lvlText w:val="•"/>
      <w:lvlJc w:val="left"/>
      <w:pPr>
        <w:tabs>
          <w:tab w:val="num" w:pos="540"/>
        </w:tabs>
        <w:ind w:left="540" w:hanging="270"/>
      </w:pPr>
    </w:lvl>
  </w:abstractNum>
  <w:num w:numId="21">
    <w:abstractNumId w:val="20"/>
  </w:num>
  <w:abstractNum w:abstractNumId="21">
    <w:multiLevelType w:val="singleLevel"/>
    <w:lvl w:ilvl="0">
      <w:start w:val="1"/>
      <w:numFmt w:val="bullet"/>
      <w:lvlText w:val="•"/>
      <w:lvlJc w:val="left"/>
      <w:pPr>
        <w:tabs>
          <w:tab w:val="num" w:pos="540"/>
        </w:tabs>
        <w:ind w:left="540" w:hanging="270"/>
      </w:p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bullet"/>
      <w:lvlText w:val="•"/>
      <w:lvlJc w:val="left"/>
      <w:pPr>
        <w:tabs>
          <w:tab w:val="num" w:pos="540"/>
        </w:tabs>
        <w:ind w:left="540" w:hanging="270"/>
      </w:pPr>
    </w:lvl>
  </w:abstractNum>
  <w:num w:numId="25">
    <w:abstractNumId w:val="24"/>
  </w:num>
  <w:abstractNum w:abstractNumId="25">
    <w:multiLevelType w:val="singleLevel"/>
    <w:lvl w:ilvl="0">
      <w:start w:val="1"/>
      <w:numFmt w:val="decimal"/>
      <w:lvlText w:val="%1."/>
      <w:lvlJc w:val="left"/>
      <w:pPr>
        <w:tabs>
          <w:tab w:val="num" w:pos="540"/>
        </w:tabs>
        <w:ind w:left="540" w:hanging="270"/>
      </w:pPr>
    </w:lvl>
  </w:abstractNum>
  <w:num w:numId="26">
    <w:abstractNumId w:val="25"/>
  </w:num>
  <w:abstractNum w:abstractNumId="26">
    <w:multiLevelType w:val="singleLevel"/>
    <w:lvl w:ilvl="0">
      <w:start w:val="1"/>
      <w:numFmt w:val="decimal"/>
      <w:lvlText w:val="%1."/>
      <w:lvlJc w:val="left"/>
      <w:pPr>
        <w:tabs>
          <w:tab w:val="num" w:pos="540"/>
        </w:tabs>
        <w:ind w:left="540" w:hanging="270"/>
      </w:pPr>
    </w:lvl>
  </w:abstractNum>
  <w:num w:numId="27">
    <w:abstractNumId w:val="26"/>
  </w:num>
  <w:abstractNum w:abstractNumId="27">
    <w:multiLevelType w:val="singleLevel"/>
    <w:lvl w:ilvl="0">
      <w:start w:val="1"/>
      <w:numFmt w:val="decimal"/>
      <w:lvlText w:val="%1."/>
      <w:lvlJc w:val="left"/>
      <w:pPr>
        <w:tabs>
          <w:tab w:val="num" w:pos="540"/>
        </w:tabs>
        <w:ind w:left="540" w:hanging="270"/>
      </w:pPr>
    </w:lvl>
  </w:abstractNum>
  <w:num w:numId="28">
    <w:abstractNumId w:val="27"/>
  </w:num>
  <w:abstractNum w:abstractNumId="28">
    <w:multiLevelType w:val="singleLevel"/>
    <w:lvl w:ilvl="0">
      <w:start w:val="1"/>
      <w:numFmt w:val="bullet"/>
      <w:lvlText w:val="•"/>
      <w:lvlJc w:val="left"/>
      <w:pPr>
        <w:tabs>
          <w:tab w:val="num" w:pos="540"/>
        </w:tabs>
        <w:ind w:left="540" w:hanging="270"/>
      </w:pPr>
    </w:lvl>
  </w:abstractNum>
  <w:num w:numId="29">
    <w:abstractNumId w:val="28"/>
  </w:num>
  <w:abstractNum w:abstractNumId="29">
    <w:multiLevelType w:val="singleLevel"/>
    <w:lvl w:ilvl="0">
      <w:start w:val="1"/>
      <w:numFmt w:val="decimal"/>
      <w:lvlText w:val="%1."/>
      <w:lvlJc w:val="left"/>
      <w:pPr>
        <w:tabs>
          <w:tab w:val="num" w:pos="540"/>
        </w:tabs>
        <w:ind w:left="540" w:hanging="27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35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2354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2354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Finanzas Casa</dc:title>
  <dc:subject>Guía operativa de la aplicación hasta E14a</dc:subject>
  <dc:creator>Finanzas Casa</dc:creator>
  <cp:keywords>finanzas, manual, usuario, conciliación, previsión, deuda</cp:keywords>
  <dc:description>generated by python-docx</dc:description>
  <cp:lastModifiedBy/>
  <cp:revision>1</cp:revision>
  <dcterms:created xsi:type="dcterms:W3CDTF">2013-12-23T23:15:00Z</dcterms:created>
  <dcterms:modified xsi:type="dcterms:W3CDTF">2013-12-23T23:15:00Z</dcterms:modified>
  <cp:category/>
</cp:coreProperties>
</file>