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87DA2" w14:textId="3A8C3FAB" w:rsidR="00A517DE" w:rsidRDefault="002D1AD7">
      <w:r w:rsidRPr="002D1AD7">
        <w:t>CAROTIDEO NORMAL SCHI</w:t>
      </w:r>
    </w:p>
    <w:p w14:paraId="78989B2F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TECNICA: </w:t>
      </w:r>
    </w:p>
    <w:p w14:paraId="11864334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 xml:space="preserve">Se realiza rastreo con transductor lineal de 7.5 MHZ, en ambos troncos carotideos y sus ramas </w:t>
      </w:r>
      <w:proofErr w:type="spellStart"/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extra-craneales</w:t>
      </w:r>
      <w:proofErr w:type="spellEnd"/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, obteniéndose imágenes en planos coronal y longitudinal, en escala de grises, y con Doppler color y potenciado, realizando maniobras compresivas dístales, en donde se evidencia:</w:t>
      </w:r>
    </w:p>
    <w:p w14:paraId="66CCCF5F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 </w:t>
      </w:r>
    </w:p>
    <w:p w14:paraId="5A3C532A" w14:textId="77777777" w:rsidR="002D1AD7" w:rsidRPr="002D1AD7" w:rsidRDefault="002D1AD7" w:rsidP="002D1AD7">
      <w:pPr>
        <w:spacing w:after="0" w:line="293" w:lineRule="atLeast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CAROTIDAS COMUNES: </w:t>
      </w: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con trayecto y calibre normal, grosor intima-media de 1.34 mm en ACCD y de 1.50 mm en ACCI sin dilataciones aneurismáticas.</w:t>
      </w:r>
    </w:p>
    <w:p w14:paraId="574F626D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1B7FC638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CAROTIDAS INTERNAS porción extracraneal:</w:t>
      </w: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arrojan valores hemodinámicos dentro de los parámetros normales.</w:t>
      </w:r>
    </w:p>
    <w:p w14:paraId="0FE404EC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399D9C83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CAROTIDAS EXTERNAS: </w:t>
      </w: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sin datos sugestivos de alteración en su morfología y espectro.</w:t>
      </w:r>
    </w:p>
    <w:p w14:paraId="6E8A3211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46AFA645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ARTERIAS VERTEBRALES</w:t>
      </w: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: trayecto visible Valores hemodinámicos conservados me manera bilateral.</w:t>
      </w:r>
    </w:p>
    <w:p w14:paraId="5B8A74B7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69AC6D8A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DO"/>
        </w:rPr>
        <w:t>ARTERIAS SUBCLAVIAS</w:t>
      </w: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: de trayecto, diámetro y permeabilidad normal.</w:t>
      </w:r>
    </w:p>
    <w:p w14:paraId="16F337E7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color w:val="000000"/>
          <w:sz w:val="24"/>
          <w:szCs w:val="24"/>
          <w:lang w:eastAsia="es-DO"/>
        </w:rPr>
        <w:t> </w:t>
      </w:r>
    </w:p>
    <w:p w14:paraId="0BB45A8F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 </w:t>
      </w:r>
    </w:p>
    <w:p w14:paraId="2102D7EC" w14:textId="77777777" w:rsidR="002D1AD7" w:rsidRPr="002D1AD7" w:rsidRDefault="002D1AD7" w:rsidP="002D1AD7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color w:val="0B0B0B"/>
          <w:sz w:val="24"/>
          <w:szCs w:val="24"/>
          <w:shd w:val="clear" w:color="auto" w:fill="F5F5F5"/>
          <w:lang w:val="es-ES" w:eastAsia="es-DO"/>
        </w:rPr>
        <w:t> </w:t>
      </w:r>
    </w:p>
    <w:p w14:paraId="3D604728" w14:textId="77777777" w:rsidR="002D1AD7" w:rsidRDefault="002D1AD7" w:rsidP="002D1AD7">
      <w:pPr>
        <w:spacing w:after="2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CONCLUSION:</w:t>
      </w:r>
    </w:p>
    <w:p w14:paraId="0EF7D7E6" w14:textId="594B6B4D" w:rsidR="002D1AD7" w:rsidRPr="002D1AD7" w:rsidRDefault="002D1AD7" w:rsidP="002D1AD7">
      <w:pPr>
        <w:spacing w:after="2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2D1AD7">
        <w:rPr>
          <w:rFonts w:ascii="Times New Roman" w:eastAsia="Times New Roman" w:hAnsi="Times New Roman" w:cs="Times New Roman"/>
          <w:color w:val="000000"/>
          <w:sz w:val="14"/>
          <w:szCs w:val="14"/>
          <w:lang w:val="es-ES" w:eastAsia="es-DO"/>
        </w:rPr>
        <w:t>  </w:t>
      </w:r>
      <w:r w:rsidRPr="002D1AD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ESTUDIO SIN HALLAZGOS PATOLOGICOS.</w:t>
      </w:r>
    </w:p>
    <w:p w14:paraId="31735C96" w14:textId="77777777" w:rsidR="002D1AD7" w:rsidRDefault="002D1AD7"/>
    <w:sectPr w:rsidR="002D1A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AD7"/>
    <w:rsid w:val="002D1AD7"/>
    <w:rsid w:val="00A51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B5ADFD"/>
  <w15:chartTrackingRefBased/>
  <w15:docId w15:val="{C74694E6-3C16-460E-8533-F2E576876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745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2026-01-14T20:36:00Z</dcterms:created>
  <dcterms:modified xsi:type="dcterms:W3CDTF">2026-01-14T20:38:00Z</dcterms:modified>
</cp:coreProperties>
</file>