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B7EF" w14:textId="06EDE222" w:rsidR="00AC4E97" w:rsidRPr="001132B3" w:rsidRDefault="001132B3">
      <w:pPr>
        <w:rPr>
          <w:rFonts w:ascii="Times New Roman" w:hAnsi="Times New Roman" w:cs="Times New Roman"/>
          <w:sz w:val="28"/>
          <w:szCs w:val="28"/>
        </w:rPr>
      </w:pPr>
      <w:r w:rsidRPr="001132B3">
        <w:rPr>
          <w:rFonts w:ascii="Times New Roman" w:hAnsi="Times New Roman" w:cs="Times New Roman"/>
          <w:sz w:val="28"/>
          <w:szCs w:val="28"/>
        </w:rPr>
        <w:t>SON CODO NORMAL</w:t>
      </w:r>
    </w:p>
    <w:p w14:paraId="17BA56A5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Se realizó rastreo con traductor lineal de alta resolución, obteniéndose imágenes en planos coronal y longitudinal, en escala de grises,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doppler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color y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doppler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potenciado en áreas de interés, en donde se visualiza lo siguiente:</w:t>
      </w:r>
    </w:p>
    <w:p w14:paraId="629AC4D1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Piel y tejido celular subcutáneo:</w:t>
      </w: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 de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ecoestructura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normal.</w:t>
      </w:r>
    </w:p>
    <w:p w14:paraId="667D6DB3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Comportamiento anterior:</w:t>
      </w: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 visualizamos el musculo bíceps de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ecotextura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fibrilar homogénea, su inserción tendinosa distal sin engrosamientos tendinosos que implican los tendones colaterales del cubito bíceps y los tendones del radio.</w:t>
      </w:r>
    </w:p>
    <w:p w14:paraId="74E65BD1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Comportamiento lateral interno:</w:t>
      </w: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 musculo epitrocleares sin cambios en su patrón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fribilar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.</w:t>
      </w:r>
    </w:p>
    <w:p w14:paraId="445D616E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Comportamiento lateral externo:</w:t>
      </w: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 articulación radio humeral sin datos de derrame.</w:t>
      </w:r>
    </w:p>
    <w:p w14:paraId="4D6F8038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DO" w:eastAsia="es-DO"/>
        </w:rPr>
        <w:t>Comportamiento posterior:</w:t>
      </w: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 inserción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miotendinosa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del tríceps adecuada. Sin alteraciones en la </w:t>
      </w:r>
      <w:proofErr w:type="spellStart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bursa</w:t>
      </w:r>
      <w:proofErr w:type="spellEnd"/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 xml:space="preserve"> alacranea.</w:t>
      </w:r>
    </w:p>
    <w:p w14:paraId="4996B438" w14:textId="77777777" w:rsidR="001132B3" w:rsidRPr="001132B3" w:rsidRDefault="001132B3" w:rsidP="001132B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</w:pPr>
      <w:r w:rsidRPr="001132B3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Elementos vasculares sin alteraciones.</w:t>
      </w:r>
    </w:p>
    <w:p w14:paraId="6F08F988" w14:textId="358C93F3" w:rsidR="001132B3" w:rsidRPr="001132B3" w:rsidRDefault="001132B3">
      <w:pPr>
        <w:rPr>
          <w:rFonts w:ascii="Times New Roman" w:hAnsi="Times New Roman" w:cs="Times New Roman"/>
          <w:sz w:val="28"/>
          <w:szCs w:val="28"/>
        </w:rPr>
      </w:pPr>
    </w:p>
    <w:p w14:paraId="6D148F51" w14:textId="7FD906D3" w:rsidR="001132B3" w:rsidRDefault="00113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2B3">
        <w:rPr>
          <w:rFonts w:ascii="Times New Roman" w:hAnsi="Times New Roman" w:cs="Times New Roman"/>
          <w:b/>
          <w:bCs/>
          <w:sz w:val="28"/>
          <w:szCs w:val="28"/>
        </w:rPr>
        <w:t>IMPRESIÓN DIAGNOSTICA</w:t>
      </w:r>
    </w:p>
    <w:p w14:paraId="43E7C1C4" w14:textId="1EFB09A5" w:rsidR="001132B3" w:rsidRPr="001132B3" w:rsidRDefault="001132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SONOGRAFIA DE PARTES BLANDAS SIN LA PRESENCIA DE ALTERACIONES AL MOMENTO DEL ESTUDIO.</w:t>
      </w:r>
    </w:p>
    <w:sectPr w:rsidR="001132B3" w:rsidRPr="00113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B3"/>
    <w:rsid w:val="001132B3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F7817"/>
  <w15:chartTrackingRefBased/>
  <w15:docId w15:val="{8C67D227-BFF1-481D-9C81-DCBA3C86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7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2026-01-14T21:39:00Z</dcterms:created>
  <dcterms:modified xsi:type="dcterms:W3CDTF">2026-01-14T21:40:00Z</dcterms:modified>
</cp:coreProperties>
</file>