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419D" w14:textId="5669FA6C" w:rsidR="00D946EE" w:rsidRPr="00D946EE" w:rsidRDefault="00D946EE" w:rsidP="00D946EE">
      <w:pPr>
        <w:spacing w:after="15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HOMBRO COMPLICADO</w:t>
      </w:r>
    </w:p>
    <w:p w14:paraId="6869FA9D" w14:textId="7CCD8459" w:rsidR="00D946EE" w:rsidRPr="00D946EE" w:rsidRDefault="00D946EE" w:rsidP="00D946EE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Se realiza estudio del manguito de los rotadores realizando rastreo con transductor lineal de alta resolución, obteniéndose imágenes en planos coronal y longitudinal y comparativa, en escala de grises y doppler color en hombro estático y dinámico, en donde se evidencia:</w:t>
      </w:r>
    </w:p>
    <w:p w14:paraId="44C038B8" w14:textId="41D74FCD" w:rsidR="00D946EE" w:rsidRPr="00D946EE" w:rsidRDefault="00D946EE" w:rsidP="00D946E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Tendón de la porción larga del bíceps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 </w:t>
      </w: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con engrosamiento intrasustancial, con cambios y vascularidad al </w:t>
      </w:r>
      <w:r w:rsidR="00FE1B03"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Doppler</w:t>
      </w: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.</w:t>
      </w:r>
    </w:p>
    <w:p w14:paraId="1D4CC2F6" w14:textId="77777777" w:rsidR="00D946EE" w:rsidRPr="00D946EE" w:rsidRDefault="00D946EE" w:rsidP="00D946E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Tendón del supra e infraespinoso: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</w:t>
      </w: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con engrosamiento intrasustancial, con evidencia de ensanchamiento sinovial de la vaina tendinosa.</w:t>
      </w:r>
    </w:p>
    <w:p w14:paraId="24E02239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Articulación acromio-clavicular: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sin imágenes aditivas.</w:t>
      </w:r>
    </w:p>
    <w:p w14:paraId="458DA9CA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Tendón del subescapular: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sin alteraciones en su contexto.</w:t>
      </w:r>
    </w:p>
    <w:p w14:paraId="2C0FF115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Bursa subacromio-subdeltoidea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 </w:t>
      </w: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engrosado, con cambios en su patrón fibrilar y sin imágenes aditivas en su inserción distal, sugestiva de tendinitis. </w:t>
      </w: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Mostrando ensanchamiento líquido anecoide, en relación a bursitis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.</w:t>
      </w:r>
    </w:p>
    <w:p w14:paraId="7AA08C2A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Evaluación dinámica del manguito de los rotadores</w:t>
      </w: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 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sin datos de pinzamiento.</w:t>
      </w:r>
    </w:p>
    <w:p w14:paraId="7C2E29C8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Cabeza humeral: </w:t>
      </w: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sin erosiones y/o alteraciones del cartílago hialino.</w:t>
      </w:r>
    </w:p>
    <w:p w14:paraId="1205C7AF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</w:t>
      </w:r>
    </w:p>
    <w:p w14:paraId="02CA38F4" w14:textId="77777777" w:rsidR="00D946EE" w:rsidRPr="00D946EE" w:rsidRDefault="00D946EE" w:rsidP="00D946EE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 </w:t>
      </w:r>
    </w:p>
    <w:p w14:paraId="22F79AD8" w14:textId="77777777" w:rsidR="00D946EE" w:rsidRPr="00D946EE" w:rsidRDefault="00D946EE" w:rsidP="00D946E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CONCLUSION:</w:t>
      </w:r>
    </w:p>
    <w:p w14:paraId="0FFC1EC6" w14:textId="77777777" w:rsidR="00D946EE" w:rsidRPr="00D946EE" w:rsidRDefault="00D946EE" w:rsidP="00D946E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color w:val="0B0B0B"/>
          <w:sz w:val="28"/>
          <w:szCs w:val="28"/>
          <w:lang w:val="es-DO" w:eastAsia="es-DO"/>
        </w:rPr>
        <w:br/>
      </w:r>
      <w:r w:rsidRPr="00D946EE">
        <w:rPr>
          <w:rFonts w:ascii="Times New Roman" w:eastAsia="Times New Roman" w:hAnsi="Times New Roman" w:cs="Times New Roman"/>
          <w:b/>
          <w:bCs/>
          <w:color w:val="0B0B0B"/>
          <w:sz w:val="28"/>
          <w:szCs w:val="28"/>
          <w:lang w:val="es-DO" w:eastAsia="es-DO"/>
        </w:rPr>
        <w:t>TENDINITIS Y </w:t>
      </w:r>
      <w:r w:rsidRPr="00D946EE">
        <w:rPr>
          <w:rFonts w:ascii="Times New Roman" w:eastAsia="Times New Roman" w:hAnsi="Times New Roman" w:cs="Times New Roman"/>
          <w:b/>
          <w:bCs/>
          <w:color w:val="0B0B0B"/>
          <w:sz w:val="28"/>
          <w:szCs w:val="28"/>
          <w:shd w:val="clear" w:color="auto" w:fill="F5F5F5"/>
          <w:lang w:val="es-DO" w:eastAsia="es-DO"/>
        </w:rPr>
        <w:t>BURSITIS SUB GLENOIDEA Y SUB CORACOIDEA</w:t>
      </w:r>
    </w:p>
    <w:p w14:paraId="5635554A" w14:textId="77777777" w:rsidR="00D946EE" w:rsidRPr="00D946EE" w:rsidRDefault="00D946EE" w:rsidP="00D946E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B0B0B"/>
          <w:sz w:val="28"/>
          <w:szCs w:val="28"/>
          <w:lang w:val="es-DO" w:eastAsia="es-DO"/>
        </w:rPr>
        <w:t>LESIÓN PARCIAL DEL SUPRA Y DEL INFRA ESPINOSO.</w:t>
      </w:r>
    </w:p>
    <w:p w14:paraId="5715DD09" w14:textId="77777777" w:rsidR="00D946EE" w:rsidRPr="00D946EE" w:rsidRDefault="00D946EE" w:rsidP="00D946E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D946EE">
        <w:rPr>
          <w:rFonts w:ascii="Times New Roman" w:eastAsia="Times New Roman" w:hAnsi="Times New Roman" w:cs="Times New Roman"/>
          <w:b/>
          <w:bCs/>
          <w:color w:val="0B0B0B"/>
          <w:sz w:val="28"/>
          <w:szCs w:val="28"/>
          <w:lang w:val="es-DO" w:eastAsia="es-DO"/>
        </w:rPr>
        <w:t>TENDINOSIS DEL BÍCEPS BRAQUIAL.</w:t>
      </w:r>
    </w:p>
    <w:p w14:paraId="520BE5CC" w14:textId="77777777" w:rsidR="00AC4E97" w:rsidRPr="00D946EE" w:rsidRDefault="00AC4E97">
      <w:pPr>
        <w:rPr>
          <w:rFonts w:ascii="Times New Roman" w:hAnsi="Times New Roman" w:cs="Times New Roman"/>
          <w:sz w:val="28"/>
          <w:szCs w:val="28"/>
        </w:rPr>
      </w:pPr>
    </w:p>
    <w:sectPr w:rsidR="00AC4E97" w:rsidRPr="00D94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EE"/>
    <w:rsid w:val="00AC4E97"/>
    <w:rsid w:val="00D946EE"/>
    <w:rsid w:val="00F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944432"/>
  <w15:chartTrackingRefBased/>
  <w15:docId w15:val="{F9A1CDC0-35DF-45AC-8133-51BA6EC2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4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2026-01-14T21:37:00Z</dcterms:created>
  <dcterms:modified xsi:type="dcterms:W3CDTF">2026-01-14T21:38:00Z</dcterms:modified>
</cp:coreProperties>
</file>