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t xml:space="preserve"/>
      </w:r>
    </w:p>
    <w:p>
      <w:pPr>
        <w:spacing w:after="140"/>
      </w:pPr>
      <w:r>
        <w:t xml:space="preserve"/>
      </w:r>
    </w:p>
    <w:p>
      <w:pPr>
        <w:spacing w:after="100"/>
        <w:jc w:val="center"/>
      </w:pPr>
      <w:r>
        <w:rPr>
          <w:rFonts w:ascii="Arial" w:cs="Arial" w:eastAsia="Arial" w:hAnsi="Arial"/>
          <w:b/>
          <w:bCs/>
          <w:color w:val="1D9E75"/>
          <w:sz w:val="48"/>
          <w:szCs w:val="48"/>
        </w:rPr>
        <w:t xml:space="preserve">DOMTRACE</w:t>
      </w:r>
    </w:p>
    <w:p>
      <w:pPr>
        <w:spacing w:after="400"/>
        <w:jc w:val="center"/>
      </w:pPr>
      <w:r>
        <w:rPr>
          <w:rFonts w:ascii="Arial" w:cs="Arial" w:eastAsia="Arial" w:hAnsi="Arial"/>
          <w:color w:val="888888"/>
          <w:sz w:val="22"/>
          <w:szCs w:val="22"/>
        </w:rPr>
        <w:t xml:space="preserve">stoqly.app</w:t>
      </w:r>
    </w:p>
    <w:p>
      <w:pPr>
        <w:pBdr>
          <w:top w:val="single" w:color="1D9E75" w:sz="8" w:space="6"/>
          <w:bottom w:val="single" w:color="1D9E75" w:sz="8" w:space="6"/>
        </w:pBdr>
        <w:spacing w:after="160" w:before="100"/>
        <w:jc w:val="center"/>
      </w:pPr>
      <w:r>
        <w:rPr>
          <w:rFonts w:ascii="Arial" w:cs="Arial" w:eastAsia="Arial" w:hAnsi="Arial"/>
          <w:b/>
          <w:bCs/>
          <w:color w:val="1A1A1A"/>
          <w:sz w:val="40"/>
          <w:szCs w:val="40"/>
        </w:rPr>
        <w:t xml:space="preserve">AVISO LEGAL Y CONDICIONES DE USO</w:t>
      </w:r>
    </w:p>
    <w:p>
      <w:pPr>
        <w:spacing w:after="140"/>
      </w:pPr>
      <w:r>
        <w:t xml:space="preserve"/>
      </w:r>
    </w:p>
    <w:p>
      <w:pPr>
        <w:spacing w:after="80"/>
        <w:jc w:val="center"/>
      </w:pPr>
      <w:r>
        <w:rPr>
          <w:rFonts w:ascii="Arial" w:cs="Arial" w:eastAsia="Arial" w:hAnsi="Arial"/>
          <w:color w:val="555555"/>
          <w:sz w:val="20"/>
          <w:szCs w:val="20"/>
        </w:rPr>
        <w:t xml:space="preserve">Versión 1.0 · Junio 2026</w:t>
      </w:r>
    </w:p>
    <w:p>
      <w:pPr>
        <w:spacing w:after="400"/>
        <w:jc w:val="center"/>
      </w:pPr>
      <w:r>
        <w:rPr>
          <w:rFonts w:ascii="Arial" w:cs="Arial" w:eastAsia="Arial" w:hAnsi="Arial"/>
          <w:color w:val="555555"/>
          <w:sz w:val="20"/>
          <w:szCs w:val="20"/>
        </w:rPr>
        <w:t xml:space="preserve">De aplicación a stoqly.app y la aplicación móvil Stoqly</w:t>
      </w:r>
    </w:p>
    <w:p>
      <w:pPr>
        <w:spacing w:after="140"/>
      </w:pPr>
      <w:r>
        <w:t xml:space="preserve"/>
      </w:r>
    </w:p>
    <w:p>
      <w:pPr>
        <w:spacing w:after="140"/>
      </w:pPr>
      <w:r>
        <w:t xml:space="preserve"/>
      </w:r>
    </w:p>
    <w:p>
      <w:pPr>
        <w:spacing w:after="160" w:before="200"/>
      </w:pPr>
      <w:r>
        <w:rPr>
          <w:rFonts w:ascii="Arial" w:cs="Arial" w:eastAsia="Arial" w:hAnsi="Arial"/>
          <w:b/>
          <w:bCs/>
          <w:color w:val="1D9E75"/>
          <w:sz w:val="28"/>
          <w:szCs w:val="28"/>
        </w:rPr>
        <w:t xml:space="preserve">PARTE I — AVISO LEGAL (LSSI-CE)</w:t>
      </w:r>
    </w:p>
    <w:p>
      <w:pPr>
        <w:pStyle w:val="Heading1"/>
        <w:pBdr>
          <w:bottom w:val="single" w:color="1D9E75" w:sz="6" w:space="4"/>
        </w:pBdr>
        <w:spacing w:after="140" w:before="320"/>
      </w:pPr>
      <w:r>
        <w:rPr>
          <w:rFonts w:ascii="Arial" w:cs="Arial" w:eastAsia="Arial" w:hAnsi="Arial"/>
          <w:b/>
          <w:bCs/>
          <w:color w:val="1D9E75"/>
          <w:sz w:val="28"/>
          <w:szCs w:val="28"/>
        </w:rPr>
        <w:t xml:space="preserve">1. Datos identificativos del titular del sitio web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Denominación social</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Domtrace [COMPLETAR RAZÓN SOCIAL Y FORMA JURÍDICA]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CIF / NIF</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[COMPLETAR]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Domicilio social</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[COMPLETAR DIRECCIÓN COMPLETA]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Inscripción en el Registro Mercantil</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[COMPLETAR CUANDO SE CONSTITUYA]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Email de contacto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hola@stoqly.app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Email de protección de datos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privacidad@stoqly.app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Sitio web</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stoqly.app</w:t>
            </w:r>
          </w:p>
        </w:tc>
      </w:tr>
    </w:tbl>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2. Objeto y ámbito de aplicación</w:t>
      </w:r>
    </w:p>
    <w:p>
      <w:pPr>
        <w:spacing w:after="140"/>
      </w:pPr>
      <w:r>
        <w:rPr>
          <w:rFonts w:ascii="Arial" w:cs="Arial" w:eastAsia="Arial" w:hAnsi="Arial"/>
          <w:b w:val="false"/>
          <w:bCs w:val="false"/>
          <w:color w:val="1A1A1A"/>
          <w:sz w:val="20"/>
          <w:szCs w:val="20"/>
        </w:rPr>
        <w:t xml:space="preserve">El presente Aviso Legal regula el acceso y uso del sitio web stoqly.app y de la aplicación móvil Stoqly (en adelante, "el Servicio"), titularidad de Domtrace. El acceso y/o uso del Servicio implica la aceptación de las condiciones aquí establecidas. Si no estás de acuerdo con alguna de estas condiciones, debes abstenerte de usar el Servicio.</w:t>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3. Propiedad intelectual e industrial</w:t>
      </w:r>
    </w:p>
    <w:p>
      <w:pPr>
        <w:spacing w:after="140"/>
      </w:pPr>
      <w:r>
        <w:rPr>
          <w:rFonts w:ascii="Arial" w:cs="Arial" w:eastAsia="Arial" w:hAnsi="Arial"/>
          <w:b w:val="false"/>
          <w:bCs w:val="false"/>
          <w:color w:val="1A1A1A"/>
          <w:sz w:val="20"/>
          <w:szCs w:val="20"/>
        </w:rPr>
        <w:t xml:space="preserve">Todos los contenidos del Servicio (textos, imágenes, logotipos, código fuente, diseños, marcas y cualquier otro elemento) son titularidad de Domtrace o de terceros que han autorizado su uso. Quedan prohibidos la reproducción, distribución, comunicación pública, transformación o cualquier otro acto de explotación no autorizado expresamente por escrito.</w:t>
      </w:r>
    </w:p>
    <w:p>
      <w:pPr>
        <w:spacing w:after="140"/>
      </w:pPr>
      <w:r>
        <w:rPr>
          <w:rFonts w:ascii="Arial" w:cs="Arial" w:eastAsia="Arial" w:hAnsi="Arial"/>
          <w:b w:val="false"/>
          <w:bCs w:val="false"/>
          <w:color w:val="1A1A1A"/>
          <w:sz w:val="20"/>
          <w:szCs w:val="20"/>
        </w:rPr>
        <w:t xml:space="preserve">El nombre "Stoqly" y el logotipo asociado son marcas en proceso de registro o registradas de Domtrace. Su uso no autorizado está prohibido.</w:t>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4. Responsabilidad</w:t>
      </w:r>
    </w:p>
    <w:p>
      <w:pPr>
        <w:spacing w:after="140"/>
      </w:pPr>
      <w:r>
        <w:rPr>
          <w:rFonts w:ascii="Arial" w:cs="Arial" w:eastAsia="Arial" w:hAnsi="Arial"/>
          <w:b w:val="false"/>
          <w:bCs w:val="false"/>
          <w:color w:val="1A1A1A"/>
          <w:sz w:val="20"/>
          <w:szCs w:val="20"/>
        </w:rPr>
        <w:t xml:space="preserve">Domtrace no se hace responsable de los daños que puedan derivarse de:</w:t>
      </w:r>
    </w:p>
    <w:p>
      <w:pPr>
        <w:pStyle w:val="ListParagraph"/>
        <w:numPr>
          <w:ilvl w:val="0"/>
          <w:numId w:val="2"/>
        </w:numPr>
        <w:spacing w:after="80"/>
      </w:pPr>
      <w:r>
        <w:rPr>
          <w:rFonts w:ascii="Arial" w:cs="Arial" w:eastAsia="Arial" w:hAnsi="Arial"/>
          <w:color w:val="1A1A1A"/>
          <w:sz w:val="20"/>
          <w:szCs w:val="20"/>
        </w:rPr>
        <w:t xml:space="preserve">Interrupciones del servicio por causas de fuerza mayor, fallos técnicos o mantenimiento.</w:t>
      </w:r>
    </w:p>
    <w:p>
      <w:pPr>
        <w:pStyle w:val="ListParagraph"/>
        <w:numPr>
          <w:ilvl w:val="0"/>
          <w:numId w:val="2"/>
        </w:numPr>
        <w:spacing w:after="80"/>
      </w:pPr>
      <w:r>
        <w:rPr>
          <w:rFonts w:ascii="Arial" w:cs="Arial" w:eastAsia="Arial" w:hAnsi="Arial"/>
          <w:color w:val="1A1A1A"/>
          <w:sz w:val="20"/>
          <w:szCs w:val="20"/>
        </w:rPr>
        <w:t xml:space="preserve">El uso inadecuado del Servicio por parte del usuario.</w:t>
      </w:r>
    </w:p>
    <w:p>
      <w:pPr>
        <w:pStyle w:val="ListParagraph"/>
        <w:numPr>
          <w:ilvl w:val="0"/>
          <w:numId w:val="2"/>
        </w:numPr>
        <w:spacing w:after="80"/>
      </w:pPr>
      <w:r>
        <w:rPr>
          <w:rFonts w:ascii="Arial" w:cs="Arial" w:eastAsia="Arial" w:hAnsi="Arial"/>
          <w:color w:val="1A1A1A"/>
          <w:sz w:val="20"/>
          <w:szCs w:val="20"/>
        </w:rPr>
        <w:t xml:space="preserve">La inexactitud o desactualización de la información introducida por el usuario en la aplicación.</w:t>
      </w:r>
    </w:p>
    <w:p>
      <w:pPr>
        <w:pStyle w:val="ListParagraph"/>
        <w:numPr>
          <w:ilvl w:val="0"/>
          <w:numId w:val="2"/>
        </w:numPr>
        <w:spacing w:after="80"/>
      </w:pPr>
      <w:r>
        <w:rPr>
          <w:rFonts w:ascii="Arial" w:cs="Arial" w:eastAsia="Arial" w:hAnsi="Arial"/>
          <w:color w:val="1A1A1A"/>
          <w:sz w:val="20"/>
          <w:szCs w:val="20"/>
        </w:rPr>
        <w:t xml:space="preserve">Decisiones de salud tomadas únicamente sobre la base de las sugerencias del asistente IA Stoqly. El asistente es una herramienta de apoyo y no sustituye el consejo médico profesional.</w:t>
      </w:r>
    </w:p>
    <w:p>
      <w:pPr>
        <w:spacing w:after="140"/>
      </w:pPr>
      <w:r>
        <w:t xml:space="preserve"/>
      </w:r>
    </w:p>
    <w:p>
      <w:pPr>
        <w:spacing w:after="140"/>
      </w:pPr>
      <w:r>
        <w:rPr>
          <w:rFonts w:ascii="Arial" w:cs="Arial" w:eastAsia="Arial" w:hAnsi="Arial"/>
          <w:b w:val="false"/>
          <w:bCs w:val="false"/>
          <w:color w:val="1A1A1A"/>
          <w:sz w:val="20"/>
          <w:szCs w:val="20"/>
        </w:rPr>
        <w:t xml:space="preserve">Domtrace implementa medidas de seguridad razonables pero no puede garantizar la seguridad absoluta de los sistemas de información.</w:t>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5. Legislación aplicable y jurisdicción</w:t>
      </w:r>
    </w:p>
    <w:p>
      <w:pPr>
        <w:spacing w:after="140"/>
      </w:pPr>
      <w:r>
        <w:rPr>
          <w:rFonts w:ascii="Arial" w:cs="Arial" w:eastAsia="Arial" w:hAnsi="Arial"/>
          <w:b w:val="false"/>
          <w:bCs w:val="false"/>
          <w:color w:val="1A1A1A"/>
          <w:sz w:val="20"/>
          <w:szCs w:val="20"/>
        </w:rPr>
        <w:t xml:space="preserve">El presente Aviso Legal se rige por la legislación española. Para cualquier controversia derivada del acceso o uso del Servicio, las partes se someten, con renuncia expresa a cualquier otro fuero que pudiera corresponderles, a los Juzgados y Tribunales de [COMPLETAR CIUDAD], salvo que la normativa de protección al consumidor establezca otro fuero imperativo.</w:t>
      </w:r>
    </w:p>
    <w:p>
      <w:pPr>
        <w:spacing w:after="140"/>
      </w:pPr>
      <w:r>
        <w:t xml:space="preserve"/>
      </w:r>
    </w:p>
    <w:p>
      <w:pPr>
        <w:spacing w:after="140"/>
      </w:pPr>
      <w:r>
        <w:t xml:space="preserve"/>
      </w:r>
    </w:p>
    <w:p>
      <w:r>
        <w:br w:type="page"/>
      </w:r>
    </w:p>
    <w:p>
      <w:pPr>
        <w:spacing w:after="160" w:before="200"/>
      </w:pPr>
      <w:r>
        <w:rPr>
          <w:rFonts w:ascii="Arial" w:cs="Arial" w:eastAsia="Arial" w:hAnsi="Arial"/>
          <w:b/>
          <w:bCs/>
          <w:color w:val="1D9E75"/>
          <w:sz w:val="28"/>
          <w:szCs w:val="28"/>
        </w:rPr>
        <w:t xml:space="preserve">PARTE II — CONDICIONES GENERALES DE USO DEL SERVICIO</w:t>
      </w:r>
    </w:p>
    <w:p>
      <w:pPr>
        <w:pStyle w:val="Heading1"/>
        <w:pBdr>
          <w:bottom w:val="single" w:color="1D9E75" w:sz="6" w:space="4"/>
        </w:pBdr>
        <w:spacing w:after="140" w:before="320"/>
      </w:pPr>
      <w:r>
        <w:rPr>
          <w:rFonts w:ascii="Arial" w:cs="Arial" w:eastAsia="Arial" w:hAnsi="Arial"/>
          <w:b/>
          <w:bCs/>
          <w:color w:val="1D9E75"/>
          <w:sz w:val="28"/>
          <w:szCs w:val="28"/>
        </w:rPr>
        <w:t xml:space="preserve">6. Descripción del servicio</w:t>
      </w:r>
    </w:p>
    <w:p>
      <w:pPr>
        <w:spacing w:after="140"/>
      </w:pPr>
      <w:r>
        <w:rPr>
          <w:rFonts w:ascii="Arial" w:cs="Arial" w:eastAsia="Arial" w:hAnsi="Arial"/>
          <w:b w:val="false"/>
          <w:bCs w:val="false"/>
          <w:color w:val="1A1A1A"/>
          <w:sz w:val="20"/>
          <w:szCs w:val="20"/>
        </w:rPr>
        <w:t xml:space="preserve">Stoqly es una aplicación de gestión inteligente del hogar que permite al usuario controlar el inventario de productos del hogar (despensa, cosméticos, suplementos, medicamentos), gestionar el cuidado de bebés, recibir alertas de caducidad y utilizar un asistente de inteligencia artificial para facilitar la gestión doméstica.</w:t>
      </w:r>
    </w:p>
    <w:p>
      <w:pPr>
        <w:spacing w:after="140"/>
      </w:pPr>
      <w:r>
        <w:rPr>
          <w:rFonts w:ascii="Arial" w:cs="Arial" w:eastAsia="Arial" w:hAnsi="Arial"/>
          <w:b w:val="false"/>
          <w:bCs w:val="false"/>
          <w:color w:val="1A1A1A"/>
          <w:sz w:val="20"/>
          <w:szCs w:val="20"/>
        </w:rPr>
        <w:t xml:space="preserve">El Servicio se presta en diferentes modalidades (planes) con distintas prestaciones y límites, según lo establecido en la página de planes de stoqly.app.</w:t>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7. Condiciones de registro y uso</w:t>
      </w:r>
    </w:p>
    <w:p>
      <w:pPr>
        <w:pStyle w:val="Heading2"/>
        <w:spacing w:after="100" w:before="220"/>
      </w:pPr>
      <w:r>
        <w:rPr>
          <w:rFonts w:ascii="Arial" w:cs="Arial" w:eastAsia="Arial" w:hAnsi="Arial"/>
          <w:b/>
          <w:bCs/>
          <w:color w:val="1A1A1A"/>
          <w:sz w:val="24"/>
          <w:szCs w:val="24"/>
        </w:rPr>
        <w:t xml:space="preserve">7.1 Requisitos</w:t>
      </w:r>
    </w:p>
    <w:p>
      <w:pPr>
        <w:pStyle w:val="ListParagraph"/>
        <w:numPr>
          <w:ilvl w:val="0"/>
          <w:numId w:val="2"/>
        </w:numPr>
        <w:spacing w:after="80"/>
      </w:pPr>
      <w:r>
        <w:rPr>
          <w:rFonts w:ascii="Arial" w:cs="Arial" w:eastAsia="Arial" w:hAnsi="Arial"/>
          <w:color w:val="1A1A1A"/>
          <w:sz w:val="20"/>
          <w:szCs w:val="20"/>
        </w:rPr>
        <w:t xml:space="preserve">El usuario debe ser mayor de 18 años o contar con la autorización de su tutor legal.</w:t>
      </w:r>
    </w:p>
    <w:p>
      <w:pPr>
        <w:pStyle w:val="ListParagraph"/>
        <w:numPr>
          <w:ilvl w:val="0"/>
          <w:numId w:val="2"/>
        </w:numPr>
        <w:spacing w:after="80"/>
      </w:pPr>
      <w:r>
        <w:rPr>
          <w:rFonts w:ascii="Arial" w:cs="Arial" w:eastAsia="Arial" w:hAnsi="Arial"/>
          <w:color w:val="1A1A1A"/>
          <w:sz w:val="20"/>
          <w:szCs w:val="20"/>
        </w:rPr>
        <w:t xml:space="preserve">El registro requiere facilitar una dirección de email válida y una contraseña.</w:t>
      </w:r>
    </w:p>
    <w:p>
      <w:pPr>
        <w:pStyle w:val="ListParagraph"/>
        <w:numPr>
          <w:ilvl w:val="0"/>
          <w:numId w:val="2"/>
        </w:numPr>
        <w:spacing w:after="80"/>
      </w:pPr>
      <w:r>
        <w:rPr>
          <w:rFonts w:ascii="Arial" w:cs="Arial" w:eastAsia="Arial" w:hAnsi="Arial"/>
          <w:color w:val="1A1A1A"/>
          <w:sz w:val="20"/>
          <w:szCs w:val="20"/>
        </w:rPr>
        <w:t xml:space="preserve">El usuario es responsable de mantener la confidencialidad de sus credenciales de acceso.</w:t>
      </w:r>
    </w:p>
    <w:p>
      <w:pPr>
        <w:pStyle w:val="ListParagraph"/>
        <w:numPr>
          <w:ilvl w:val="0"/>
          <w:numId w:val="2"/>
        </w:numPr>
        <w:spacing w:after="80"/>
      </w:pPr>
      <w:r>
        <w:rPr>
          <w:rFonts w:ascii="Arial" w:cs="Arial" w:eastAsia="Arial" w:hAnsi="Arial"/>
          <w:color w:val="1A1A1A"/>
          <w:sz w:val="20"/>
          <w:szCs w:val="20"/>
        </w:rPr>
        <w:t xml:space="preserve">Cada cuenta es personal e intransferible.</w:t>
      </w:r>
    </w:p>
    <w:p>
      <w:pPr>
        <w:spacing w:after="140"/>
      </w:pPr>
      <w:r>
        <w:t xml:space="preserve"/>
      </w:r>
    </w:p>
    <w:p>
      <w:pPr>
        <w:pStyle w:val="Heading2"/>
        <w:spacing w:after="100" w:before="220"/>
      </w:pPr>
      <w:r>
        <w:rPr>
          <w:rFonts w:ascii="Arial" w:cs="Arial" w:eastAsia="Arial" w:hAnsi="Arial"/>
          <w:b/>
          <w:bCs/>
          <w:color w:val="1A1A1A"/>
          <w:sz w:val="24"/>
          <w:szCs w:val="24"/>
        </w:rPr>
        <w:t xml:space="preserve">7.2 Uso adecuado del servicio</w:t>
      </w:r>
    </w:p>
    <w:p>
      <w:pPr>
        <w:spacing w:after="140"/>
      </w:pPr>
      <w:r>
        <w:rPr>
          <w:rFonts w:ascii="Arial" w:cs="Arial" w:eastAsia="Arial" w:hAnsi="Arial"/>
          <w:b w:val="false"/>
          <w:bCs w:val="false"/>
          <w:color w:val="1A1A1A"/>
          <w:sz w:val="20"/>
          <w:szCs w:val="20"/>
        </w:rPr>
        <w:t xml:space="preserve">El usuario se compromete a hacer un uso lícito del Servicio y, en particular, a no:</w:t>
      </w:r>
    </w:p>
    <w:p>
      <w:pPr>
        <w:pStyle w:val="ListParagraph"/>
        <w:numPr>
          <w:ilvl w:val="0"/>
          <w:numId w:val="2"/>
        </w:numPr>
        <w:spacing w:after="80"/>
      </w:pPr>
      <w:r>
        <w:rPr>
          <w:rFonts w:ascii="Arial" w:cs="Arial" w:eastAsia="Arial" w:hAnsi="Arial"/>
          <w:color w:val="1A1A1A"/>
          <w:sz w:val="20"/>
          <w:szCs w:val="20"/>
        </w:rPr>
        <w:t xml:space="preserve">Introducir datos falsos o de terceras personas sin su consentimiento.</w:t>
      </w:r>
    </w:p>
    <w:p>
      <w:pPr>
        <w:pStyle w:val="ListParagraph"/>
        <w:numPr>
          <w:ilvl w:val="0"/>
          <w:numId w:val="2"/>
        </w:numPr>
        <w:spacing w:after="80"/>
      </w:pPr>
      <w:r>
        <w:rPr>
          <w:rFonts w:ascii="Arial" w:cs="Arial" w:eastAsia="Arial" w:hAnsi="Arial"/>
          <w:color w:val="1A1A1A"/>
          <w:sz w:val="20"/>
          <w:szCs w:val="20"/>
        </w:rPr>
        <w:t xml:space="preserve">Intentar acceder a los datos de otros usuarios o de otros hogares.</w:t>
      </w:r>
    </w:p>
    <w:p>
      <w:pPr>
        <w:pStyle w:val="ListParagraph"/>
        <w:numPr>
          <w:ilvl w:val="0"/>
          <w:numId w:val="2"/>
        </w:numPr>
        <w:spacing w:after="80"/>
      </w:pPr>
      <w:r>
        <w:rPr>
          <w:rFonts w:ascii="Arial" w:cs="Arial" w:eastAsia="Arial" w:hAnsi="Arial"/>
          <w:color w:val="1A1A1A"/>
          <w:sz w:val="20"/>
          <w:szCs w:val="20"/>
        </w:rPr>
        <w:t xml:space="preserve">Realizar ingeniería inversa, descompilar o intentar obtener el código fuente de la aplicación.</w:t>
      </w:r>
    </w:p>
    <w:p>
      <w:pPr>
        <w:pStyle w:val="ListParagraph"/>
        <w:numPr>
          <w:ilvl w:val="0"/>
          <w:numId w:val="2"/>
        </w:numPr>
        <w:spacing w:after="80"/>
      </w:pPr>
      <w:r>
        <w:rPr>
          <w:rFonts w:ascii="Arial" w:cs="Arial" w:eastAsia="Arial" w:hAnsi="Arial"/>
          <w:color w:val="1A1A1A"/>
          <w:sz w:val="20"/>
          <w:szCs w:val="20"/>
        </w:rPr>
        <w:t xml:space="preserve">Usar el Servicio para fines ilegales o lesivos para terceros.</w:t>
      </w:r>
    </w:p>
    <w:p>
      <w:pPr>
        <w:pStyle w:val="ListParagraph"/>
        <w:numPr>
          <w:ilvl w:val="0"/>
          <w:numId w:val="2"/>
        </w:numPr>
        <w:spacing w:after="80"/>
      </w:pPr>
      <w:r>
        <w:rPr>
          <w:rFonts w:ascii="Arial" w:cs="Arial" w:eastAsia="Arial" w:hAnsi="Arial"/>
          <w:color w:val="1A1A1A"/>
          <w:sz w:val="20"/>
          <w:szCs w:val="20"/>
        </w:rPr>
        <w:t xml:space="preserve">Sobrecargar o intentar degradar la disponibilidad del Servicio.</w:t>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8. Módulos de datos de salud — Aviso específico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100"/>
            </w:pPr>
            <w:r>
              <w:rPr>
                <w:rFonts w:ascii="Arial" w:cs="Arial" w:eastAsia="Arial" w:hAnsi="Arial"/>
                <w:b/>
                <w:bCs/>
                <w:color w:val="7D4500"/>
                <w:sz w:val="22"/>
                <w:szCs w:val="22"/>
              </w:rPr>
              <w:t xml:space="preserve">AVISO IMPORTANTE — DATOS DE SALUD</w:t>
            </w:r>
          </w:p>
          <w:p>
            <w:pPr>
              <w:spacing w:after="100"/>
            </w:pPr>
            <w:r>
              <w:rPr>
                <w:rFonts w:ascii="Arial" w:cs="Arial" w:eastAsia="Arial" w:hAnsi="Arial"/>
                <w:color w:val="7D4500"/>
                <w:sz w:val="19"/>
                <w:szCs w:val="19"/>
              </w:rPr>
              <w:t xml:space="preserve">Los módulos de Medicamentos, Suplementos y Bebés tratan datos de salud en el sentido del artículo 9 del RGPD. Su activación requiere tu consentimiento explícito. El asistente Stoqly puede hacer referencia a esta información para responder tus consultas, pero en ningún caso sustituye el criterio médico o farmacéutico profesional. Ante cualquier duda sobre medicamentos, dosis o síntomas, consulta siempre a un profesional sanitario.</w:t>
            </w:r>
          </w:p>
        </w:tc>
      </w:tr>
    </w:tbl>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9. Planes y precios</w:t>
      </w:r>
    </w:p>
    <w:p>
      <w:pPr>
        <w:spacing w:after="140"/>
      </w:pPr>
      <w:r>
        <w:rPr>
          <w:rFonts w:ascii="Arial" w:cs="Arial" w:eastAsia="Arial" w:hAnsi="Arial"/>
          <w:b w:val="false"/>
          <w:bCs w:val="false"/>
          <w:color w:val="1A1A1A"/>
          <w:sz w:val="20"/>
          <w:szCs w:val="20"/>
        </w:rPr>
        <w:t xml:space="preserve">Stoqly ofrece un plan gratuito y planes de pago. Los precios, prestaciones y condiciones de cada plan se publican en stoqly.app/planes. Domtrace se reserva el derecho a modificar los planes y precios con un preaviso razonable notificado al usuario.</w:t>
      </w:r>
    </w:p>
    <w:p>
      <w:pPr>
        <w:spacing w:after="140"/>
      </w:pPr>
      <w:r>
        <w:rPr>
          <w:rFonts w:ascii="Arial" w:cs="Arial" w:eastAsia="Arial" w:hAnsi="Arial"/>
          <w:b w:val="false"/>
          <w:bCs w:val="false"/>
          <w:color w:val="1A1A1A"/>
          <w:sz w:val="20"/>
          <w:szCs w:val="20"/>
        </w:rPr>
        <w:t xml:space="preserve">Los pagos se gestionan a través de Stripe. Al contratar un plan de pago, el usuario acepta las condiciones de servicio de Stripe aplicables a la pasarela de pago.</w:t>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10. Cancelación de cuenta y portabilidad</w:t>
      </w:r>
    </w:p>
    <w:p>
      <w:pPr>
        <w:spacing w:after="140"/>
      </w:pPr>
      <w:r>
        <w:rPr>
          <w:rFonts w:ascii="Arial" w:cs="Arial" w:eastAsia="Arial" w:hAnsi="Arial"/>
          <w:b w:val="false"/>
          <w:bCs w:val="false"/>
          <w:color w:val="1A1A1A"/>
          <w:sz w:val="20"/>
          <w:szCs w:val="20"/>
        </w:rPr>
        <w:t xml:space="preserve">El usuario puede cancelar su cuenta en cualquier momento desde Ajustes &gt; Cuenta &gt; Eliminar cuenta. La cancelación implica la eliminación de todos los datos personales en los plazos previstos en la Política de Privacidad.</w:t>
      </w:r>
    </w:p>
    <w:p>
      <w:pPr>
        <w:spacing w:after="140"/>
      </w:pPr>
      <w:r>
        <w:rPr>
          <w:rFonts w:ascii="Arial" w:cs="Arial" w:eastAsia="Arial" w:hAnsi="Arial"/>
          <w:b w:val="false"/>
          <w:bCs w:val="false"/>
          <w:color w:val="1A1A1A"/>
          <w:sz w:val="20"/>
          <w:szCs w:val="20"/>
        </w:rPr>
        <w:t xml:space="preserve">El usuario puede solicitar la exportación de sus datos en formato JSON o CSV enviando una solicitud a privacidad@stoqly.app (derecho de portabilidad, Art. 20 RGPD).</w:t>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11. Modificación de las condiciones</w:t>
      </w:r>
    </w:p>
    <w:p>
      <w:pPr>
        <w:spacing w:after="140"/>
      </w:pPr>
      <w:r>
        <w:rPr>
          <w:rFonts w:ascii="Arial" w:cs="Arial" w:eastAsia="Arial" w:hAnsi="Arial"/>
          <w:b w:val="false"/>
          <w:bCs w:val="false"/>
          <w:color w:val="1A1A1A"/>
          <w:sz w:val="20"/>
          <w:szCs w:val="20"/>
        </w:rPr>
        <w:t xml:space="preserve">Domtrace se reserva el derecho a modificar las presentes Condiciones de Uso. Las modificaciones serán notificadas al usuario mediante email o aviso en la aplicación con al menos 15 días de antelación a su entrada en vigor. El uso continuado del Servicio tras dicha fecha implica la aceptación de las nuevas condiciones.</w:t>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12. Idioma</w:t>
      </w:r>
    </w:p>
    <w:p>
      <w:pPr>
        <w:spacing w:after="140"/>
      </w:pPr>
      <w:r>
        <w:rPr>
          <w:rFonts w:ascii="Arial" w:cs="Arial" w:eastAsia="Arial" w:hAnsi="Arial"/>
          <w:b w:val="false"/>
          <w:bCs w:val="false"/>
          <w:color w:val="1A1A1A"/>
          <w:sz w:val="20"/>
          <w:szCs w:val="20"/>
        </w:rPr>
        <w:t xml:space="preserve">Las presentes Condiciones se redactan en español, que es el idioma oficial del contrato entre Domtrace y el usuario.</w:t>
      </w:r>
    </w:p>
    <w:p>
      <w:pPr>
        <w:spacing w:after="140"/>
      </w:pPr>
      <w:r>
        <w:t xml:space="preserve"/>
      </w:r>
    </w:p>
    <w:p>
      <w:pPr>
        <w:spacing w:after="140"/>
      </w:pPr>
      <w:r>
        <w:t xml:space="preserve"/>
      </w:r>
    </w:p>
    <w:p>
      <w:pPr>
        <w:spacing w:before="300"/>
        <w:jc w:val="right"/>
      </w:pPr>
      <w:r>
        <w:rPr>
          <w:rFonts w:ascii="Arial" w:cs="Arial" w:eastAsia="Arial" w:hAnsi="Arial"/>
          <w:color w:val="AAAAAA"/>
          <w:sz w:val="18"/>
          <w:szCs w:val="18"/>
        </w:rPr>
        <w:t xml:space="preserve">Domtrace · Aviso Legal y Condiciones de Uso · v1.0 · Junio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space="4"/>
      </w:pBd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de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pPr>
    <w:r>
      <w:rPr>
        <w:rFonts w:ascii="Arial" w:cs="Arial" w:eastAsia="Arial" w:hAnsi="Arial"/>
        <w:color w:val="999999"/>
        <w:sz w:val="16"/>
        <w:szCs w:val="16"/>
      </w:rPr>
      <w:t xml:space="preserve">DOMTRACE — Aviso Legal y Condiciones de Uso de Stoqly — v1.0 ·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D9E75"/>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2026-06-09T07:09:32.661Z</dcterms:created>
  <dcterms:modified xsi:type="dcterms:W3CDTF">2026-06-09T07:09:32.661Z</dcterms:modified>
</cp:coreProperties>
</file>

<file path=docProps/custom.xml><?xml version="1.0" encoding="utf-8"?>
<Properties xmlns="http://schemas.openxmlformats.org/officeDocument/2006/custom-properties" xmlns:vt="http://schemas.openxmlformats.org/officeDocument/2006/docPropsVTypes"/>
</file>