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t xml:space="preserve"/>
      </w:r>
    </w:p>
    <w:p>
      <w:pPr>
        <w:spacing w:after="140"/>
      </w:pPr>
      <w:r>
        <w:t xml:space="preserve"/>
      </w:r>
    </w:p>
    <w:p>
      <w:pPr>
        <w:spacing w:after="100"/>
        <w:jc w:val="center"/>
      </w:pPr>
      <w:r>
        <w:rPr>
          <w:rFonts w:ascii="Arial" w:cs="Arial" w:eastAsia="Arial" w:hAnsi="Arial"/>
          <w:b/>
          <w:bCs/>
          <w:color w:val="1D9E75"/>
          <w:sz w:val="48"/>
          <w:szCs w:val="48"/>
        </w:rPr>
        <w:t xml:space="preserve">DOMTRACE</w:t>
      </w:r>
    </w:p>
    <w:p>
      <w:pPr>
        <w:spacing w:after="400"/>
        <w:jc w:val="center"/>
      </w:pPr>
      <w:r>
        <w:rPr>
          <w:rFonts w:ascii="Arial" w:cs="Arial" w:eastAsia="Arial" w:hAnsi="Arial"/>
          <w:color w:val="888888"/>
          <w:sz w:val="22"/>
          <w:szCs w:val="22"/>
        </w:rPr>
        <w:t xml:space="preserve">stoqly.app</w:t>
      </w:r>
    </w:p>
    <w:p>
      <w:pPr>
        <w:pBdr>
          <w:top w:val="single" w:color="1D9E75" w:sz="8" w:space="6"/>
          <w:bottom w:val="single" w:color="1D9E75" w:sz="8" w:space="6"/>
        </w:pBdr>
        <w:spacing w:after="160" w:before="100"/>
        <w:jc w:val="center"/>
      </w:pPr>
      <w:r>
        <w:rPr>
          <w:rFonts w:ascii="Arial" w:cs="Arial" w:eastAsia="Arial" w:hAnsi="Arial"/>
          <w:b/>
          <w:bCs/>
          <w:color w:val="1A1A1A"/>
          <w:sz w:val="36"/>
          <w:szCs w:val="36"/>
        </w:rPr>
        <w:t xml:space="preserve">PROCEDIMIENTO DE EJERCICIO DE DERECHOS ARCO+</w:t>
      </w:r>
    </w:p>
    <w:p>
      <w:pPr>
        <w:spacing w:after="140"/>
      </w:pPr>
      <w:r>
        <w:t xml:space="preserve"/>
      </w:r>
    </w:p>
    <w:p>
      <w:pPr>
        <w:spacing w:after="80"/>
        <w:jc w:val="center"/>
      </w:pPr>
      <w:r>
        <w:rPr>
          <w:rFonts w:ascii="Arial" w:cs="Arial" w:eastAsia="Arial" w:hAnsi="Arial"/>
          <w:color w:val="555555"/>
          <w:sz w:val="19"/>
          <w:szCs w:val="19"/>
        </w:rPr>
        <w:t xml:space="preserve">Acceso · Rectificación · Cancelación/Supresión · Oposición · Portabilidad · Limitación</w:t>
      </w:r>
    </w:p>
    <w:p>
      <w:pPr>
        <w:spacing w:after="400"/>
        <w:jc w:val="center"/>
      </w:pPr>
      <w:r>
        <w:rPr>
          <w:rFonts w:ascii="Arial" w:cs="Arial" w:eastAsia="Arial" w:hAnsi="Arial"/>
          <w:color w:val="555555"/>
          <w:sz w:val="19"/>
          <w:szCs w:val="19"/>
        </w:rPr>
        <w:t xml:space="preserve">Versión 1.0 · Junio 2026 · USO INTERNO</w:t>
      </w:r>
    </w:p>
    <w:p>
      <w:pPr>
        <w:spacing w:after="140"/>
      </w:pPr>
      <w:r>
        <w:t xml:space="preserve"/>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1. Objeto y ámbito</w:t>
      </w:r>
    </w:p>
    <w:p>
      <w:pPr>
        <w:spacing w:after="140"/>
      </w:pPr>
      <w:r>
        <w:rPr>
          <w:rFonts w:ascii="Arial" w:cs="Arial" w:eastAsia="Arial" w:hAnsi="Arial"/>
          <w:b w:val="false"/>
          <w:bCs w:val="false"/>
          <w:color w:val="1A1A1A"/>
          <w:sz w:val="20"/>
          <w:szCs w:val="20"/>
        </w:rPr>
        <w:t xml:space="preserve">Este procedimiento establece el proceso interno para tramitar las solicitudes de ejercicio de derechos de los interesados cuyos datos personales son tratados por Domtrace en el marco del servicio Stoqly, de conformidad con los artículos 15 a 22 del RGPD y los artículos 13 a 17 de la LOPDGDD.</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2. Derechos reconocidos y plazos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26"/>
        <w:gridCol w:w="2000"/>
      </w:tblGrid>
      <w:tr>
        <w:trPr>
          <w:tblHeader/>
        </w:trPr>
        <w:tc>
          <w:tcPr>
            <w:tcW w:type="dxa" w:w="1800"/>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19"/>
                <w:szCs w:val="19"/>
              </w:rPr>
              <w:t xml:space="preserve">Derecho</w:t>
            </w:r>
          </w:p>
        </w:tc>
        <w:tc>
          <w:tcPr>
            <w:tcW w:type="dxa" w:w="3200"/>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19"/>
                <w:szCs w:val="19"/>
              </w:rPr>
              <w:t xml:space="preserve">Descripción</w:t>
            </w:r>
          </w:p>
        </w:tc>
        <w:tc>
          <w:tcPr>
            <w:tcW w:type="dxa" w:w="2026"/>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19"/>
                <w:szCs w:val="19"/>
              </w:rPr>
              <w:t xml:space="preserve">Plazo de respuesta</w:t>
            </w:r>
          </w:p>
        </w:tc>
        <w:tc>
          <w:tcPr>
            <w:tcW w:type="dxa" w:w="2000"/>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19"/>
                <w:szCs w:val="19"/>
              </w:rPr>
              <w:t xml:space="preserve">Base legal</w:t>
            </w:r>
          </w:p>
        </w:tc>
      </w:tr>
      <w:tr>
        <w:tc>
          <w:tcPr>
            <w:tcW w:type="dxa" w:w="1800"/>
            <w:tcBorders>
              <w:top w:val="single" w:color="CCCCCC" w:sz="1"/>
              <w:left w:val="single" w:color="CCCCCC" w:sz="1"/>
              <w:bottom w:val="single" w:color="CCCCCC" w:sz="1"/>
              <w:right w:val="single" w:color="CCCCCC" w:sz="1"/>
            </w:tcBorders>
            <w:shd w:fill="E8F7F2" w:val="clear"/>
            <w:tcMar>
              <w:top w:type="dxa" w:w="80"/>
              <w:left w:type="dxa" w:w="120"/>
              <w:bottom w:type="dxa" w:w="80"/>
              <w:right w:type="dxa" w:w="120"/>
            </w:tcMar>
          </w:tcPr>
          <w:p>
            <w:r>
              <w:rPr>
                <w:rFonts w:ascii="Arial" w:cs="Arial" w:eastAsia="Arial" w:hAnsi="Arial"/>
                <w:b/>
                <w:bCs/>
                <w:color w:val="1D9E75"/>
                <w:sz w:val="18"/>
                <w:szCs w:val="18"/>
              </w:rPr>
              <w:t xml:space="preserve">Acceso (A)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Obtener copia de sus datos personales tratados por Domtrace.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1 mes (prorrogable 2 meses)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Art. 15 RGPD</w:t>
            </w:r>
          </w:p>
        </w:tc>
      </w:tr>
      <w:tr>
        <w:tc>
          <w:tcPr>
            <w:tcW w:type="dxa" w:w="1800"/>
            <w:tcBorders>
              <w:top w:val="single" w:color="CCCCCC" w:sz="1"/>
              <w:left w:val="single" w:color="CCCCCC" w:sz="1"/>
              <w:bottom w:val="single" w:color="CCCCCC" w:sz="1"/>
              <w:right w:val="single" w:color="CCCCCC" w:sz="1"/>
            </w:tcBorders>
            <w:shd w:fill="E8F7F2" w:val="clear"/>
            <w:tcMar>
              <w:top w:type="dxa" w:w="80"/>
              <w:left w:type="dxa" w:w="120"/>
              <w:bottom w:type="dxa" w:w="80"/>
              <w:right w:type="dxa" w:w="120"/>
            </w:tcMar>
          </w:tcPr>
          <w:p>
            <w:r>
              <w:rPr>
                <w:rFonts w:ascii="Arial" w:cs="Arial" w:eastAsia="Arial" w:hAnsi="Arial"/>
                <w:b/>
                <w:bCs/>
                <w:color w:val="1D9E75"/>
                <w:sz w:val="18"/>
                <w:szCs w:val="18"/>
              </w:rPr>
              <w:t xml:space="preserve">Rectificación (R)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Corregir datos inexactos o incompletos.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1 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Art. 16 RGPD</w:t>
            </w:r>
          </w:p>
        </w:tc>
      </w:tr>
      <w:tr>
        <w:tc>
          <w:tcPr>
            <w:tcW w:type="dxa" w:w="1800"/>
            <w:tcBorders>
              <w:top w:val="single" w:color="CCCCCC" w:sz="1"/>
              <w:left w:val="single" w:color="CCCCCC" w:sz="1"/>
              <w:bottom w:val="single" w:color="CCCCCC" w:sz="1"/>
              <w:right w:val="single" w:color="CCCCCC" w:sz="1"/>
            </w:tcBorders>
            <w:shd w:fill="E8F7F2" w:val="clear"/>
            <w:tcMar>
              <w:top w:type="dxa" w:w="80"/>
              <w:left w:type="dxa" w:w="120"/>
              <w:bottom w:type="dxa" w:w="80"/>
              <w:right w:type="dxa" w:w="120"/>
            </w:tcMar>
          </w:tcPr>
          <w:p>
            <w:r>
              <w:rPr>
                <w:rFonts w:ascii="Arial" w:cs="Arial" w:eastAsia="Arial" w:hAnsi="Arial"/>
                <w:b/>
                <w:bCs/>
                <w:color w:val="1D9E75"/>
                <w:sz w:val="18"/>
                <w:szCs w:val="18"/>
              </w:rPr>
              <w:t xml:space="preserve">Supresión / Olvido (C)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Eliminar datos cuando no sean necesarios o se retire el consentimiento.</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1 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Art. 17 RGPD</w:t>
            </w:r>
          </w:p>
        </w:tc>
      </w:tr>
      <w:tr>
        <w:tc>
          <w:tcPr>
            <w:tcW w:type="dxa" w:w="1800"/>
            <w:tcBorders>
              <w:top w:val="single" w:color="CCCCCC" w:sz="1"/>
              <w:left w:val="single" w:color="CCCCCC" w:sz="1"/>
              <w:bottom w:val="single" w:color="CCCCCC" w:sz="1"/>
              <w:right w:val="single" w:color="CCCCCC" w:sz="1"/>
            </w:tcBorders>
            <w:shd w:fill="E8F7F2" w:val="clear"/>
            <w:tcMar>
              <w:top w:type="dxa" w:w="80"/>
              <w:left w:type="dxa" w:w="120"/>
              <w:bottom w:type="dxa" w:w="80"/>
              <w:right w:type="dxa" w:w="120"/>
            </w:tcMar>
          </w:tcPr>
          <w:p>
            <w:r>
              <w:rPr>
                <w:rFonts w:ascii="Arial" w:cs="Arial" w:eastAsia="Arial" w:hAnsi="Arial"/>
                <w:b/>
                <w:bCs/>
                <w:color w:val="1D9E75"/>
                <w:sz w:val="18"/>
                <w:szCs w:val="18"/>
              </w:rPr>
              <w:t xml:space="preserve">Oposición (O)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Oponerse al tratamiento por motivos relacionados con su situación particular.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1 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Art. 21 RGPD</w:t>
            </w:r>
          </w:p>
        </w:tc>
      </w:tr>
      <w:tr>
        <w:tc>
          <w:tcPr>
            <w:tcW w:type="dxa" w:w="1800"/>
            <w:tcBorders>
              <w:top w:val="single" w:color="CCCCCC" w:sz="1"/>
              <w:left w:val="single" w:color="CCCCCC" w:sz="1"/>
              <w:bottom w:val="single" w:color="CCCCCC" w:sz="1"/>
              <w:right w:val="single" w:color="CCCCCC" w:sz="1"/>
            </w:tcBorders>
            <w:shd w:fill="E8F7F2" w:val="clear"/>
            <w:tcMar>
              <w:top w:type="dxa" w:w="80"/>
              <w:left w:type="dxa" w:w="120"/>
              <w:bottom w:type="dxa" w:w="80"/>
              <w:right w:type="dxa" w:w="120"/>
            </w:tcMar>
          </w:tcPr>
          <w:p>
            <w:r>
              <w:rPr>
                <w:rFonts w:ascii="Arial" w:cs="Arial" w:eastAsia="Arial" w:hAnsi="Arial"/>
                <w:b/>
                <w:bCs/>
                <w:color w:val="1D9E75"/>
                <w:sz w:val="18"/>
                <w:szCs w:val="18"/>
              </w:rPr>
              <w:t xml:space="preserve">Portabilidad (P)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Recibir datos en formato estructurado (JSON/CSV) para transmitirlos a otro responsable.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1 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Art. 20 RGPD</w:t>
            </w:r>
          </w:p>
        </w:tc>
      </w:tr>
      <w:tr>
        <w:tc>
          <w:tcPr>
            <w:tcW w:type="dxa" w:w="1800"/>
            <w:tcBorders>
              <w:top w:val="single" w:color="CCCCCC" w:sz="1"/>
              <w:left w:val="single" w:color="CCCCCC" w:sz="1"/>
              <w:bottom w:val="single" w:color="CCCCCC" w:sz="1"/>
              <w:right w:val="single" w:color="CCCCCC" w:sz="1"/>
            </w:tcBorders>
            <w:shd w:fill="E8F7F2" w:val="clear"/>
            <w:tcMar>
              <w:top w:type="dxa" w:w="80"/>
              <w:left w:type="dxa" w:w="120"/>
              <w:bottom w:type="dxa" w:w="80"/>
              <w:right w:type="dxa" w:w="120"/>
            </w:tcMar>
          </w:tcPr>
          <w:p>
            <w:r>
              <w:rPr>
                <w:rFonts w:ascii="Arial" w:cs="Arial" w:eastAsia="Arial" w:hAnsi="Arial"/>
                <w:b/>
                <w:bCs/>
                <w:color w:val="1D9E75"/>
                <w:sz w:val="18"/>
                <w:szCs w:val="18"/>
              </w:rPr>
              <w:t xml:space="preserve">Limitación (L)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Suspender el tratamiento en determinados casos.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1 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Art. 18 RGPD</w:t>
            </w:r>
          </w:p>
        </w:tc>
      </w:tr>
      <w:tr>
        <w:tc>
          <w:tcPr>
            <w:tcW w:type="dxa" w:w="1800"/>
            <w:tcBorders>
              <w:top w:val="single" w:color="CCCCCC" w:sz="1"/>
              <w:left w:val="single" w:color="CCCCCC" w:sz="1"/>
              <w:bottom w:val="single" w:color="CCCCCC" w:sz="1"/>
              <w:right w:val="single" w:color="CCCCCC" w:sz="1"/>
            </w:tcBorders>
            <w:shd w:fill="E8F7F2" w:val="clear"/>
            <w:tcMar>
              <w:top w:type="dxa" w:w="80"/>
              <w:left w:type="dxa" w:w="120"/>
              <w:bottom w:type="dxa" w:w="80"/>
              <w:right w:type="dxa" w:w="120"/>
            </w:tcMar>
          </w:tcPr>
          <w:p>
            <w:r>
              <w:rPr>
                <w:rFonts w:ascii="Arial" w:cs="Arial" w:eastAsia="Arial" w:hAnsi="Arial"/>
                <w:b/>
                <w:bCs/>
                <w:color w:val="1D9E75"/>
                <w:sz w:val="18"/>
                <w:szCs w:val="18"/>
              </w:rPr>
              <w:t xml:space="preserve">Retirada de consentimiento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Retirar el consentimiento para datos de salud sin efecto retroactivo.</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Sin plazo — efecto inmediato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Art. 7.3 RGPD</w:t>
            </w:r>
          </w:p>
        </w:tc>
      </w:tr>
    </w:tbl>
    <w:p>
      <w:pPr>
        <w:spacing w:after="140"/>
      </w:pPr>
      <w:r>
        <w:t xml:space="preserve"/>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3. Canal de recepción</w:t>
      </w:r>
    </w:p>
    <w:p>
      <w:pPr>
        <w:pStyle w:val="ListParagraph"/>
        <w:numPr>
          <w:ilvl w:val="0"/>
          <w:numId w:val="2"/>
        </w:numPr>
        <w:spacing w:after="80"/>
      </w:pPr>
      <w:r>
        <w:rPr>
          <w:rFonts w:ascii="Arial" w:cs="Arial" w:eastAsia="Arial" w:hAnsi="Arial"/>
          <w:color w:val="1A1A1A"/>
          <w:sz w:val="20"/>
          <w:szCs w:val="20"/>
        </w:rPr>
        <w:t xml:space="preserve">Email: privacidad@stoqly.app — canal principal. Asunto: "Ejercicio de derechos RGPD — [tipo de derecho]"</w:t>
      </w:r>
    </w:p>
    <w:p>
      <w:pPr>
        <w:pStyle w:val="ListParagraph"/>
        <w:numPr>
          <w:ilvl w:val="0"/>
          <w:numId w:val="2"/>
        </w:numPr>
        <w:spacing w:after="80"/>
      </w:pPr>
      <w:r>
        <w:rPr>
          <w:rFonts w:ascii="Arial" w:cs="Arial" w:eastAsia="Arial" w:hAnsi="Arial"/>
          <w:color w:val="1A1A1A"/>
          <w:sz w:val="20"/>
          <w:szCs w:val="20"/>
        </w:rPr>
        <w:t xml:space="preserve">Correo postal: [COMPLETAR DIRECCIÓN] — para solicitudes con documentación original.</w:t>
      </w:r>
    </w:p>
    <w:p>
      <w:pPr>
        <w:pStyle w:val="ListParagraph"/>
        <w:numPr>
          <w:ilvl w:val="0"/>
          <w:numId w:val="2"/>
        </w:numPr>
        <w:spacing w:after="80"/>
      </w:pPr>
      <w:r>
        <w:rPr>
          <w:rFonts w:ascii="Arial" w:cs="Arial" w:eastAsia="Arial" w:hAnsi="Arial"/>
          <w:color w:val="1A1A1A"/>
          <w:sz w:val="20"/>
          <w:szCs w:val="20"/>
        </w:rPr>
        <w:t xml:space="preserve">Plazo de confirmación de recepción: 5 días hábiles.</w:t>
      </w:r>
    </w:p>
    <w:p>
      <w:pPr>
        <w:spacing w:after="140"/>
      </w:pPr>
      <w:r>
        <w:t xml:space="preserve"/>
      </w:r>
    </w:p>
    <w:p>
      <w:pPr>
        <w:spacing w:after="140"/>
      </w:pPr>
      <w:r>
        <w:rPr>
          <w:rFonts w:ascii="Arial" w:cs="Arial" w:eastAsia="Arial" w:hAnsi="Arial"/>
          <w:b w:val="false"/>
          <w:bCs w:val="false"/>
          <w:color w:val="1A1A1A"/>
          <w:sz w:val="20"/>
          <w:szCs w:val="20"/>
        </w:rPr>
        <w:t xml:space="preserve">El interesado debe acreditar su identidad adjuntando copia de su DNI, NIE, pasaporte u otro documento equivalente. Para solicitudes relativas a menores, el progenitor o tutor debe acreditar también la representación.</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4. Flujo del proceso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tcBorders>
              <w:top w:val="single" w:color="CCCCCC" w:sz="1"/>
              <w:left w:val="single" w:color="CCCCCC" w:sz="1"/>
              <w:bottom w:val="single" w:color="CCCCCC" w:sz="1"/>
              <w:right w:val="single" w:color="CCCCCC" w:sz="1"/>
            </w:tcBorders>
            <w:shd w:fill="1D9E75"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Paso</w:t>
            </w:r>
          </w:p>
        </w:tc>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Acción</w:t>
            </w:r>
          </w:p>
        </w:tc>
        <w:tc>
          <w:tcPr>
            <w:tcW w:type="dxa" w:w="60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Detalle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D9E75"/>
                <w:sz w:val="18"/>
                <w:szCs w:val="18"/>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Recepción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Se recibe la solicitud en privacidad@stoqly.app. Se confirma recepción al interesado en 5 días hábiles.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D9E75"/>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Verificación de identidad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Se comprueba que el documento de identidad corresponde al titular de los datos. Si no se adjunta, se solicita en el acuse de recibo.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D9E75"/>
                <w:sz w:val="18"/>
                <w:szCs w:val="18"/>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Identificación del tipo de derecho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Se clasifica la solicitud: acceso, rectificación, supresión, oposición, portabilidad, limitación o retirada de consentimiento.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D9E75"/>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Evaluación de viabilidad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Se verifica si procede el ejercicio del derecho (puede denegarse si existe obligación legal de conservar los datos, p. ej., facturas).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D9E75"/>
                <w:sz w:val="18"/>
                <w:szCs w:val="18"/>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Ejecución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Se llevan a cabo las acciones en la base de datos: exportación, corrección, eliminación, marcado como limitado o retirada del consentimiento.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D9E75"/>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Respuesta al interesado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Se notifica al interesado el resultado de la solicitud en el plazo máximo de 1 mes. Si se deniega, se informa del motivo y del derecho a reclamar ante la AEPD.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D9E75"/>
                <w:sz w:val="18"/>
                <w:szCs w:val="18"/>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Registro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Se registra la solicitud en el Registro de Ejercicios de Derechos (ver apartado 5).</w:t>
            </w:r>
          </w:p>
        </w:tc>
      </w:tr>
    </w:tbl>
    <w:p>
      <w:pPr>
        <w:spacing w:after="140"/>
      </w:pPr>
      <w:r>
        <w:t xml:space="preserve"/>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5. Registro de ejercicios de derechos</w:t>
      </w:r>
    </w:p>
    <w:p>
      <w:pPr>
        <w:spacing w:after="140"/>
      </w:pPr>
      <w:r>
        <w:rPr>
          <w:rFonts w:ascii="Arial" w:cs="Arial" w:eastAsia="Arial" w:hAnsi="Arial"/>
          <w:b w:val="false"/>
          <w:bCs w:val="false"/>
          <w:color w:val="1A1A1A"/>
          <w:sz w:val="20"/>
          <w:szCs w:val="20"/>
        </w:rPr>
        <w:t xml:space="preserve">Toda solicitud de ejercicio de derechos debe quedar registrada en el Registro de Ejercicios de Derechos (hoja de cálculo o base de datos interna segura) con los siguientes campos:</w:t>
      </w:r>
    </w:p>
    <w:p>
      <w:pPr>
        <w:pStyle w:val="ListParagraph"/>
        <w:numPr>
          <w:ilvl w:val="0"/>
          <w:numId w:val="2"/>
        </w:numPr>
        <w:spacing w:after="80"/>
      </w:pPr>
      <w:r>
        <w:rPr>
          <w:rFonts w:ascii="Arial" w:cs="Arial" w:eastAsia="Arial" w:hAnsi="Arial"/>
          <w:color w:val="1A1A1A"/>
          <w:sz w:val="20"/>
          <w:szCs w:val="20"/>
        </w:rPr>
        <w:t xml:space="preserve">Número de referencia (generado automáticamente)</w:t>
      </w:r>
    </w:p>
    <w:p>
      <w:pPr>
        <w:pStyle w:val="ListParagraph"/>
        <w:numPr>
          <w:ilvl w:val="0"/>
          <w:numId w:val="2"/>
        </w:numPr>
        <w:spacing w:after="80"/>
      </w:pPr>
      <w:r>
        <w:rPr>
          <w:rFonts w:ascii="Arial" w:cs="Arial" w:eastAsia="Arial" w:hAnsi="Arial"/>
          <w:color w:val="1A1A1A"/>
          <w:sz w:val="20"/>
          <w:szCs w:val="20"/>
        </w:rPr>
        <w:t xml:space="preserve">Fecha de recepción de la solicitud</w:t>
      </w:r>
    </w:p>
    <w:p>
      <w:pPr>
        <w:pStyle w:val="ListParagraph"/>
        <w:numPr>
          <w:ilvl w:val="0"/>
          <w:numId w:val="2"/>
        </w:numPr>
        <w:spacing w:after="80"/>
      </w:pPr>
      <w:r>
        <w:rPr>
          <w:rFonts w:ascii="Arial" w:cs="Arial" w:eastAsia="Arial" w:hAnsi="Arial"/>
          <w:color w:val="1A1A1A"/>
          <w:sz w:val="20"/>
          <w:szCs w:val="20"/>
        </w:rPr>
        <w:t xml:space="preserve">Tipo de derecho ejercido</w:t>
      </w:r>
    </w:p>
    <w:p>
      <w:pPr>
        <w:pStyle w:val="ListParagraph"/>
        <w:numPr>
          <w:ilvl w:val="0"/>
          <w:numId w:val="2"/>
        </w:numPr>
        <w:spacing w:after="80"/>
      </w:pPr>
      <w:r>
        <w:rPr>
          <w:rFonts w:ascii="Arial" w:cs="Arial" w:eastAsia="Arial" w:hAnsi="Arial"/>
          <w:color w:val="1A1A1A"/>
          <w:sz w:val="20"/>
          <w:szCs w:val="20"/>
        </w:rPr>
        <w:t xml:space="preserve">Identificación del interesado (email — sin copiar el DNI en texto plano)</w:t>
      </w:r>
    </w:p>
    <w:p>
      <w:pPr>
        <w:pStyle w:val="ListParagraph"/>
        <w:numPr>
          <w:ilvl w:val="0"/>
          <w:numId w:val="2"/>
        </w:numPr>
        <w:spacing w:after="80"/>
      </w:pPr>
      <w:r>
        <w:rPr>
          <w:rFonts w:ascii="Arial" w:cs="Arial" w:eastAsia="Arial" w:hAnsi="Arial"/>
          <w:color w:val="1A1A1A"/>
          <w:sz w:val="20"/>
          <w:szCs w:val="20"/>
        </w:rPr>
        <w:t xml:space="preserve">Estado: pendiente / en curso / resuelto / denegado</w:t>
      </w:r>
    </w:p>
    <w:p>
      <w:pPr>
        <w:pStyle w:val="ListParagraph"/>
        <w:numPr>
          <w:ilvl w:val="0"/>
          <w:numId w:val="2"/>
        </w:numPr>
        <w:spacing w:after="80"/>
      </w:pPr>
      <w:r>
        <w:rPr>
          <w:rFonts w:ascii="Arial" w:cs="Arial" w:eastAsia="Arial" w:hAnsi="Arial"/>
          <w:color w:val="1A1A1A"/>
          <w:sz w:val="20"/>
          <w:szCs w:val="20"/>
        </w:rPr>
        <w:t xml:space="preserve">Fecha de resolución</w:t>
      </w:r>
    </w:p>
    <w:p>
      <w:pPr>
        <w:pStyle w:val="ListParagraph"/>
        <w:numPr>
          <w:ilvl w:val="0"/>
          <w:numId w:val="2"/>
        </w:numPr>
        <w:spacing w:after="80"/>
      </w:pPr>
      <w:r>
        <w:rPr>
          <w:rFonts w:ascii="Arial" w:cs="Arial" w:eastAsia="Arial" w:hAnsi="Arial"/>
          <w:color w:val="1A1A1A"/>
          <w:sz w:val="20"/>
          <w:szCs w:val="20"/>
        </w:rPr>
        <w:t xml:space="preserve">Resumen de la acción tomada</w:t>
      </w:r>
    </w:p>
    <w:p>
      <w:pPr>
        <w:pStyle w:val="ListParagraph"/>
        <w:numPr>
          <w:ilvl w:val="0"/>
          <w:numId w:val="2"/>
        </w:numPr>
        <w:spacing w:after="80"/>
      </w:pPr>
      <w:r>
        <w:rPr>
          <w:rFonts w:ascii="Arial" w:cs="Arial" w:eastAsia="Arial" w:hAnsi="Arial"/>
          <w:color w:val="1A1A1A"/>
          <w:sz w:val="20"/>
          <w:szCs w:val="20"/>
        </w:rPr>
        <w:t xml:space="preserve">Motivo de denegación (si aplica)</w:t>
      </w:r>
    </w:p>
    <w:p>
      <w:pPr>
        <w:spacing w:after="140"/>
      </w:pPr>
      <w:r>
        <w:t xml:space="preserve"/>
      </w:r>
    </w:p>
    <w:p>
      <w:pPr>
        <w:spacing w:after="140"/>
      </w:pPr>
      <w:r>
        <w:rPr>
          <w:rFonts w:ascii="Arial" w:cs="Arial" w:eastAsia="Arial" w:hAnsi="Arial"/>
          <w:b w:val="false"/>
          <w:bCs w:val="false"/>
          <w:color w:val="1A1A1A"/>
          <w:sz w:val="20"/>
          <w:szCs w:val="20"/>
        </w:rPr>
        <w:t xml:space="preserve">Este registro es confidencial y de uso exclusivamente interno. El periodo de conservación del registro es de 3 años.</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6. Derecho de reclamación ante la AEPD</w:t>
      </w:r>
    </w:p>
    <w:p>
      <w:pPr>
        <w:spacing w:after="140"/>
      </w:pPr>
      <w:r>
        <w:rPr>
          <w:rFonts w:ascii="Arial" w:cs="Arial" w:eastAsia="Arial" w:hAnsi="Arial"/>
          <w:b w:val="false"/>
          <w:bCs w:val="false"/>
          <w:color w:val="1A1A1A"/>
          <w:sz w:val="20"/>
          <w:szCs w:val="20"/>
        </w:rPr>
        <w:t xml:space="preserve">Si el interesado no queda satisfecho con la respuesta recibida, tiene derecho a presentar una reclamación ante la Agencia Española de Protección de Datos (AEPD) a través de:</w:t>
      </w:r>
    </w:p>
    <w:p>
      <w:pPr>
        <w:pStyle w:val="ListParagraph"/>
        <w:numPr>
          <w:ilvl w:val="0"/>
          <w:numId w:val="2"/>
        </w:numPr>
        <w:spacing w:after="80"/>
      </w:pPr>
      <w:r>
        <w:rPr>
          <w:rFonts w:ascii="Arial" w:cs="Arial" w:eastAsia="Arial" w:hAnsi="Arial"/>
          <w:color w:val="1A1A1A"/>
          <w:sz w:val="20"/>
          <w:szCs w:val="20"/>
        </w:rPr>
        <w:t xml:space="preserve">Sede electrónica: sedeagpd.gob.es</w:t>
      </w:r>
    </w:p>
    <w:p>
      <w:pPr>
        <w:pStyle w:val="ListParagraph"/>
        <w:numPr>
          <w:ilvl w:val="0"/>
          <w:numId w:val="2"/>
        </w:numPr>
        <w:spacing w:after="80"/>
      </w:pPr>
      <w:r>
        <w:rPr>
          <w:rFonts w:ascii="Arial" w:cs="Arial" w:eastAsia="Arial" w:hAnsi="Arial"/>
          <w:color w:val="1A1A1A"/>
          <w:sz w:val="20"/>
          <w:szCs w:val="20"/>
        </w:rPr>
        <w:t xml:space="preserve">Dirección postal: C/ Jorge Juan, 6. 28001 — Madrid</w:t>
      </w:r>
    </w:p>
    <w:p>
      <w:pPr>
        <w:pStyle w:val="ListParagraph"/>
        <w:numPr>
          <w:ilvl w:val="0"/>
          <w:numId w:val="2"/>
        </w:numPr>
        <w:spacing w:after="80"/>
      </w:pPr>
      <w:r>
        <w:rPr>
          <w:rFonts w:ascii="Arial" w:cs="Arial" w:eastAsia="Arial" w:hAnsi="Arial"/>
          <w:color w:val="1A1A1A"/>
          <w:sz w:val="20"/>
          <w:szCs w:val="20"/>
        </w:rPr>
        <w:t xml:space="preserve">Teléfono de atención al ciudadano: 901 100 099</w:t>
      </w:r>
    </w:p>
    <w:p>
      <w:pPr>
        <w:spacing w:after="140"/>
      </w:pPr>
      <w:r>
        <w:t xml:space="preserve"/>
      </w:r>
    </w:p>
    <w:p>
      <w:pPr>
        <w:spacing w:before="300"/>
        <w:jc w:val="right"/>
      </w:pPr>
      <w:r>
        <w:rPr>
          <w:rFonts w:ascii="Arial" w:cs="Arial" w:eastAsia="Arial" w:hAnsi="Arial"/>
          <w:color w:val="AAAAAA"/>
          <w:sz w:val="18"/>
          <w:szCs w:val="18"/>
        </w:rPr>
        <w:t xml:space="preserve">Domtrace · Procedimiento ARCO+ · v1.0 · Junio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4"/>
      </w:pBd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de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color w:val="999999"/>
        <w:sz w:val="16"/>
        <w:szCs w:val="16"/>
      </w:rPr>
      <w:t xml:space="preserve">DOMTRACE — Procedimiento Ejercicio de Derechos ARCO+ — Confidencial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360"/>
      </w:pPr>
    </w:lvl>
  </w:abstractNum>
  <w:abstractNum w:abstractNumId="3" w15:restartNumberingAfterBreak="0">
    <w:multiLevelType w:val="hybridMultilevel"/>
    <w:lvl w:ilvl="0" w15:tentative="1">
      <w:start w:val="1"/>
      <w:numFmt w:val="decimal"/>
      <w:lvlText w:val="%1."/>
      <w:lvlJc w:val="left"/>
      <w:pPr>
        <w:spacing w:after="80"/>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D9E75"/>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2026-06-09T07:20:23.804Z</dcterms:created>
  <dcterms:modified xsi:type="dcterms:W3CDTF">2026-06-09T07:20:23.805Z</dcterms:modified>
</cp:coreProperties>
</file>

<file path=docProps/custom.xml><?xml version="1.0" encoding="utf-8"?>
<Properties xmlns="http://schemas.openxmlformats.org/officeDocument/2006/custom-properties" xmlns:vt="http://schemas.openxmlformats.org/officeDocument/2006/docPropsVTypes"/>
</file>