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00"/>
        <w:jc w:val="center"/>
      </w:pPr>
      <w:r>
        <w:rPr>
          <w:rFonts w:ascii="Arial" w:cs="Arial" w:eastAsia="Arial" w:hAnsi="Arial"/>
          <w:b/>
          <w:bCs/>
          <w:color w:val="1D9E75"/>
          <w:sz w:val="48"/>
          <w:szCs w:val="48"/>
        </w:rPr>
        <w:t xml:space="preserve">DOMTRACE</w:t>
      </w:r>
    </w:p>
    <w:p>
      <w:pPr>
        <w:spacing w:after="400"/>
        <w:jc w:val="center"/>
      </w:pPr>
      <w:r>
        <w:rPr>
          <w:rFonts w:ascii="Arial" w:cs="Arial" w:eastAsia="Arial" w:hAnsi="Arial"/>
          <w:color w:val="888888"/>
          <w:sz w:val="22"/>
          <w:szCs w:val="22"/>
        </w:rPr>
        <w:t xml:space="preserve">stoqly.app</w:t>
      </w:r>
    </w:p>
    <w:p>
      <w:pPr>
        <w:pBdr>
          <w:top w:val="single" w:color="1D9E75" w:sz="8" w:space="6"/>
          <w:bottom w:val="single" w:color="1D9E75" w:sz="8" w:space="6"/>
        </w:pBdr>
        <w:spacing w:after="160" w:before="100"/>
        <w:jc w:val="center"/>
      </w:pPr>
      <w:r>
        <w:rPr>
          <w:rFonts w:ascii="Arial" w:cs="Arial" w:eastAsia="Arial" w:hAnsi="Arial"/>
          <w:b/>
          <w:bCs/>
          <w:color w:val="1A1A1A"/>
          <w:sz w:val="40"/>
          <w:szCs w:val="40"/>
        </w:rPr>
        <w:t xml:space="preserve">POLÍTICA DE PRIVACIDAD</w:t>
      </w:r>
    </w:p>
    <w:p>
      <w:pPr>
        <w:spacing w:after="160"/>
      </w:pPr>
      <w:r>
        <w:t xml:space="preserve"/>
      </w:r>
    </w:p>
    <w:p>
      <w:pPr>
        <w:spacing w:after="80"/>
        <w:jc w:val="center"/>
      </w:pPr>
      <w:r>
        <w:rPr>
          <w:rFonts w:ascii="Arial" w:cs="Arial" w:eastAsia="Arial" w:hAnsi="Arial"/>
          <w:color w:val="555555"/>
          <w:sz w:val="20"/>
          <w:szCs w:val="20"/>
        </w:rPr>
        <w:t xml:space="preserve">Versión 1.0 · Junio 2026</w:t>
      </w:r>
    </w:p>
    <w:p>
      <w:pPr>
        <w:spacing w:after="400"/>
        <w:jc w:val="center"/>
      </w:pPr>
      <w:r>
        <w:rPr>
          <w:rFonts w:ascii="Arial" w:cs="Arial" w:eastAsia="Arial" w:hAnsi="Arial"/>
          <w:color w:val="555555"/>
          <w:sz w:val="20"/>
          <w:szCs w:val="20"/>
        </w:rPr>
        <w:t xml:space="preserve">Aplicación Stoqly — gestión inteligente del hogar</w:t>
      </w:r>
    </w:p>
    <w:p>
      <w:pPr>
        <w:spacing w:after="160"/>
      </w:pPr>
      <w:r>
        <w:t xml:space="preserve"/>
      </w:r>
    </w:p>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1. ¿Quién es el responsable del tratamiento?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D9E75" w:val="clear"/>
            <w:tcMar>
              <w:top w:type="dxa" w:w="100"/>
              <w:left w:type="dxa" w:w="200"/>
              <w:bottom w:type="dxa" w:w="100"/>
              <w:right w:type="dxa" w:w="200"/>
            </w:tcMar>
          </w:tcPr>
          <w:p>
            <w:r>
              <w:rPr>
                <w:rFonts w:ascii="Arial" w:cs="Arial" w:eastAsia="Arial" w:hAnsi="Arial"/>
                <w:b/>
                <w:bCs/>
                <w:color w:val="FFFFFF"/>
                <w:sz w:val="22"/>
                <w:szCs w:val="22"/>
              </w:rPr>
              <w:t xml:space="preserve">Responsable del tratamiento</w:t>
            </w:r>
          </w:p>
        </w:tc>
      </w:tr>
      <w:tr>
        <w:tc>
          <w:tcPr>
            <w:tcW w:type="dxa" w:w="9026"/>
            <w:tcBorders>
              <w:top w:val="single" w:color="CCCCCC" w:sz="1"/>
              <w:left w:val="single" w:color="CCCCCC" w:sz="1"/>
              <w:bottom w:val="single" w:color="CCCCCC" w:sz="1"/>
              <w:right w:val="single" w:color="CCCCCC" w:sz="1"/>
            </w:tcBorders>
            <w:shd w:fill="E8F7F2" w:val="clear"/>
            <w:tcMar>
              <w:top w:type="dxa" w:w="100"/>
              <w:left w:type="dxa" w:w="200"/>
              <w:bottom w:type="dxa" w:w="100"/>
              <w:right w:type="dxa" w:w="200"/>
            </w:tcMar>
          </w:tcPr>
          <w:p>
            <w:r>
              <w:rPr>
                <w:rFonts w:ascii="Arial" w:cs="Arial" w:eastAsia="Arial" w:hAnsi="Arial"/>
                <w:color w:val="1A1A1A"/>
                <w:sz w:val="19"/>
                <w:szCs w:val="19"/>
              </w:rPr>
              <w:t xml:space="preserve">Domtrace [COMPLETAR RAZÓN SOCIAL]
CIF: [COMPLETAR]
Domicilio: [COMPLETAR DIRECCIÓN]
Email de contacto: privacidad@stoqly.app
Web: stoqly.app</w:t>
            </w:r>
          </w:p>
        </w:tc>
      </w:tr>
    </w:tbl>
    <w:p>
      <w:pPr>
        <w:spacing w:after="160"/>
      </w:pPr>
      <w:r>
        <w:t xml:space="preserve"/>
      </w:r>
    </w:p>
    <w:p>
      <w:pPr>
        <w:spacing w:after="140"/>
      </w:pPr>
      <w:r>
        <w:rPr>
          <w:rFonts w:ascii="Arial" w:cs="Arial" w:eastAsia="Arial" w:hAnsi="Arial"/>
          <w:b w:val="false"/>
          <w:bCs w:val="false"/>
          <w:color w:val="1A1A1A"/>
          <w:sz w:val="20"/>
          <w:szCs w:val="20"/>
        </w:rPr>
        <w:t xml:space="preserve">Puedes contactar con nosotros para cualquier cuestión relativa al tratamiento de tus datos personales en la dirección de email indicada.</w:t>
      </w:r>
    </w:p>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2. ¿Qué datos personales recogemos?</w:t>
      </w:r>
    </w:p>
    <w:p>
      <w:pPr>
        <w:spacing w:after="140"/>
      </w:pPr>
      <w:r>
        <w:rPr>
          <w:rFonts w:ascii="Arial" w:cs="Arial" w:eastAsia="Arial" w:hAnsi="Arial"/>
          <w:b w:val="false"/>
          <w:bCs w:val="false"/>
          <w:color w:val="1A1A1A"/>
          <w:sz w:val="20"/>
          <w:szCs w:val="20"/>
        </w:rPr>
        <w:t xml:space="preserve">Recogemos los datos que tú nos proporcionas directamente al usar Stoqly. A continuación te indicamos qué datos recogemos en cada módulo:</w:t>
      </w:r>
    </w:p>
    <w:p>
      <w:pPr>
        <w:spacing w:after="160"/>
      </w:pPr>
      <w:r>
        <w:t xml:space="preserve"/>
      </w:r>
    </w:p>
    <w:p>
      <w:pPr>
        <w:pStyle w:val="Heading2"/>
        <w:spacing w:after="100" w:before="240"/>
      </w:pPr>
      <w:r>
        <w:rPr>
          <w:rFonts w:ascii="Arial" w:cs="Arial" w:eastAsia="Arial" w:hAnsi="Arial"/>
          <w:b/>
          <w:bCs/>
          <w:color w:val="1A1A1A"/>
          <w:sz w:val="24"/>
          <w:szCs w:val="24"/>
        </w:rPr>
        <w:t xml:space="preserve">2.1 Cuenta de usuario</w:t>
      </w:r>
    </w:p>
    <w:p>
      <w:pPr>
        <w:pStyle w:val="ListParagraph"/>
        <w:numPr>
          <w:ilvl w:val="0"/>
          <w:numId w:val="2"/>
        </w:numPr>
        <w:spacing w:after="80"/>
      </w:pPr>
      <w:r>
        <w:rPr>
          <w:rFonts w:ascii="Arial" w:cs="Arial" w:eastAsia="Arial" w:hAnsi="Arial"/>
          <w:color w:val="1A1A1A"/>
          <w:sz w:val="20"/>
          <w:szCs w:val="20"/>
        </w:rPr>
        <w:t xml:space="preserve">Nombre o alias</w:t>
      </w:r>
    </w:p>
    <w:p>
      <w:pPr>
        <w:pStyle w:val="ListParagraph"/>
        <w:numPr>
          <w:ilvl w:val="0"/>
          <w:numId w:val="2"/>
        </w:numPr>
        <w:spacing w:after="80"/>
      </w:pPr>
      <w:r>
        <w:rPr>
          <w:rFonts w:ascii="Arial" w:cs="Arial" w:eastAsia="Arial" w:hAnsi="Arial"/>
          <w:color w:val="1A1A1A"/>
          <w:sz w:val="20"/>
          <w:szCs w:val="20"/>
        </w:rPr>
        <w:t xml:space="preserve">Dirección de email</w:t>
      </w:r>
    </w:p>
    <w:p>
      <w:pPr>
        <w:pStyle w:val="ListParagraph"/>
        <w:numPr>
          <w:ilvl w:val="0"/>
          <w:numId w:val="2"/>
        </w:numPr>
        <w:spacing w:after="80"/>
      </w:pPr>
      <w:r>
        <w:rPr>
          <w:rFonts w:ascii="Arial" w:cs="Arial" w:eastAsia="Arial" w:hAnsi="Arial"/>
          <w:color w:val="1A1A1A"/>
          <w:sz w:val="20"/>
          <w:szCs w:val="20"/>
        </w:rPr>
        <w:t xml:space="preserve">Contraseña (almacenada de forma cifrada — nunca en texto plano)</w:t>
      </w:r>
    </w:p>
    <w:p>
      <w:pPr>
        <w:pStyle w:val="ListParagraph"/>
        <w:numPr>
          <w:ilvl w:val="0"/>
          <w:numId w:val="2"/>
        </w:numPr>
        <w:spacing w:after="80"/>
      </w:pPr>
      <w:r>
        <w:rPr>
          <w:rFonts w:ascii="Arial" w:cs="Arial" w:eastAsia="Arial" w:hAnsi="Arial"/>
          <w:color w:val="1A1A1A"/>
          <w:sz w:val="20"/>
          <w:szCs w:val="20"/>
        </w:rPr>
        <w:t xml:space="preserve">Código postal (para búsquedas de farmacias cercanas)</w:t>
      </w:r>
    </w:p>
    <w:p>
      <w:pPr>
        <w:pStyle w:val="ListParagraph"/>
        <w:numPr>
          <w:ilvl w:val="0"/>
          <w:numId w:val="2"/>
        </w:numPr>
        <w:spacing w:after="80"/>
      </w:pPr>
      <w:r>
        <w:rPr>
          <w:rFonts w:ascii="Arial" w:cs="Arial" w:eastAsia="Arial" w:hAnsi="Arial"/>
          <w:color w:val="1A1A1A"/>
          <w:sz w:val="20"/>
          <w:szCs w:val="20"/>
        </w:rPr>
        <w:t xml:space="preserve">Preferencias de accesibilidad, idioma y personalización del asistente</w:t>
      </w:r>
    </w:p>
    <w:p>
      <w:pPr>
        <w:spacing w:after="160"/>
      </w:pPr>
      <w:r>
        <w:t xml:space="preserve"/>
      </w:r>
    </w:p>
    <w:p>
      <w:pPr>
        <w:pStyle w:val="Heading2"/>
        <w:spacing w:after="100" w:before="240"/>
      </w:pPr>
      <w:r>
        <w:rPr>
          <w:rFonts w:ascii="Arial" w:cs="Arial" w:eastAsia="Arial" w:hAnsi="Arial"/>
          <w:b/>
          <w:bCs/>
          <w:color w:val="1A1A1A"/>
          <w:sz w:val="24"/>
          <w:szCs w:val="24"/>
        </w:rPr>
        <w:t xml:space="preserve">2.2 Despensa e inventario</w:t>
      </w:r>
    </w:p>
    <w:p>
      <w:pPr>
        <w:pStyle w:val="ListParagraph"/>
        <w:numPr>
          <w:ilvl w:val="0"/>
          <w:numId w:val="2"/>
        </w:numPr>
        <w:spacing w:after="80"/>
      </w:pPr>
      <w:r>
        <w:rPr>
          <w:rFonts w:ascii="Arial" w:cs="Arial" w:eastAsia="Arial" w:hAnsi="Arial"/>
          <w:color w:val="1A1A1A"/>
          <w:sz w:val="20"/>
          <w:szCs w:val="20"/>
        </w:rPr>
        <w:t xml:space="preserve">Nombres de productos, cantidades, fechas de caducidad y zonas de almacenamiento</w:t>
      </w:r>
    </w:p>
    <w:p>
      <w:pPr>
        <w:pStyle w:val="ListParagraph"/>
        <w:numPr>
          <w:ilvl w:val="0"/>
          <w:numId w:val="2"/>
        </w:numPr>
        <w:spacing w:after="80"/>
      </w:pPr>
      <w:r>
        <w:rPr>
          <w:rFonts w:ascii="Arial" w:cs="Arial" w:eastAsia="Arial" w:hAnsi="Arial"/>
          <w:color w:val="1A1A1A"/>
          <w:sz w:val="20"/>
          <w:szCs w:val="20"/>
        </w:rPr>
        <w:t xml:space="preserve">Patrones de consumo del hogar (intervalos de recompra aproximados)</w:t>
      </w:r>
    </w:p>
    <w:p>
      <w:pPr>
        <w:pStyle w:val="ListParagraph"/>
        <w:numPr>
          <w:ilvl w:val="0"/>
          <w:numId w:val="2"/>
        </w:numPr>
        <w:spacing w:after="80"/>
      </w:pPr>
      <w:r>
        <w:rPr>
          <w:rFonts w:ascii="Arial" w:cs="Arial" w:eastAsia="Arial" w:hAnsi="Arial"/>
          <w:color w:val="1A1A1A"/>
          <w:sz w:val="20"/>
          <w:szCs w:val="20"/>
        </w:rPr>
        <w:t xml:space="preserve">Lista de la compra</w:t>
      </w:r>
    </w:p>
    <w:p>
      <w:pPr>
        <w:spacing w:after="160"/>
      </w:pPr>
      <w:r>
        <w:t xml:space="preserve"/>
      </w:r>
    </w:p>
    <w:p>
      <w:pPr>
        <w:pStyle w:val="Heading2"/>
        <w:spacing w:after="100" w:before="240"/>
      </w:pPr>
      <w:r>
        <w:rPr>
          <w:rFonts w:ascii="Arial" w:cs="Arial" w:eastAsia="Arial" w:hAnsi="Arial"/>
          <w:b/>
          <w:bCs/>
          <w:color w:val="1A1A1A"/>
          <w:sz w:val="24"/>
          <w:szCs w:val="24"/>
        </w:rPr>
        <w:t xml:space="preserve">2.3 Medicamentos y suplementos — DATOS DE SALUD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D9E75" w:val="clear"/>
            <w:tcMar>
              <w:top w:type="dxa" w:w="100"/>
              <w:left w:type="dxa" w:w="200"/>
              <w:bottom w:type="dxa" w:w="100"/>
              <w:right w:type="dxa" w:w="200"/>
            </w:tcMar>
          </w:tcPr>
          <w:p>
            <w:r>
              <w:rPr>
                <w:rFonts w:ascii="Arial" w:cs="Arial" w:eastAsia="Arial" w:hAnsi="Arial"/>
                <w:b/>
                <w:bCs/>
                <w:color w:val="FFFFFF"/>
                <w:sz w:val="22"/>
                <w:szCs w:val="22"/>
              </w:rPr>
              <w:t xml:space="preserve">⚠️ Categoría especial de datos (Art. 9 RGPD)</w:t>
            </w:r>
          </w:p>
        </w:tc>
      </w:tr>
      <w:tr>
        <w:tc>
          <w:tcPr>
            <w:tcW w:type="dxa" w:w="9026"/>
            <w:tcBorders>
              <w:top w:val="single" w:color="CCCCCC" w:sz="1"/>
              <w:left w:val="single" w:color="CCCCCC" w:sz="1"/>
              <w:bottom w:val="single" w:color="CCCCCC" w:sz="1"/>
              <w:right w:val="single" w:color="CCCCCC" w:sz="1"/>
            </w:tcBorders>
            <w:shd w:fill="E8F7F2" w:val="clear"/>
            <w:tcMar>
              <w:top w:type="dxa" w:w="100"/>
              <w:left w:type="dxa" w:w="200"/>
              <w:bottom w:type="dxa" w:w="100"/>
              <w:right w:type="dxa" w:w="200"/>
            </w:tcMar>
          </w:tcPr>
          <w:p>
            <w:r>
              <w:rPr>
                <w:rFonts w:ascii="Arial" w:cs="Arial" w:eastAsia="Arial" w:hAnsi="Arial"/>
                <w:color w:val="1A1A1A"/>
                <w:sz w:val="19"/>
                <w:szCs w:val="19"/>
              </w:rPr>
              <w:t xml:space="preserve">Los datos de medicamentos y suplementos son datos de salud en el sentido del artículo 9 del RGPD. Su tratamiento requiere tu consentimiento explícito, que te solicitamos de forma separada y clara al activar estos módulos. Puedes retirar este consentimiento en cualquier momento desde los Ajustes de la aplicación.</w:t>
            </w:r>
          </w:p>
        </w:tc>
      </w:tr>
    </w:tbl>
    <w:p>
      <w:pPr>
        <w:spacing w:after="160"/>
      </w:pPr>
      <w:r>
        <w:t xml:space="preserve"/>
      </w:r>
    </w:p>
    <w:p>
      <w:pPr>
        <w:pStyle w:val="ListParagraph"/>
        <w:numPr>
          <w:ilvl w:val="0"/>
          <w:numId w:val="2"/>
        </w:numPr>
        <w:spacing w:after="80"/>
      </w:pPr>
      <w:r>
        <w:rPr>
          <w:rFonts w:ascii="Arial" w:cs="Arial" w:eastAsia="Arial" w:hAnsi="Arial"/>
          <w:color w:val="1A1A1A"/>
          <w:sz w:val="20"/>
          <w:szCs w:val="20"/>
        </w:rPr>
        <w:t xml:space="preserve">Nombre del medicamento o suplemento, dosis, frecuencia, stock</w:t>
      </w:r>
    </w:p>
    <w:p>
      <w:pPr>
        <w:pStyle w:val="ListParagraph"/>
        <w:numPr>
          <w:ilvl w:val="0"/>
          <w:numId w:val="2"/>
        </w:numPr>
        <w:spacing w:after="80"/>
      </w:pPr>
      <w:r>
        <w:rPr>
          <w:rFonts w:ascii="Arial" w:cs="Arial" w:eastAsia="Arial" w:hAnsi="Arial"/>
          <w:color w:val="1A1A1A"/>
          <w:sz w:val="20"/>
          <w:szCs w:val="20"/>
        </w:rPr>
        <w:t xml:space="preserve">Fecha de caducidad de los medicamentos</w:t>
      </w:r>
    </w:p>
    <w:p>
      <w:pPr>
        <w:pStyle w:val="ListParagraph"/>
        <w:numPr>
          <w:ilvl w:val="0"/>
          <w:numId w:val="2"/>
        </w:numPr>
        <w:spacing w:after="80"/>
      </w:pPr>
      <w:r>
        <w:rPr>
          <w:rFonts w:ascii="Arial" w:cs="Arial" w:eastAsia="Arial" w:hAnsi="Arial"/>
          <w:color w:val="1A1A1A"/>
          <w:sz w:val="20"/>
          <w:szCs w:val="20"/>
        </w:rPr>
        <w:t xml:space="preserve">Perfil nutricional opcional: peso, altura, edad, objetivo nutricional, nivel de actividad física</w:t>
      </w:r>
    </w:p>
    <w:p>
      <w:pPr>
        <w:spacing w:after="160"/>
      </w:pPr>
      <w:r>
        <w:t xml:space="preserve"/>
      </w:r>
    </w:p>
    <w:p>
      <w:pPr>
        <w:pStyle w:val="Heading2"/>
        <w:spacing w:after="100" w:before="240"/>
      </w:pPr>
      <w:r>
        <w:rPr>
          <w:rFonts w:ascii="Arial" w:cs="Arial" w:eastAsia="Arial" w:hAnsi="Arial"/>
          <w:b/>
          <w:bCs/>
          <w:color w:val="1A1A1A"/>
          <w:sz w:val="24"/>
          <w:szCs w:val="24"/>
        </w:rPr>
        <w:t xml:space="preserve">2.4 Datos de bebés — DATOS DE SALUD DE MENORES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D9E75" w:val="clear"/>
            <w:tcMar>
              <w:top w:type="dxa" w:w="100"/>
              <w:left w:type="dxa" w:w="200"/>
              <w:bottom w:type="dxa" w:w="100"/>
              <w:right w:type="dxa" w:w="200"/>
            </w:tcMar>
          </w:tcPr>
          <w:p>
            <w:r>
              <w:rPr>
                <w:rFonts w:ascii="Arial" w:cs="Arial" w:eastAsia="Arial" w:hAnsi="Arial"/>
                <w:b/>
                <w:bCs/>
                <w:color w:val="FFFFFF"/>
                <w:sz w:val="22"/>
                <w:szCs w:val="22"/>
              </w:rPr>
              <w:t xml:space="preserve">⚠️ Datos de menores (Art. 8 RGPD y Art. 7 LOPDGDD)</w:t>
            </w:r>
          </w:p>
        </w:tc>
      </w:tr>
      <w:tr>
        <w:tc>
          <w:tcPr>
            <w:tcW w:type="dxa" w:w="9026"/>
            <w:tcBorders>
              <w:top w:val="single" w:color="CCCCCC" w:sz="1"/>
              <w:left w:val="single" w:color="CCCCCC" w:sz="1"/>
              <w:bottom w:val="single" w:color="CCCCCC" w:sz="1"/>
              <w:right w:val="single" w:color="CCCCCC" w:sz="1"/>
            </w:tcBorders>
            <w:shd w:fill="E8F7F2" w:val="clear"/>
            <w:tcMar>
              <w:top w:type="dxa" w:w="100"/>
              <w:left w:type="dxa" w:w="200"/>
              <w:bottom w:type="dxa" w:w="100"/>
              <w:right w:type="dxa" w:w="200"/>
            </w:tcMar>
          </w:tcPr>
          <w:p>
            <w:r>
              <w:rPr>
                <w:rFonts w:ascii="Arial" w:cs="Arial" w:eastAsia="Arial" w:hAnsi="Arial"/>
                <w:color w:val="1A1A1A"/>
                <w:sz w:val="19"/>
                <w:szCs w:val="19"/>
              </w:rPr>
              <w:t xml:space="preserve">Si registras perfiles de bebés o menores, tratas datos de salud de personas menores de edad. Al activar este módulo, como progenitor o tutor legal, prestas consentimiento explícito en nombre del menor. Estos datos se usan exclusivamente para las funciones del módulo Bebés.</w:t>
            </w:r>
          </w:p>
        </w:tc>
      </w:tr>
    </w:tbl>
    <w:p>
      <w:pPr>
        <w:spacing w:after="160"/>
      </w:pPr>
      <w:r>
        <w:t xml:space="preserve"/>
      </w:r>
    </w:p>
    <w:p>
      <w:pPr>
        <w:pStyle w:val="ListParagraph"/>
        <w:numPr>
          <w:ilvl w:val="0"/>
          <w:numId w:val="2"/>
        </w:numPr>
        <w:spacing w:after="80"/>
      </w:pPr>
      <w:r>
        <w:rPr>
          <w:rFonts w:ascii="Arial" w:cs="Arial" w:eastAsia="Arial" w:hAnsi="Arial"/>
          <w:color w:val="1A1A1A"/>
          <w:sz w:val="20"/>
          <w:szCs w:val="20"/>
        </w:rPr>
        <w:t xml:space="preserve">Nombre del bebé, fecha de nacimiento, género</w:t>
      </w:r>
    </w:p>
    <w:p>
      <w:pPr>
        <w:pStyle w:val="ListParagraph"/>
        <w:numPr>
          <w:ilvl w:val="0"/>
          <w:numId w:val="2"/>
        </w:numPr>
        <w:spacing w:after="80"/>
      </w:pPr>
      <w:r>
        <w:rPr>
          <w:rFonts w:ascii="Arial" w:cs="Arial" w:eastAsia="Arial" w:hAnsi="Arial"/>
          <w:color w:val="1A1A1A"/>
          <w:sz w:val="20"/>
          <w:szCs w:val="20"/>
        </w:rPr>
        <w:t xml:space="preserve">Registros de tomas: tipo, duración, cantidad, hora</w:t>
      </w:r>
    </w:p>
    <w:p>
      <w:pPr>
        <w:pStyle w:val="ListParagraph"/>
        <w:numPr>
          <w:ilvl w:val="0"/>
          <w:numId w:val="2"/>
        </w:numPr>
        <w:spacing w:after="80"/>
      </w:pPr>
      <w:r>
        <w:rPr>
          <w:rFonts w:ascii="Arial" w:cs="Arial" w:eastAsia="Arial" w:hAnsi="Arial"/>
          <w:color w:val="1A1A1A"/>
          <w:sz w:val="20"/>
          <w:szCs w:val="20"/>
        </w:rPr>
        <w:t xml:space="preserve">Mediciones: peso (kg), talla (cm), perímetro cefálico (cm)</w:t>
      </w:r>
    </w:p>
    <w:p>
      <w:pPr>
        <w:pStyle w:val="ListParagraph"/>
        <w:numPr>
          <w:ilvl w:val="0"/>
          <w:numId w:val="2"/>
        </w:numPr>
        <w:spacing w:after="80"/>
      </w:pPr>
      <w:r>
        <w:rPr>
          <w:rFonts w:ascii="Arial" w:cs="Arial" w:eastAsia="Arial" w:hAnsi="Arial"/>
          <w:color w:val="1A1A1A"/>
          <w:sz w:val="20"/>
          <w:szCs w:val="20"/>
        </w:rPr>
        <w:t xml:space="preserve">Medicamentos y suplementos pediátricos</w:t>
      </w:r>
    </w:p>
    <w:p>
      <w:pPr>
        <w:spacing w:after="160"/>
      </w:pPr>
      <w:r>
        <w:t xml:space="preserve"/>
      </w:r>
    </w:p>
    <w:p>
      <w:pPr>
        <w:pStyle w:val="Heading2"/>
        <w:spacing w:after="100" w:before="240"/>
      </w:pPr>
      <w:r>
        <w:rPr>
          <w:rFonts w:ascii="Arial" w:cs="Arial" w:eastAsia="Arial" w:hAnsi="Arial"/>
          <w:b/>
          <w:bCs/>
          <w:color w:val="1A1A1A"/>
          <w:sz w:val="24"/>
          <w:szCs w:val="24"/>
        </w:rPr>
        <w:t xml:space="preserve">2.5 Cosméticos e higiene</w:t>
      </w:r>
    </w:p>
    <w:p>
      <w:pPr>
        <w:pStyle w:val="ListParagraph"/>
        <w:numPr>
          <w:ilvl w:val="0"/>
          <w:numId w:val="2"/>
        </w:numPr>
        <w:spacing w:after="80"/>
      </w:pPr>
      <w:r>
        <w:rPr>
          <w:rFonts w:ascii="Arial" w:cs="Arial" w:eastAsia="Arial" w:hAnsi="Arial"/>
          <w:color w:val="1A1A1A"/>
          <w:sz w:val="20"/>
          <w:szCs w:val="20"/>
        </w:rPr>
        <w:t xml:space="preserve">Nombre del producto, categoría, fecha de apertura, PAO (Period After Opening)</w:t>
      </w:r>
    </w:p>
    <w:p>
      <w:pPr>
        <w:pStyle w:val="ListParagraph"/>
        <w:numPr>
          <w:ilvl w:val="0"/>
          <w:numId w:val="2"/>
        </w:numPr>
        <w:spacing w:after="80"/>
      </w:pPr>
      <w:r>
        <w:rPr>
          <w:rFonts w:ascii="Arial" w:cs="Arial" w:eastAsia="Arial" w:hAnsi="Arial"/>
          <w:color w:val="1A1A1A"/>
          <w:sz w:val="20"/>
          <w:szCs w:val="20"/>
        </w:rPr>
        <w:t xml:space="preserve">No incluye datos de salud</w:t>
      </w:r>
    </w:p>
    <w:p>
      <w:pPr>
        <w:spacing w:after="160"/>
      </w:pPr>
      <w:r>
        <w:t xml:space="preserve"/>
      </w:r>
    </w:p>
    <w:p>
      <w:pPr>
        <w:pStyle w:val="Heading2"/>
        <w:spacing w:after="100" w:before="240"/>
      </w:pPr>
      <w:r>
        <w:rPr>
          <w:rFonts w:ascii="Arial" w:cs="Arial" w:eastAsia="Arial" w:hAnsi="Arial"/>
          <w:b/>
          <w:bCs/>
          <w:color w:val="1A1A1A"/>
          <w:sz w:val="24"/>
          <w:szCs w:val="24"/>
        </w:rPr>
        <w:t xml:space="preserve">2.6 Datos de uso del asistente Stoqly</w:t>
      </w:r>
    </w:p>
    <w:p>
      <w:pPr>
        <w:pStyle w:val="ListParagraph"/>
        <w:numPr>
          <w:ilvl w:val="0"/>
          <w:numId w:val="2"/>
        </w:numPr>
        <w:spacing w:after="80"/>
      </w:pPr>
      <w:r>
        <w:rPr>
          <w:rFonts w:ascii="Arial" w:cs="Arial" w:eastAsia="Arial" w:hAnsi="Arial"/>
          <w:color w:val="1A1A1A"/>
          <w:sz w:val="20"/>
          <w:szCs w:val="20"/>
        </w:rPr>
        <w:t xml:space="preserve">Historial de conversaciones con el asistente (almacenado en nuestros servidores durante 90 días)</w:t>
      </w:r>
    </w:p>
    <w:p>
      <w:pPr>
        <w:pStyle w:val="ListParagraph"/>
        <w:numPr>
          <w:ilvl w:val="0"/>
          <w:numId w:val="2"/>
        </w:numPr>
        <w:spacing w:after="80"/>
      </w:pPr>
      <w:r>
        <w:rPr>
          <w:rFonts w:ascii="Arial" w:cs="Arial" w:eastAsia="Arial" w:hAnsi="Arial"/>
          <w:color w:val="1A1A1A"/>
          <w:sz w:val="20"/>
          <w:szCs w:val="20"/>
        </w:rPr>
        <w:t xml:space="preserve">El contexto enviado al servicio de IA (Anthropic) incluye datos de tu inventario y, si los has activado, de salud</w:t>
      </w:r>
    </w:p>
    <w:p>
      <w:pPr>
        <w:spacing w:after="160"/>
      </w:pPr>
      <w:r>
        <w:t xml:space="preserve"/>
      </w:r>
    </w:p>
    <w:p>
      <w:pPr>
        <w:pStyle w:val="Heading2"/>
        <w:spacing w:after="100" w:before="240"/>
      </w:pPr>
      <w:r>
        <w:rPr>
          <w:rFonts w:ascii="Arial" w:cs="Arial" w:eastAsia="Arial" w:hAnsi="Arial"/>
          <w:b/>
          <w:bCs/>
          <w:color w:val="1A1A1A"/>
          <w:sz w:val="24"/>
          <w:szCs w:val="24"/>
        </w:rPr>
        <w:t xml:space="preserve">2.7 Datos de facturación</w:t>
      </w:r>
    </w:p>
    <w:p>
      <w:pPr>
        <w:pStyle w:val="ListParagraph"/>
        <w:numPr>
          <w:ilvl w:val="0"/>
          <w:numId w:val="2"/>
        </w:numPr>
        <w:spacing w:after="80"/>
      </w:pPr>
      <w:r>
        <w:rPr>
          <w:rFonts w:ascii="Arial" w:cs="Arial" w:eastAsia="Arial" w:hAnsi="Arial"/>
          <w:color w:val="1A1A1A"/>
          <w:sz w:val="20"/>
          <w:szCs w:val="20"/>
        </w:rPr>
        <w:t xml:space="preserve">Nombre, email y datos del plan contratado</w:t>
      </w:r>
    </w:p>
    <w:p>
      <w:pPr>
        <w:pStyle w:val="ListParagraph"/>
        <w:numPr>
          <w:ilvl w:val="0"/>
          <w:numId w:val="2"/>
        </w:numPr>
        <w:spacing w:after="80"/>
      </w:pPr>
      <w:r>
        <w:rPr>
          <w:rFonts w:ascii="Arial" w:cs="Arial" w:eastAsia="Arial" w:hAnsi="Arial"/>
          <w:color w:val="1A1A1A"/>
          <w:sz w:val="20"/>
          <w:szCs w:val="20"/>
        </w:rPr>
        <w:t xml:space="preserve">Los datos de pago (tarjeta de crédito) son gestionados exclusivamente por Stripe. Domtrace no almacena en ningún momento tus datos de tarjeta.</w:t>
      </w:r>
    </w:p>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3. ¿Con qué finalidad tratamos tus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rPr>
          <w:tblHeader/>
        </w:trPr>
        <w:tc>
          <w:tcPr>
            <w:tcW w:type="dxa" w:w="30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0"/>
                <w:szCs w:val="20"/>
              </w:rPr>
              <w:t xml:space="preserve">Finalidad</w:t>
            </w:r>
          </w:p>
        </w:tc>
        <w:tc>
          <w:tcPr>
            <w:tcW w:type="dxa" w:w="3526"/>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0"/>
                <w:szCs w:val="20"/>
              </w:rPr>
              <w:t xml:space="preserve">Base legal</w:t>
            </w:r>
          </w:p>
        </w:tc>
        <w:tc>
          <w:tcPr>
            <w:tcW w:type="dxa" w:w="25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0"/>
                <w:szCs w:val="20"/>
              </w:rPr>
              <w:t xml:space="preserve">Plazo máximo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Prestación del servicio Stoqly</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Ejecución de contrato (Art. 6.1.b RGPD)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Mientras dure la relación + 5 años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Gestión de datos de salud (medicamentos, suplementos, bebés)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Consentimiento explícito (Art. 9.2.a RGPD)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Hasta retirada del consentimiento o cierre de cuenta + 3 años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Facturación y gestión de suscripciones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Ejecución de contrato + obligación legal fiscal (Art. 6.1.b y 6.1.c)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10 años (obligación fiscal)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Envío de emails transaccionales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Ejecución de contrato (Art. 6.1.b)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90 días (logs de envío)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Seguridad y detección de fraude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Interés legítimo (Art. 6.1.f)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90 días (logs)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Cumplimiento de obligaciones legales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Obligación legal (Art. 6.1.c)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Según normativa aplicable</w:t>
            </w:r>
          </w:p>
        </w:tc>
      </w:tr>
    </w:tbl>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4. ¿A quién cedemos tus datos?</w:t>
      </w:r>
    </w:p>
    <w:p>
      <w:pPr>
        <w:spacing w:after="140"/>
      </w:pPr>
      <w:r>
        <w:rPr>
          <w:rFonts w:ascii="Arial" w:cs="Arial" w:eastAsia="Arial" w:hAnsi="Arial"/>
          <w:b w:val="false"/>
          <w:bCs w:val="false"/>
          <w:color w:val="1A1A1A"/>
          <w:sz w:val="20"/>
          <w:szCs w:val="20"/>
        </w:rPr>
        <w:t xml:space="preserve">No vendemos ni cedemos tus datos personales a terceros con fines comerciales o publicitarios. Tus datos únicamente se comparten con los siguientes proveedores de servicios tecnológicos (encargados del tratamiento), que los tratan exclusivamente para las finalidades descritas y bajo nuestra instrucción: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2726"/>
      </w:tblGrid>
      <w:tr>
        <w:trPr>
          <w:tblHeader/>
        </w:trPr>
        <w:tc>
          <w:tcPr>
            <w:tcW w:type="dxa" w:w="20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0"/>
                <w:szCs w:val="20"/>
              </w:rPr>
              <w:t xml:space="preserve">Proveedor</w:t>
            </w:r>
          </w:p>
        </w:tc>
        <w:tc>
          <w:tcPr>
            <w:tcW w:type="dxa" w:w="28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0"/>
                <w:szCs w:val="20"/>
              </w:rPr>
              <w:t xml:space="preserve">Servicio</w:t>
            </w:r>
          </w:p>
        </w:tc>
        <w:tc>
          <w:tcPr>
            <w:tcW w:type="dxa" w:w="15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0"/>
                <w:szCs w:val="20"/>
              </w:rPr>
              <w:t xml:space="preserve">País</w:t>
            </w:r>
          </w:p>
        </w:tc>
        <w:tc>
          <w:tcPr>
            <w:tcW w:type="dxa" w:w="2726"/>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0"/>
                <w:szCs w:val="20"/>
              </w:rPr>
              <w:t xml:space="preserve">Garantía transferencia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Anthropic, Inc.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Asistente IA (Claude)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EE. UU.</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Cláusulas Contractuales Tipo (CCT)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Railway, Inc.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Infraestructura y base de datos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EE. UU.</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CCT CE/UE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Vercel, Inc.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Alojamiento web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EE. UU.</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CCT CE/UE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Stripe, Inc.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Pagos (responsable independiente)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EE. UU.</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CCT + PCI-DSS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Resend, Inc.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Email transaccional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EE. UU.</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CCT CE/UE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18"/>
                <w:szCs w:val="18"/>
              </w:rPr>
              <w:t xml:space="preserve">ElevenLabs, Inc.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Síntesis de voz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EE. UU.</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CCT CE/UE</w:t>
            </w:r>
          </w:p>
        </w:tc>
      </w:tr>
    </w:tbl>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5. Transferencias internacionales</w:t>
      </w:r>
    </w:p>
    <w:p>
      <w:pPr>
        <w:spacing w:after="140"/>
      </w:pPr>
      <w:r>
        <w:rPr>
          <w:rFonts w:ascii="Arial" w:cs="Arial" w:eastAsia="Arial" w:hAnsi="Arial"/>
          <w:b w:val="false"/>
          <w:bCs w:val="false"/>
          <w:color w:val="1A1A1A"/>
          <w:sz w:val="20"/>
          <w:szCs w:val="20"/>
        </w:rPr>
        <w:t xml:space="preserve">Algunos de nuestros proveedores tienen su sede en Estados Unidos. Para garantizar que tus datos reciben un nivel de protección adecuado, estas transferencias se amparan en las Cláusulas Contractuales Tipo (CCT) aprobadas por la Comisión Europea, de conformidad con el artículo 46 del RGPD. En el caso de Stripe, se aplican adicionalmente sus certificaciones de conformidad PCI-DSS.</w:t>
      </w:r>
    </w:p>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6. Tus derechos</w:t>
      </w:r>
    </w:p>
    <w:p>
      <w:pPr>
        <w:spacing w:after="140"/>
      </w:pPr>
      <w:r>
        <w:rPr>
          <w:rFonts w:ascii="Arial" w:cs="Arial" w:eastAsia="Arial" w:hAnsi="Arial"/>
          <w:b w:val="false"/>
          <w:bCs w:val="false"/>
          <w:color w:val="1A1A1A"/>
          <w:sz w:val="20"/>
          <w:szCs w:val="20"/>
        </w:rPr>
        <w:t xml:space="preserve">Como titular de los datos personales, tienes los siguientes derechos reconocidos por el RGPD y la LOPDGDD: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0"/>
                <w:szCs w:val="20"/>
              </w:rPr>
              <w:t xml:space="preserve">Derecho</w:t>
            </w:r>
          </w:p>
        </w:tc>
        <w:tc>
          <w:tcPr>
            <w:tcW w:type="dxa" w:w="6826"/>
            <w:tcBorders>
              <w:top w:val="single" w:color="CCCCCC" w:sz="1"/>
              <w:left w:val="single" w:color="CCCCCC" w:sz="1"/>
              <w:bottom w:val="single" w:color="CCCCCC" w:sz="1"/>
              <w:right w:val="single" w:color="CCCCCC" w:sz="1"/>
            </w:tcBorders>
            <w:shd w:fill="1D9E75"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Acceso</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Obtener confirmación de si tratamos tus datos y acceder a ellos.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Rectificación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Corregir datos inexactos o incompletos.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Supresión (olvido)</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Solicitar la eliminación de tus datos cuando ya no sean necesarios para los fines para los que se recogieron.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Oposición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Oponerte al tratamiento basado en interés legítimo en determinadas circunstancias.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Portabilidad</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Recibir tus datos en formato estructurado y de uso común para transmitirlos a otro responsable.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Limitación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Solicitar la suspensión del tratamiento en determinados casos (mientras se impugna la exactitud, mientras se verifica si el interés legítimo prevalece).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D9E75"/>
                <w:sz w:val="18"/>
                <w:szCs w:val="18"/>
              </w:rPr>
              <w:t xml:space="preserve">Retirada del consentimiento</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En cualquier momento, sin afectar a la licitud del tratamiento anterior. Especialmente relevante para datos de salud (medicamentos, suplementos, bebés).</w:t>
            </w:r>
          </w:p>
        </w:tc>
      </w:tr>
    </w:tbl>
    <w:p>
      <w:pPr>
        <w:spacing w:after="160"/>
      </w:pPr>
      <w:r>
        <w:t xml:space="preserve"/>
      </w:r>
    </w:p>
    <w:p>
      <w:pPr>
        <w:spacing w:after="140"/>
      </w:pPr>
      <w:r>
        <w:rPr>
          <w:rFonts w:ascii="Arial" w:cs="Arial" w:eastAsia="Arial" w:hAnsi="Arial"/>
          <w:b w:val="false"/>
          <w:bCs w:val="false"/>
          <w:color w:val="1A1A1A"/>
          <w:sz w:val="20"/>
          <w:szCs w:val="20"/>
        </w:rPr>
        <w:t xml:space="preserve">Para ejercer cualquiera de estos derechos, envía un email a privacidad@stoqly.app con el asunto "Ejercicio de derechos RGPD" y una copia de tu documento de identidad. Responderemos en el plazo máximo de 1 mes (prorrogable 2 meses adicionales en casos complejos).</w:t>
      </w:r>
    </w:p>
    <w:p>
      <w:pPr>
        <w:spacing w:after="140"/>
      </w:pPr>
      <w:r>
        <w:rPr>
          <w:rFonts w:ascii="Arial" w:cs="Arial" w:eastAsia="Arial" w:hAnsi="Arial"/>
          <w:b w:val="false"/>
          <w:bCs w:val="false"/>
          <w:color w:val="1A1A1A"/>
          <w:sz w:val="20"/>
          <w:szCs w:val="20"/>
        </w:rPr>
        <w:t xml:space="preserve">Si consideras que el tratamiento de tus datos vulnera el RGPD, tienes derecho a presentar una reclamación ante la Agencia Española de Protección de Datos (AEPD), www.aepd.es.</w:t>
      </w:r>
    </w:p>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7. Consentimiento para datos de salud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D9E75" w:val="clear"/>
            <w:tcMar>
              <w:top w:type="dxa" w:w="100"/>
              <w:left w:type="dxa" w:w="200"/>
              <w:bottom w:type="dxa" w:w="100"/>
              <w:right w:type="dxa" w:w="200"/>
            </w:tcMar>
          </w:tcPr>
          <w:p>
            <w:r>
              <w:rPr>
                <w:rFonts w:ascii="Arial" w:cs="Arial" w:eastAsia="Arial" w:hAnsi="Arial"/>
                <w:b/>
                <w:bCs/>
                <w:color w:val="FFFFFF"/>
                <w:sz w:val="22"/>
                <w:szCs w:val="22"/>
              </w:rPr>
              <w:t xml:space="preserve">Consentimiento explícito — Artículo 9.2.a RGPD</w:t>
            </w:r>
          </w:p>
        </w:tc>
      </w:tr>
      <w:tr>
        <w:tc>
          <w:tcPr>
            <w:tcW w:type="dxa" w:w="9026"/>
            <w:tcBorders>
              <w:top w:val="single" w:color="CCCCCC" w:sz="1"/>
              <w:left w:val="single" w:color="CCCCCC" w:sz="1"/>
              <w:bottom w:val="single" w:color="CCCCCC" w:sz="1"/>
              <w:right w:val="single" w:color="CCCCCC" w:sz="1"/>
            </w:tcBorders>
            <w:shd w:fill="E8F7F2" w:val="clear"/>
            <w:tcMar>
              <w:top w:type="dxa" w:w="100"/>
              <w:left w:type="dxa" w:w="200"/>
              <w:bottom w:type="dxa" w:w="100"/>
              <w:right w:type="dxa" w:w="200"/>
            </w:tcMar>
          </w:tcPr>
          <w:p>
            <w:r>
              <w:rPr>
                <w:rFonts w:ascii="Arial" w:cs="Arial" w:eastAsia="Arial" w:hAnsi="Arial"/>
                <w:color w:val="1A1A1A"/>
                <w:sz w:val="19"/>
                <w:szCs w:val="19"/>
              </w:rPr>
              <w:t xml:space="preserve">Los módulos de Medicamentos, Suplementos y Bebés tratan datos de salud, que son una categoría especial de datos que requiere tu consentimiento explícito y separado. Este consentimiento es voluntario: puedes usar Stoqly sin activar estos módulos. Puedes retirar tu consentimiento en cualquier momento desde Ajustes &gt; [módulo] &gt; Eliminar datos. La retirada no afecta a los tratamientos anteriores.</w:t>
            </w:r>
          </w:p>
        </w:tc>
      </w:tr>
    </w:tbl>
    <w:p>
      <w:pPr>
        <w:spacing w:after="160"/>
      </w:pPr>
      <w:r>
        <w:t xml:space="preserve"/>
      </w:r>
    </w:p>
    <w:p>
      <w:pPr>
        <w:spacing w:after="140"/>
      </w:pPr>
      <w:r>
        <w:rPr>
          <w:rFonts w:ascii="Arial" w:cs="Arial" w:eastAsia="Arial" w:hAnsi="Arial"/>
          <w:b w:val="false"/>
          <w:bCs w:val="false"/>
          <w:color w:val="1A1A1A"/>
          <w:sz w:val="20"/>
          <w:szCs w:val="20"/>
        </w:rPr>
        <w:t xml:space="preserve">Al activar cada módulo, te mostramos un aviso claro en el que describes qué datos se van a tratar y con qué finalidad, y solicitamos tu consentimiento de forma inequívoca. Guardamos un registro de cada consentimiento con la fecha y la versión del aviso aceptado.</w:t>
      </w:r>
    </w:p>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8. Seguridad de los datos</w:t>
      </w:r>
    </w:p>
    <w:p>
      <w:pPr>
        <w:spacing w:after="140"/>
      </w:pPr>
      <w:r>
        <w:rPr>
          <w:rFonts w:ascii="Arial" w:cs="Arial" w:eastAsia="Arial" w:hAnsi="Arial"/>
          <w:b w:val="false"/>
          <w:bCs w:val="false"/>
          <w:color w:val="1A1A1A"/>
          <w:sz w:val="20"/>
          <w:szCs w:val="20"/>
        </w:rPr>
        <w:t xml:space="preserve">Aplicamos medidas técnicas y organizativas adecuadas para proteger tus datos frente a accesos no autorizados, pérdida, destrucción o divulgación, incluyendo:</w:t>
      </w:r>
    </w:p>
    <w:p>
      <w:pPr>
        <w:pStyle w:val="ListParagraph"/>
        <w:numPr>
          <w:ilvl w:val="0"/>
          <w:numId w:val="2"/>
        </w:numPr>
        <w:spacing w:after="80"/>
      </w:pPr>
      <w:r>
        <w:rPr>
          <w:rFonts w:ascii="Arial" w:cs="Arial" w:eastAsia="Arial" w:hAnsi="Arial"/>
          <w:color w:val="1A1A1A"/>
          <w:sz w:val="20"/>
          <w:szCs w:val="20"/>
        </w:rPr>
        <w:t xml:space="preserve">Cifrado de todas las comunicaciones mediante TLS 1.3</w:t>
      </w:r>
    </w:p>
    <w:p>
      <w:pPr>
        <w:pStyle w:val="ListParagraph"/>
        <w:numPr>
          <w:ilvl w:val="0"/>
          <w:numId w:val="2"/>
        </w:numPr>
        <w:spacing w:after="80"/>
      </w:pPr>
      <w:r>
        <w:rPr>
          <w:rFonts w:ascii="Arial" w:cs="Arial" w:eastAsia="Arial" w:hAnsi="Arial"/>
          <w:color w:val="1A1A1A"/>
          <w:sz w:val="20"/>
          <w:szCs w:val="20"/>
        </w:rPr>
        <w:t xml:space="preserve">Contraseñas almacenadas con hash bcrypt (nunca en texto plano)</w:t>
      </w:r>
    </w:p>
    <w:p>
      <w:pPr>
        <w:pStyle w:val="ListParagraph"/>
        <w:numPr>
          <w:ilvl w:val="0"/>
          <w:numId w:val="2"/>
        </w:numPr>
        <w:spacing w:after="80"/>
      </w:pPr>
      <w:r>
        <w:rPr>
          <w:rFonts w:ascii="Arial" w:cs="Arial" w:eastAsia="Arial" w:hAnsi="Arial"/>
          <w:color w:val="1A1A1A"/>
          <w:sz w:val="20"/>
          <w:szCs w:val="20"/>
        </w:rPr>
        <w:t xml:space="preserve">Autenticación mediante tokens JWT con caducidad</w:t>
      </w:r>
    </w:p>
    <w:p>
      <w:pPr>
        <w:pStyle w:val="ListParagraph"/>
        <w:numPr>
          <w:ilvl w:val="0"/>
          <w:numId w:val="2"/>
        </w:numPr>
        <w:spacing w:after="80"/>
      </w:pPr>
      <w:r>
        <w:rPr>
          <w:rFonts w:ascii="Arial" w:cs="Arial" w:eastAsia="Arial" w:hAnsi="Arial"/>
          <w:color w:val="1A1A1A"/>
          <w:sz w:val="20"/>
          <w:szCs w:val="20"/>
        </w:rPr>
        <w:t xml:space="preserve">Aislamiento completo de los datos de cada hogar (ningún usuario puede acceder a datos de otro hogar)</w:t>
      </w:r>
    </w:p>
    <w:p>
      <w:pPr>
        <w:pStyle w:val="ListParagraph"/>
        <w:numPr>
          <w:ilvl w:val="0"/>
          <w:numId w:val="2"/>
        </w:numPr>
        <w:spacing w:after="80"/>
      </w:pPr>
      <w:r>
        <w:rPr>
          <w:rFonts w:ascii="Arial" w:cs="Arial" w:eastAsia="Arial" w:hAnsi="Arial"/>
          <w:color w:val="1A1A1A"/>
          <w:sz w:val="20"/>
          <w:szCs w:val="20"/>
        </w:rPr>
        <w:t xml:space="preserve">Backups automáticos de la base de datos</w:t>
      </w:r>
    </w:p>
    <w:p>
      <w:pPr>
        <w:pStyle w:val="ListParagraph"/>
        <w:numPr>
          <w:ilvl w:val="0"/>
          <w:numId w:val="2"/>
        </w:numPr>
        <w:spacing w:after="80"/>
      </w:pPr>
      <w:r>
        <w:rPr>
          <w:rFonts w:ascii="Arial" w:cs="Arial" w:eastAsia="Arial" w:hAnsi="Arial"/>
          <w:color w:val="1A1A1A"/>
          <w:sz w:val="20"/>
          <w:szCs w:val="20"/>
        </w:rPr>
        <w:t xml:space="preserve">Procedimiento de notificación de brechas a la AEPD en un plazo máximo de 72 horas</w:t>
      </w:r>
    </w:p>
    <w:p>
      <w:pPr>
        <w:spacing w:after="160"/>
      </w:pPr>
      <w:r>
        <w:t xml:space="preserve"/>
      </w:r>
    </w:p>
    <w:p>
      <w:pPr>
        <w:spacing w:after="140"/>
      </w:pPr>
      <w:r>
        <w:rPr>
          <w:rFonts w:ascii="Arial" w:cs="Arial" w:eastAsia="Arial" w:hAnsi="Arial"/>
          <w:b w:val="false"/>
          <w:bCs w:val="false"/>
          <w:color w:val="1A1A1A"/>
          <w:sz w:val="20"/>
          <w:szCs w:val="20"/>
        </w:rPr>
        <w:t xml:space="preserve">En caso de brecha de seguridad que pueda afectar a tus derechos y libertades, te notificaremos sin demora indebida.</w:t>
      </w:r>
    </w:p>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9. Datos de menores</w:t>
      </w:r>
    </w:p>
    <w:p>
      <w:pPr>
        <w:spacing w:after="140"/>
      </w:pPr>
      <w:r>
        <w:rPr>
          <w:rFonts w:ascii="Arial" w:cs="Arial" w:eastAsia="Arial" w:hAnsi="Arial"/>
          <w:b w:val="false"/>
          <w:bCs w:val="false"/>
          <w:color w:val="1A1A1A"/>
          <w:sz w:val="20"/>
          <w:szCs w:val="20"/>
        </w:rPr>
        <w:t xml:space="preserve">Stoqly no está dirigida a menores de 14 años como usuarios directos. Los datos de bebés y menores únicamente se tratan a través del módulo Bebés, bajo el consentimiento explícito del progenitor o tutor legal, exclusivamente para los fines descritos en dicho módulo. Si detectamos que un menor de 14 años ha creado una cuenta sin el consentimiento parental, eliminaremos sus datos de inmediato.</w:t>
      </w:r>
    </w:p>
    <w:p>
      <w:pPr>
        <w:spacing w:after="160"/>
      </w:pPr>
      <w:r>
        <w:t xml:space="preserve"/>
      </w:r>
    </w:p>
    <w:p>
      <w:pPr>
        <w:pStyle w:val="Heading1"/>
        <w:pBdr>
          <w:bottom w:val="single" w:color="1D9E75" w:sz="6" w:space="4"/>
        </w:pBdr>
        <w:spacing w:after="160" w:before="360"/>
      </w:pPr>
      <w:r>
        <w:rPr>
          <w:rFonts w:ascii="Arial" w:cs="Arial" w:eastAsia="Arial" w:hAnsi="Arial"/>
          <w:b/>
          <w:bCs/>
          <w:color w:val="1D9E75"/>
          <w:sz w:val="28"/>
          <w:szCs w:val="28"/>
        </w:rPr>
        <w:t xml:space="preserve">10. Cambios en la Política de Privacidad</w:t>
      </w:r>
    </w:p>
    <w:p>
      <w:pPr>
        <w:spacing w:after="140"/>
      </w:pPr>
      <w:r>
        <w:rPr>
          <w:rFonts w:ascii="Arial" w:cs="Arial" w:eastAsia="Arial" w:hAnsi="Arial"/>
          <w:b w:val="false"/>
          <w:bCs w:val="false"/>
          <w:color w:val="1A1A1A"/>
          <w:sz w:val="20"/>
          <w:szCs w:val="20"/>
        </w:rPr>
        <w:t xml:space="preserve">Podemos actualizar esta Política de Privacidad para reflejar cambios en nuestras prácticas o en la normativa aplicable. Te notificaremos los cambios relevantes mediante email o mediante un aviso destacado en la aplicación antes de que entren en vigor. La fecha de la última actualización figura en el encabezado de este documento.</w:t>
      </w:r>
    </w:p>
    <w:p>
      <w:pPr>
        <w:spacing w:after="160"/>
      </w:pPr>
      <w:r>
        <w:t xml:space="preserve"/>
      </w:r>
    </w:p>
    <w:p>
      <w:pPr>
        <w:spacing w:after="160"/>
      </w:pPr>
      <w:r>
        <w:t xml:space="preserve"/>
      </w:r>
    </w:p>
    <w:p>
      <w:pPr>
        <w:spacing w:before="300"/>
        <w:jc w:val="right"/>
      </w:pPr>
      <w:r>
        <w:rPr>
          <w:rFonts w:ascii="Arial" w:cs="Arial" w:eastAsia="Arial" w:hAnsi="Arial"/>
          <w:color w:val="AAAAAA"/>
          <w:sz w:val="18"/>
          <w:szCs w:val="18"/>
        </w:rPr>
        <w:t xml:space="preserve">Domtrace · Política de Privacidad · Versión 1.0 · Junio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de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999999"/>
        <w:sz w:val="16"/>
        <w:szCs w:val="16"/>
      </w:rPr>
      <w:t xml:space="preserve">DOMTRACE — Política de Privacidad de Stoqly — Versión 1.0 ·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360"/>
      </w:pPr>
    </w:lvl>
  </w:abstractNum>
  <w:abstractNum w:abstractNumId="3" w15:restartNumberingAfterBreak="0">
    <w:multiLevelType w:val="hybridMultilevel"/>
    <w:lvl w:ilvl="0" w15:tentative="1">
      <w:start w:val="1"/>
      <w:numFmt w:val="lowerLetter"/>
      <w:lvlText w:val="%1)"/>
      <w:lvlJc w:val="left"/>
      <w:pPr>
        <w:spacing w:after="80"/>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D9E75"/>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2026-06-09T07:08:18.410Z</dcterms:created>
  <dcterms:modified xsi:type="dcterms:W3CDTF">2026-06-09T07:08:18.410Z</dcterms:modified>
</cp:coreProperties>
</file>

<file path=docProps/custom.xml><?xml version="1.0" encoding="utf-8"?>
<Properties xmlns="http://schemas.openxmlformats.org/officeDocument/2006/custom-properties" xmlns:vt="http://schemas.openxmlformats.org/officeDocument/2006/docPropsVTypes"/>
</file>