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t xml:space="preserve"/>
      </w:r>
    </w:p>
    <w:p>
      <w:pPr>
        <w:spacing w:after="140"/>
      </w:pPr>
      <w:r>
        <w:t xml:space="preserve"/>
      </w:r>
    </w:p>
    <w:p>
      <w:pPr>
        <w:spacing w:after="100"/>
        <w:jc w:val="center"/>
      </w:pPr>
      <w:r>
        <w:rPr>
          <w:rFonts w:ascii="Arial" w:cs="Arial" w:eastAsia="Arial" w:hAnsi="Arial"/>
          <w:b/>
          <w:bCs/>
          <w:color w:val="1D9E75"/>
          <w:sz w:val="48"/>
          <w:szCs w:val="48"/>
        </w:rPr>
        <w:t xml:space="preserve">DOMTRACE</w:t>
      </w:r>
    </w:p>
    <w:p>
      <w:pPr>
        <w:spacing w:after="400"/>
        <w:jc w:val="center"/>
      </w:pPr>
      <w:r>
        <w:rPr>
          <w:rFonts w:ascii="Arial" w:cs="Arial" w:eastAsia="Arial" w:hAnsi="Arial"/>
          <w:color w:val="888888"/>
          <w:sz w:val="22"/>
          <w:szCs w:val="22"/>
        </w:rPr>
        <w:t xml:space="preserve">stoqly.app</w:t>
      </w:r>
    </w:p>
    <w:p>
      <w:pPr>
        <w:pBdr>
          <w:top w:val="single" w:color="1D9E75" w:sz="8" w:space="6"/>
          <w:bottom w:val="single" w:color="1D9E75" w:sz="8" w:space="6"/>
        </w:pBdr>
        <w:spacing w:after="160" w:before="100"/>
        <w:jc w:val="center"/>
      </w:pPr>
      <w:r>
        <w:rPr>
          <w:rFonts w:ascii="Arial" w:cs="Arial" w:eastAsia="Arial" w:hAnsi="Arial"/>
          <w:b/>
          <w:bCs/>
          <w:color w:val="1A1A1A"/>
          <w:sz w:val="36"/>
          <w:szCs w:val="36"/>
        </w:rPr>
        <w:t xml:space="preserve">EVALUACIÓN DE IMPACTO EN PROTECCIÓN DE DATOS (EIPD)</w:t>
      </w:r>
    </w:p>
    <w:p>
      <w:pPr>
        <w:spacing w:after="140"/>
      </w:pPr>
      <w:r>
        <w:t xml:space="preserve"/>
      </w:r>
    </w:p>
    <w:p>
      <w:pPr>
        <w:spacing w:after="80"/>
        <w:jc w:val="center"/>
      </w:pPr>
      <w:r>
        <w:rPr>
          <w:rFonts w:ascii="Arial" w:cs="Arial" w:eastAsia="Arial" w:hAnsi="Arial"/>
          <w:color w:val="555555"/>
          <w:sz w:val="22"/>
          <w:szCs w:val="22"/>
        </w:rPr>
        <w:t xml:space="preserve">Data Protection Impact Assessment (DPIA)</w:t>
      </w:r>
    </w:p>
    <w:p>
      <w:pPr>
        <w:spacing w:after="80"/>
        <w:jc w:val="center"/>
      </w:pPr>
      <w:r>
        <w:rPr>
          <w:rFonts w:ascii="Arial" w:cs="Arial" w:eastAsia="Arial" w:hAnsi="Arial"/>
          <w:color w:val="555555"/>
          <w:sz w:val="20"/>
          <w:szCs w:val="20"/>
        </w:rPr>
        <w:t xml:space="preserve">Artículo 35 Reglamento (UE) 2016/679 — RGPD</w:t>
      </w:r>
    </w:p>
    <w:p>
      <w:pPr>
        <w:spacing w:after="400"/>
        <w:jc w:val="center"/>
      </w:pPr>
      <w:r>
        <w:rPr>
          <w:rFonts w:ascii="Arial" w:cs="Arial" w:eastAsia="Arial" w:hAnsi="Arial"/>
          <w:color w:val="555555"/>
          <w:sz w:val="20"/>
          <w:szCs w:val="20"/>
        </w:rPr>
        <w:t xml:space="preserve">Versión 1.0 · Junio 2026 · CONFIDENCIAL — USO INTERNO</w:t>
      </w:r>
    </w:p>
    <w:p>
      <w:pPr>
        <w:spacing w:after="140"/>
      </w:pPr>
      <w:r>
        <w:t xml:space="preserve"/>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22"/>
                <w:szCs w:val="22"/>
              </w:rPr>
              <w:t xml:space="preserve">FICHA DEL PROYECTO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Nombre del proyecto / producto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Stoqly — Gestión inteligente del hogar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Responsable del tratamiento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Domtrace [COMPLETAR RAZÓN SOCIAL]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Responsable de la EIPD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[COMPLETAR NOMBRE Y CARGO]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Tratamientos evaluados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T-03 Medicamentos · T-04 Suplementos · T-05 Bebés · T-06 Asistente 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Motivo de la EIPD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Tratamiento a gran escala de datos de salud (Art. 9 RGPD) y datos de menores. La AEPD incluye esta categoría en su lista de tratamientos que requieren EIPD.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Fecha de elaboración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Junio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Versión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Estado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Aprobada internamente — Pendiente de revisión tras constitución societaria</w:t>
            </w:r>
          </w:p>
        </w:tc>
      </w:tr>
    </w:tbl>
    <w:p>
      <w:pPr>
        <w:spacing w:after="140"/>
      </w:pPr>
      <w:r>
        <w:t xml:space="preserve"/>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1. Descripción sistemática del tratamiento</w:t>
      </w:r>
    </w:p>
    <w:p>
      <w:pPr>
        <w:pStyle w:val="Heading2"/>
        <w:spacing w:after="100" w:before="200"/>
      </w:pPr>
      <w:r>
        <w:rPr>
          <w:rFonts w:ascii="Arial" w:cs="Arial" w:eastAsia="Arial" w:hAnsi="Arial"/>
          <w:b/>
          <w:bCs/>
          <w:color w:val="1A1A1A"/>
          <w:sz w:val="24"/>
          <w:szCs w:val="24"/>
        </w:rPr>
        <w:t xml:space="preserve">1.1 Naturaleza del tratamiento</w:t>
      </w:r>
    </w:p>
    <w:p>
      <w:pPr>
        <w:spacing w:after="140"/>
      </w:pPr>
      <w:r>
        <w:rPr>
          <w:rFonts w:ascii="Arial" w:cs="Arial" w:eastAsia="Arial" w:hAnsi="Arial"/>
          <w:b w:val="false"/>
          <w:bCs w:val="false"/>
          <w:color w:val="1A1A1A"/>
          <w:sz w:val="20"/>
          <w:szCs w:val="20"/>
        </w:rPr>
        <w:t xml:space="preserve">Los módulos de Medicamentos (T-03), Suplementos (T-04) y Bebés (T-05) de Stoqly tratan datos de salud en el sentido del artículo 4.15 y artículo 9 del RGPD. Estos módulos permiten a los usuarios registrar información sobre medicamentos que consumen o administran a sus hijos, suplementos nutricionales, pautas de dosificación, y datos de crecimiento y alimentación de bebés.</w:t>
      </w:r>
    </w:p>
    <w:p>
      <w:pPr>
        <w:spacing w:after="140"/>
      </w:pPr>
      <w:r>
        <w:rPr>
          <w:rFonts w:ascii="Arial" w:cs="Arial" w:eastAsia="Arial" w:hAnsi="Arial"/>
          <w:b w:val="false"/>
          <w:bCs w:val="false"/>
          <w:color w:val="1A1A1A"/>
          <w:sz w:val="20"/>
          <w:szCs w:val="20"/>
        </w:rPr>
        <w:t xml:space="preserve">El asistente IA (T-06) recibe el contexto del hogar, que puede incluir información de salud cuando el usuario interactúa con dichos módulos.</w:t>
      </w:r>
    </w:p>
    <w:p>
      <w:pPr>
        <w:spacing w:after="140"/>
      </w:pPr>
      <w:r>
        <w:t xml:space="preserve"/>
      </w:r>
    </w:p>
    <w:p>
      <w:pPr>
        <w:pStyle w:val="Heading2"/>
        <w:spacing w:after="100" w:before="200"/>
      </w:pPr>
      <w:r>
        <w:rPr>
          <w:rFonts w:ascii="Arial" w:cs="Arial" w:eastAsia="Arial" w:hAnsi="Arial"/>
          <w:b/>
          <w:bCs/>
          <w:color w:val="1A1A1A"/>
          <w:sz w:val="24"/>
          <w:szCs w:val="24"/>
        </w:rPr>
        <w:t xml:space="preserve">1.2 Alcance y contexto</w:t>
      </w:r>
    </w:p>
    <w:p>
      <w:pPr>
        <w:pStyle w:val="ListParagraph"/>
        <w:numPr>
          <w:ilvl w:val="0"/>
          <w:numId w:val="2"/>
        </w:numPr>
        <w:spacing w:after="80"/>
      </w:pPr>
      <w:r>
        <w:rPr>
          <w:rFonts w:ascii="Arial" w:cs="Arial" w:eastAsia="Arial" w:hAnsi="Arial"/>
          <w:color w:val="1A1A1A"/>
          <w:sz w:val="20"/>
          <w:szCs w:val="20"/>
        </w:rPr>
        <w:t xml:space="preserve">Responsable del tratamiento: Domtrace</w:t>
      </w:r>
    </w:p>
    <w:p>
      <w:pPr>
        <w:pStyle w:val="ListParagraph"/>
        <w:numPr>
          <w:ilvl w:val="0"/>
          <w:numId w:val="2"/>
        </w:numPr>
        <w:spacing w:after="80"/>
      </w:pPr>
      <w:r>
        <w:rPr>
          <w:rFonts w:ascii="Arial" w:cs="Arial" w:eastAsia="Arial" w:hAnsi="Arial"/>
          <w:color w:val="1A1A1A"/>
          <w:sz w:val="20"/>
          <w:szCs w:val="20"/>
        </w:rPr>
        <w:t xml:space="preserve">Tipología de interesados: adultos usuarios del servicio; bebés y menores bajo tutela del usuario</w:t>
      </w:r>
    </w:p>
    <w:p>
      <w:pPr>
        <w:pStyle w:val="ListParagraph"/>
        <w:numPr>
          <w:ilvl w:val="0"/>
          <w:numId w:val="2"/>
        </w:numPr>
        <w:spacing w:after="80"/>
      </w:pPr>
      <w:r>
        <w:rPr>
          <w:rFonts w:ascii="Arial" w:cs="Arial" w:eastAsia="Arial" w:hAnsi="Arial"/>
          <w:color w:val="1A1A1A"/>
          <w:sz w:val="20"/>
          <w:szCs w:val="20"/>
        </w:rPr>
        <w:t xml:space="preserve">Volumen de datos: variable según el hogar; sin límite técnico de productos o registros</w:t>
      </w:r>
    </w:p>
    <w:p>
      <w:pPr>
        <w:pStyle w:val="ListParagraph"/>
        <w:numPr>
          <w:ilvl w:val="0"/>
          <w:numId w:val="2"/>
        </w:numPr>
        <w:spacing w:after="80"/>
      </w:pPr>
      <w:r>
        <w:rPr>
          <w:rFonts w:ascii="Arial" w:cs="Arial" w:eastAsia="Arial" w:hAnsi="Arial"/>
          <w:color w:val="1A1A1A"/>
          <w:sz w:val="20"/>
          <w:szCs w:val="20"/>
        </w:rPr>
        <w:t xml:space="preserve">Categorías especiales afectadas: datos de salud (Art. 9 RGPD); datos de menores (Art. 8 RGPD, Art. 7 LOPDGDD)</w:t>
      </w:r>
    </w:p>
    <w:p>
      <w:pPr>
        <w:pStyle w:val="ListParagraph"/>
        <w:numPr>
          <w:ilvl w:val="0"/>
          <w:numId w:val="2"/>
        </w:numPr>
        <w:spacing w:after="80"/>
      </w:pPr>
      <w:r>
        <w:rPr>
          <w:rFonts w:ascii="Arial" w:cs="Arial" w:eastAsia="Arial" w:hAnsi="Arial"/>
          <w:color w:val="1A1A1A"/>
          <w:sz w:val="20"/>
          <w:szCs w:val="20"/>
        </w:rPr>
        <w:t xml:space="preserve">Geografía: España y UE principalmente; transferencias internacionales a EE. UU. (ver apartado 4)</w:t>
      </w:r>
    </w:p>
    <w:p>
      <w:pPr>
        <w:pStyle w:val="ListParagraph"/>
        <w:numPr>
          <w:ilvl w:val="0"/>
          <w:numId w:val="2"/>
        </w:numPr>
        <w:spacing w:after="80"/>
      </w:pPr>
      <w:r>
        <w:rPr>
          <w:rFonts w:ascii="Arial" w:cs="Arial" w:eastAsia="Arial" w:hAnsi="Arial"/>
          <w:color w:val="1A1A1A"/>
          <w:sz w:val="20"/>
          <w:szCs w:val="20"/>
        </w:rPr>
        <w:t xml:space="preserve">Tecnología implicada: API REST (Fastify/Node.js), PostgreSQL, Anthropic Claude API, Railway (hosting)</w:t>
      </w:r>
    </w:p>
    <w:p>
      <w:pPr>
        <w:spacing w:after="140"/>
      </w:pPr>
      <w:r>
        <w:t xml:space="preserve"/>
      </w:r>
    </w:p>
    <w:p>
      <w:pPr>
        <w:pStyle w:val="Heading2"/>
        <w:spacing w:after="100" w:before="200"/>
      </w:pPr>
      <w:r>
        <w:rPr>
          <w:rFonts w:ascii="Arial" w:cs="Arial" w:eastAsia="Arial" w:hAnsi="Arial"/>
          <w:b/>
          <w:bCs/>
          <w:color w:val="1A1A1A"/>
          <w:sz w:val="24"/>
          <w:szCs w:val="24"/>
        </w:rPr>
        <w:t xml:space="preserve">1.3 Finalidades</w:t>
      </w:r>
    </w:p>
    <w:p>
      <w:pPr>
        <w:pStyle w:val="ListParagraph"/>
        <w:numPr>
          <w:ilvl w:val="0"/>
          <w:numId w:val="2"/>
        </w:numPr>
        <w:spacing w:after="80"/>
      </w:pPr>
      <w:r>
        <w:rPr>
          <w:rFonts w:ascii="Arial" w:cs="Arial" w:eastAsia="Arial" w:hAnsi="Arial"/>
          <w:color w:val="1A1A1A"/>
          <w:sz w:val="20"/>
          <w:szCs w:val="20"/>
        </w:rPr>
        <w:t xml:space="preserve">Registro y control de medicamentos: alertas de caducidad, stock, pautas de toma</w:t>
      </w:r>
    </w:p>
    <w:p>
      <w:pPr>
        <w:pStyle w:val="ListParagraph"/>
        <w:numPr>
          <w:ilvl w:val="0"/>
          <w:numId w:val="2"/>
        </w:numPr>
        <w:spacing w:after="80"/>
      </w:pPr>
      <w:r>
        <w:rPr>
          <w:rFonts w:ascii="Arial" w:cs="Arial" w:eastAsia="Arial" w:hAnsi="Arial"/>
          <w:color w:val="1A1A1A"/>
          <w:sz w:val="20"/>
          <w:szCs w:val="20"/>
        </w:rPr>
        <w:t xml:space="preserve">Registro y control de suplementos: stock, dosis, frecuencia</w:t>
      </w:r>
    </w:p>
    <w:p>
      <w:pPr>
        <w:pStyle w:val="ListParagraph"/>
        <w:numPr>
          <w:ilvl w:val="0"/>
          <w:numId w:val="2"/>
        </w:numPr>
        <w:spacing w:after="80"/>
      </w:pPr>
      <w:r>
        <w:rPr>
          <w:rFonts w:ascii="Arial" w:cs="Arial" w:eastAsia="Arial" w:hAnsi="Arial"/>
          <w:color w:val="1A1A1A"/>
          <w:sz w:val="20"/>
          <w:szCs w:val="20"/>
        </w:rPr>
        <w:t xml:space="preserve">Seguimiento del bebé: tomas, mediciones de crecimiento, stock pediátrico</w:t>
      </w:r>
    </w:p>
    <w:p>
      <w:pPr>
        <w:pStyle w:val="ListParagraph"/>
        <w:numPr>
          <w:ilvl w:val="0"/>
          <w:numId w:val="2"/>
        </w:numPr>
        <w:spacing w:after="80"/>
      </w:pPr>
      <w:r>
        <w:rPr>
          <w:rFonts w:ascii="Arial" w:cs="Arial" w:eastAsia="Arial" w:hAnsi="Arial"/>
          <w:color w:val="1A1A1A"/>
          <w:sz w:val="20"/>
          <w:szCs w:val="20"/>
        </w:rPr>
        <w:t xml:space="preserve">Asistente IA: responder consultas del usuario usando el contexto de salud del hogar</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2. Evaluación de la necesidad y proporcionalidad</w:t>
      </w:r>
    </w:p>
    <w:p>
      <w:pPr>
        <w:pStyle w:val="Heading2"/>
        <w:spacing w:after="100" w:before="200"/>
      </w:pPr>
      <w:r>
        <w:rPr>
          <w:rFonts w:ascii="Arial" w:cs="Arial" w:eastAsia="Arial" w:hAnsi="Arial"/>
          <w:b/>
          <w:bCs/>
          <w:color w:val="1A1A1A"/>
          <w:sz w:val="24"/>
          <w:szCs w:val="24"/>
        </w:rPr>
        <w:t xml:space="preserve">2.1 ¿Es necesario el tratamiento?</w:t>
      </w:r>
    </w:p>
    <w:p>
      <w:pPr>
        <w:spacing w:after="140"/>
      </w:pPr>
      <w:r>
        <w:rPr>
          <w:rFonts w:ascii="Arial" w:cs="Arial" w:eastAsia="Arial" w:hAnsi="Arial"/>
          <w:b w:val="false"/>
          <w:bCs w:val="false"/>
          <w:color w:val="1A1A1A"/>
          <w:sz w:val="20"/>
          <w:szCs w:val="20"/>
        </w:rPr>
        <w:t xml:space="preserve">Sí. La funcionalidad principal de los módulos de salud de Stoqly requiere necesariamente el tratamiento de datos de salud. Sin estos datos, los módulos no pueden cumplir su función. Se ha verificado que no existe una alternativa menos intrusiva que permita ofrecer la misma funcionalidad.</w:t>
      </w:r>
    </w:p>
    <w:p>
      <w:pPr>
        <w:spacing w:after="140"/>
      </w:pPr>
      <w:r>
        <w:t xml:space="preserve"/>
      </w:r>
    </w:p>
    <w:p>
      <w:pPr>
        <w:pStyle w:val="Heading2"/>
        <w:spacing w:after="100" w:before="200"/>
      </w:pPr>
      <w:r>
        <w:rPr>
          <w:rFonts w:ascii="Arial" w:cs="Arial" w:eastAsia="Arial" w:hAnsi="Arial"/>
          <w:b/>
          <w:bCs/>
          <w:color w:val="1A1A1A"/>
          <w:sz w:val="24"/>
          <w:szCs w:val="24"/>
        </w:rPr>
        <w:t xml:space="preserve">2.2 ¿Es proporcional el tratamiento?</w:t>
      </w:r>
    </w:p>
    <w:p>
      <w:pPr>
        <w:spacing w:after="140"/>
      </w:pPr>
      <w:r>
        <w:rPr>
          <w:rFonts w:ascii="Arial" w:cs="Arial" w:eastAsia="Arial" w:hAnsi="Arial"/>
          <w:b w:val="false"/>
          <w:bCs w:val="false"/>
          <w:color w:val="1A1A1A"/>
          <w:sz w:val="20"/>
          <w:szCs w:val="20"/>
        </w:rPr>
        <w:t xml:space="preserve">Sí. Se aplican los siguientes principios de proporcionalidad:</w:t>
      </w:r>
    </w:p>
    <w:p>
      <w:pPr>
        <w:pStyle w:val="ListParagraph"/>
        <w:numPr>
          <w:ilvl w:val="0"/>
          <w:numId w:val="2"/>
        </w:numPr>
        <w:spacing w:after="80"/>
      </w:pPr>
      <w:r>
        <w:rPr>
          <w:rFonts w:ascii="Arial" w:cs="Arial" w:eastAsia="Arial" w:hAnsi="Arial"/>
          <w:color w:val="1A1A1A"/>
          <w:sz w:val="20"/>
          <w:szCs w:val="20"/>
        </w:rPr>
        <w:t xml:space="preserve">Minimización: Solo se recogen los datos estrictamente necesarios para cada módulo. No se recogen diagnósticos médicos, historial clínico, ni datos de prescripción médica.</w:t>
      </w:r>
    </w:p>
    <w:p>
      <w:pPr>
        <w:pStyle w:val="ListParagraph"/>
        <w:numPr>
          <w:ilvl w:val="0"/>
          <w:numId w:val="2"/>
        </w:numPr>
        <w:spacing w:after="80"/>
      </w:pPr>
      <w:r>
        <w:rPr>
          <w:rFonts w:ascii="Arial" w:cs="Arial" w:eastAsia="Arial" w:hAnsi="Arial"/>
          <w:color w:val="1A1A1A"/>
          <w:sz w:val="20"/>
          <w:szCs w:val="20"/>
        </w:rPr>
        <w:t xml:space="preserve">Exactitud: El usuario introduce y controla sus propios datos. No se infieren datos de salud adicionales.</w:t>
      </w:r>
    </w:p>
    <w:p>
      <w:pPr>
        <w:pStyle w:val="ListParagraph"/>
        <w:numPr>
          <w:ilvl w:val="0"/>
          <w:numId w:val="2"/>
        </w:numPr>
        <w:spacing w:after="80"/>
      </w:pPr>
      <w:r>
        <w:rPr>
          <w:rFonts w:ascii="Arial" w:cs="Arial" w:eastAsia="Arial" w:hAnsi="Arial"/>
          <w:color w:val="1A1A1A"/>
          <w:sz w:val="20"/>
          <w:szCs w:val="20"/>
        </w:rPr>
        <w:t xml:space="preserve">Limitación de finalidad: Los datos de salud no se usan para perfilado publicitario ni se ceden a terceros con fines comerciales.</w:t>
      </w:r>
    </w:p>
    <w:p>
      <w:pPr>
        <w:pStyle w:val="ListParagraph"/>
        <w:numPr>
          <w:ilvl w:val="0"/>
          <w:numId w:val="2"/>
        </w:numPr>
        <w:spacing w:after="80"/>
      </w:pPr>
      <w:r>
        <w:rPr>
          <w:rFonts w:ascii="Arial" w:cs="Arial" w:eastAsia="Arial" w:hAnsi="Arial"/>
          <w:color w:val="1A1A1A"/>
          <w:sz w:val="20"/>
          <w:szCs w:val="20"/>
        </w:rPr>
        <w:t xml:space="preserve">Separación: Los datos de salud del adulto y los datos pediátricos están separados en la base de datos (campo babyId).</w:t>
      </w:r>
    </w:p>
    <w:p>
      <w:pPr>
        <w:pStyle w:val="ListParagraph"/>
        <w:numPr>
          <w:ilvl w:val="0"/>
          <w:numId w:val="2"/>
        </w:numPr>
        <w:spacing w:after="80"/>
      </w:pPr>
      <w:r>
        <w:rPr>
          <w:rFonts w:ascii="Arial" w:cs="Arial" w:eastAsia="Arial" w:hAnsi="Arial"/>
          <w:color w:val="1A1A1A"/>
          <w:sz w:val="20"/>
          <w:szCs w:val="20"/>
        </w:rPr>
        <w:t xml:space="preserve">Consentimiento explícito: Los módulos de salud requieren consentimiento explícito y separado. Son opcionales: el usuario puede usar Stoqly sin activarlos.</w:t>
      </w:r>
    </w:p>
    <w:p>
      <w:pPr>
        <w:spacing w:after="140"/>
      </w:pPr>
      <w:r>
        <w:t xml:space="preserve"/>
      </w:r>
    </w:p>
    <w:p>
      <w:pPr>
        <w:pStyle w:val="Heading2"/>
        <w:spacing w:after="100" w:before="200"/>
      </w:pPr>
      <w:r>
        <w:rPr>
          <w:rFonts w:ascii="Arial" w:cs="Arial" w:eastAsia="Arial" w:hAnsi="Arial"/>
          <w:b/>
          <w:bCs/>
          <w:color w:val="1A1A1A"/>
          <w:sz w:val="24"/>
          <w:szCs w:val="24"/>
        </w:rPr>
        <w:t xml:space="preserve">2.3 Base legal</w:t>
      </w:r>
    </w:p>
    <w:p>
      <w:pPr>
        <w:spacing w:after="140"/>
      </w:pPr>
      <w:r>
        <w:rPr>
          <w:rFonts w:ascii="Arial" w:cs="Arial" w:eastAsia="Arial" w:hAnsi="Arial"/>
          <w:b w:val="false"/>
          <w:bCs w:val="false"/>
          <w:color w:val="1A1A1A"/>
          <w:sz w:val="20"/>
          <w:szCs w:val="20"/>
        </w:rPr>
        <w:t xml:space="preserve">La base legal para el tratamiento de datos de salud es el consentimiento explícito del interesado (Art. 9.2.a RGPD). Este consentimiento es:</w:t>
      </w:r>
    </w:p>
    <w:p>
      <w:pPr>
        <w:pStyle w:val="ListParagraph"/>
        <w:numPr>
          <w:ilvl w:val="0"/>
          <w:numId w:val="2"/>
        </w:numPr>
        <w:spacing w:after="80"/>
      </w:pPr>
      <w:r>
        <w:rPr>
          <w:rFonts w:ascii="Arial" w:cs="Arial" w:eastAsia="Arial" w:hAnsi="Arial"/>
          <w:color w:val="1A1A1A"/>
          <w:sz w:val="20"/>
          <w:szCs w:val="20"/>
        </w:rPr>
        <w:t xml:space="preserve">Libre: no condicionado al uso del resto del servicio</w:t>
      </w:r>
    </w:p>
    <w:p>
      <w:pPr>
        <w:pStyle w:val="ListParagraph"/>
        <w:numPr>
          <w:ilvl w:val="0"/>
          <w:numId w:val="2"/>
        </w:numPr>
        <w:spacing w:after="80"/>
      </w:pPr>
      <w:r>
        <w:rPr>
          <w:rFonts w:ascii="Arial" w:cs="Arial" w:eastAsia="Arial" w:hAnsi="Arial"/>
          <w:color w:val="1A1A1A"/>
          <w:sz w:val="20"/>
          <w:szCs w:val="20"/>
        </w:rPr>
        <w:t xml:space="preserve">Específico: por módulo (medicamentos, suplementos, bebés)</w:t>
      </w:r>
    </w:p>
    <w:p>
      <w:pPr>
        <w:pStyle w:val="ListParagraph"/>
        <w:numPr>
          <w:ilvl w:val="0"/>
          <w:numId w:val="2"/>
        </w:numPr>
        <w:spacing w:after="80"/>
      </w:pPr>
      <w:r>
        <w:rPr>
          <w:rFonts w:ascii="Arial" w:cs="Arial" w:eastAsia="Arial" w:hAnsi="Arial"/>
          <w:color w:val="1A1A1A"/>
          <w:sz w:val="20"/>
          <w:szCs w:val="20"/>
        </w:rPr>
        <w:t xml:space="preserve">Informado: acompañado de información clara sobre qué datos se recogen y para qué</w:t>
      </w:r>
    </w:p>
    <w:p>
      <w:pPr>
        <w:pStyle w:val="ListParagraph"/>
        <w:numPr>
          <w:ilvl w:val="0"/>
          <w:numId w:val="2"/>
        </w:numPr>
        <w:spacing w:after="80"/>
      </w:pPr>
      <w:r>
        <w:rPr>
          <w:rFonts w:ascii="Arial" w:cs="Arial" w:eastAsia="Arial" w:hAnsi="Arial"/>
          <w:color w:val="1A1A1A"/>
          <w:sz w:val="20"/>
          <w:szCs w:val="20"/>
        </w:rPr>
        <w:t xml:space="preserve">Inequívoco: mediante acción positiva (checkbox o botón de activación explícito)</w:t>
      </w:r>
    </w:p>
    <w:p>
      <w:pPr>
        <w:pStyle w:val="ListParagraph"/>
        <w:numPr>
          <w:ilvl w:val="0"/>
          <w:numId w:val="2"/>
        </w:numPr>
        <w:spacing w:after="80"/>
      </w:pPr>
      <w:r>
        <w:rPr>
          <w:rFonts w:ascii="Arial" w:cs="Arial" w:eastAsia="Arial" w:hAnsi="Arial"/>
          <w:color w:val="1A1A1A"/>
          <w:sz w:val="20"/>
          <w:szCs w:val="20"/>
        </w:rPr>
        <w:t xml:space="preserve">Retinable: el usuario puede retirar el consentimiento y solicitar la eliminación de los datos en cualquier momento</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3. Análisis de riesgos</w:t>
      </w:r>
    </w:p>
    <w:p>
      <w:pPr>
        <w:pStyle w:val="Heading2"/>
        <w:spacing w:after="100" w:before="200"/>
      </w:pPr>
      <w:r>
        <w:rPr>
          <w:rFonts w:ascii="Arial" w:cs="Arial" w:eastAsia="Arial" w:hAnsi="Arial"/>
          <w:b/>
          <w:bCs/>
          <w:color w:val="1A1A1A"/>
          <w:sz w:val="24"/>
          <w:szCs w:val="24"/>
        </w:rPr>
        <w:t xml:space="preserve">3.1 Metodología</w:t>
      </w:r>
    </w:p>
    <w:p>
      <w:pPr>
        <w:spacing w:after="140"/>
      </w:pPr>
      <w:r>
        <w:rPr>
          <w:rFonts w:ascii="Arial" w:cs="Arial" w:eastAsia="Arial" w:hAnsi="Arial"/>
          <w:b w:val="false"/>
          <w:bCs w:val="false"/>
          <w:color w:val="1A1A1A"/>
          <w:sz w:val="20"/>
          <w:szCs w:val="20"/>
        </w:rPr>
        <w:t xml:space="preserve">Se ha aplicado la metodología de la CNIL (Commission Nationale de l'Informatique et des Libertés) adaptada a la escala de Stoqly, evaluando cada amenaza en dos dimensiones: probabilidad de ocurrencia e impacto sobre los derechos y libertades de los interesados. El riesgo residual se calcula tras aplicar las medidas de mitigación.</w:t>
      </w:r>
    </w:p>
    <w:p>
      <w:pPr>
        <w:spacing w:after="140"/>
      </w:pPr>
      <w:r>
        <w:t xml:space="preserve"/>
      </w:r>
    </w:p>
    <w:p>
      <w:pPr>
        <w:spacing w:after="140"/>
      </w:pPr>
      <w:r>
        <w:rPr>
          <w:rFonts w:ascii="Arial" w:cs="Arial" w:eastAsia="Arial" w:hAnsi="Arial"/>
          <w:b/>
          <w:bCs/>
          <w:color w:val="1A1A1A"/>
          <w:sz w:val="20"/>
          <w:szCs w:val="20"/>
        </w:rPr>
        <w:t xml:space="preserve">Escala: BAJO (verde) — MEDIO (naranja) — ALTO (rojo)</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2926"/>
        <w:gridCol w:w="800"/>
      </w:tblGrid>
      <w:tr>
        <w:trPr>
          <w:tblHeader/>
        </w:trPr>
        <w:tc>
          <w:tcPr>
            <w:tcW w:type="dxa" w:w="2200"/>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19"/>
                <w:szCs w:val="19"/>
              </w:rPr>
              <w:t xml:space="preserve">Amenaza / Escenario</w:t>
            </w:r>
          </w:p>
        </w:tc>
        <w:tc>
          <w:tcPr>
            <w:tcW w:type="dxa" w:w="900"/>
            <w:tcBorders>
              <w:top w:val="single" w:color="CCCCCC" w:sz="1"/>
              <w:left w:val="single" w:color="CCCCCC" w:sz="1"/>
              <w:bottom w:val="single" w:color="CCCCCC" w:sz="1"/>
              <w:right w:val="single" w:color="CCCCCC" w:sz="1"/>
            </w:tcBorders>
            <w:shd w:fill="1D9E75"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Prob.</w:t>
            </w:r>
          </w:p>
        </w:tc>
        <w:tc>
          <w:tcPr>
            <w:tcW w:type="dxa" w:w="900"/>
            <w:tcBorders>
              <w:top w:val="single" w:color="CCCCCC" w:sz="1"/>
              <w:left w:val="single" w:color="CCCCCC" w:sz="1"/>
              <w:bottom w:val="single" w:color="CCCCCC" w:sz="1"/>
              <w:right w:val="single" w:color="CCCCCC" w:sz="1"/>
            </w:tcBorders>
            <w:shd w:fill="1D9E75"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Impacto</w:t>
            </w:r>
          </w:p>
        </w:tc>
        <w:tc>
          <w:tcPr>
            <w:tcW w:type="dxa" w:w="900"/>
            <w:tcBorders>
              <w:top w:val="single" w:color="CCCCCC" w:sz="1"/>
              <w:left w:val="single" w:color="CCCCCC" w:sz="1"/>
              <w:bottom w:val="single" w:color="CCCCCC" w:sz="1"/>
              <w:right w:val="single" w:color="CCCCCC" w:sz="1"/>
            </w:tcBorders>
            <w:shd w:fill="1D9E75"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Riesgo</w:t>
            </w:r>
          </w:p>
        </w:tc>
        <w:tc>
          <w:tcPr>
            <w:tcW w:type="dxa" w:w="2926"/>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19"/>
                <w:szCs w:val="19"/>
              </w:rPr>
              <w:t xml:space="preserve">Medidas de mitigación</w:t>
            </w:r>
          </w:p>
        </w:tc>
        <w:tc>
          <w:tcPr>
            <w:tcW w:type="dxa" w:w="800"/>
            <w:tcBorders>
              <w:top w:val="single" w:color="CCCCCC" w:sz="1"/>
              <w:left w:val="single" w:color="CCCCCC" w:sz="1"/>
              <w:bottom w:val="single" w:color="CCCCCC" w:sz="1"/>
              <w:right w:val="single" w:color="CCCCCC" w:sz="1"/>
            </w:tcBorders>
            <w:shd w:fill="1D9E75"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Residual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Acceso no autorizado a datos de salud (brecha externa)</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ALTO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ALTO</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7"/>
                <w:szCs w:val="17"/>
              </w:rPr>
              <w:t xml:space="preserve">TLS 1.3, JWT, bcrypt, aislamiento por tenant, monitorización de accesos.</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Acceso indebido por empleado o colaborador interno</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ALTO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MEDIO</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7"/>
                <w:szCs w:val="17"/>
              </w:rPr>
              <w:t xml:space="preserve">Control de acceso por rol, principio de mínimo privilegio, acuerdos de confidencialidad.</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Filtración por parte de Anthropic (asistente IA)</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ALTO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MEDIO</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7"/>
                <w:szCs w:val="17"/>
              </w:rPr>
              <w:t xml:space="preserve">DPA con Anthropic. Minimización del contexto enviado. Anthropic no almacena prompts.</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Pérdida o destrucción accidental de datos</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ALTO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MEDIO</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7"/>
                <w:szCs w:val="17"/>
              </w:rPr>
              <w:t xml:space="preserve">Backups automáticos diarios gestionados por el proveedor de hosting.</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Uso indebido por parte del usuario (introducción de datos de terceros sin consentimiento)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MEDIO</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7"/>
                <w:szCs w:val="17"/>
              </w:rPr>
              <w:t xml:space="preserve">Aviso legal sobre introducción de datos de terceros. Responsabilidad del usuario.</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Transferencia internacional inadecuada a EE. UU.</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ALTO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MEDIO</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7"/>
                <w:szCs w:val="17"/>
              </w:rPr>
              <w:t xml:space="preserve">CCT CE/UE firmadas con todos los proveedores de EE. UU.</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Consentimiento viciado o no suficientemente explícito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ALTO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ALTO</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7"/>
                <w:szCs w:val="17"/>
              </w:rPr>
              <w:t xml:space="preserve">Checkboxes explícitos por módulo. Registro de consentimiento con timestamp. Posibilidad de retirada en Ajustes.</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Datos de menores tratados sin autorización del tutor</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ALTO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MEDIO</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7"/>
                <w:szCs w:val="17"/>
              </w:rPr>
              <w:t xml:space="preserve">Consentimiento explícito del progenitor/tutor al activar módulo Bebés. Mención expresa en el texto del consentimiento.</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Decisión automatizada que perjudique al usuario (dosificación incorrecta sugerida por IA)</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ALTO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MEDIO</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7"/>
                <w:szCs w:val="17"/>
              </w:rPr>
              <w:t xml:space="preserve">Aviso en UI: el asistente no sustituye el consejo médico. Sin toma de decisiones automatizadas con efectos jurídicos.</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r>
    </w:tbl>
    <w:p>
      <w:pPr>
        <w:spacing w:after="140"/>
      </w:pPr>
      <w:r>
        <w:t xml:space="preserve"/>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4. Transferencias internacionales de datos de salud</w:t>
      </w:r>
    </w:p>
    <w:p>
      <w:pPr>
        <w:spacing w:after="140"/>
      </w:pPr>
      <w:r>
        <w:rPr>
          <w:rFonts w:ascii="Arial" w:cs="Arial" w:eastAsia="Arial" w:hAnsi="Arial"/>
          <w:b w:val="false"/>
          <w:bCs w:val="false"/>
          <w:color w:val="1A1A1A"/>
          <w:sz w:val="20"/>
          <w:szCs w:val="20"/>
        </w:rPr>
        <w:t xml:space="preserve">Los datos de salud son transferidos a EE. UU. en los siguientes supuestos:</w:t>
      </w:r>
    </w:p>
    <w:p>
      <w:pPr>
        <w:pStyle w:val="ListParagraph"/>
        <w:numPr>
          <w:ilvl w:val="0"/>
          <w:numId w:val="2"/>
        </w:numPr>
        <w:spacing w:after="80"/>
      </w:pPr>
      <w:r>
        <w:rPr>
          <w:rFonts w:ascii="Arial" w:cs="Arial" w:eastAsia="Arial" w:hAnsi="Arial"/>
          <w:color w:val="1A1A1A"/>
          <w:sz w:val="20"/>
          <w:szCs w:val="20"/>
        </w:rPr>
        <w:t xml:space="preserve">A Anthropic, Inc., cuando el usuario realiza consultas al asistente Stoqly que incluyen contexto de medicamentos, suplementos o bebés. Base: Cláusulas Contractuales Tipo CE/UE + DPA de Anthropic.</w:t>
      </w:r>
    </w:p>
    <w:p>
      <w:pPr>
        <w:pStyle w:val="ListParagraph"/>
        <w:numPr>
          <w:ilvl w:val="0"/>
          <w:numId w:val="2"/>
        </w:numPr>
        <w:spacing w:after="80"/>
      </w:pPr>
      <w:r>
        <w:rPr>
          <w:rFonts w:ascii="Arial" w:cs="Arial" w:eastAsia="Arial" w:hAnsi="Arial"/>
          <w:color w:val="1A1A1A"/>
          <w:sz w:val="20"/>
          <w:szCs w:val="20"/>
        </w:rPr>
        <w:t xml:space="preserve">A Railway, Inc., para el almacenamiento en la base de datos (si el servidor está ubicado en EE. UU.). Base: CCT CE/UE.</w:t>
      </w:r>
    </w:p>
    <w:p>
      <w:pPr>
        <w:spacing w:after="140"/>
      </w:pPr>
      <w:r>
        <w:t xml:space="preserve"/>
      </w:r>
    </w:p>
    <w:p>
      <w:pPr>
        <w:spacing w:after="140"/>
      </w:pPr>
      <w:r>
        <w:rPr>
          <w:rFonts w:ascii="Arial" w:cs="Arial" w:eastAsia="Arial" w:hAnsi="Arial"/>
          <w:b w:val="false"/>
          <w:bCs w:val="false"/>
          <w:color w:val="1A1A1A"/>
          <w:sz w:val="20"/>
          <w:szCs w:val="20"/>
        </w:rPr>
        <w:t xml:space="preserve">Domtrace ha verificado que:</w:t>
      </w:r>
    </w:p>
    <w:p>
      <w:pPr>
        <w:pStyle w:val="ListParagraph"/>
        <w:numPr>
          <w:ilvl w:val="0"/>
          <w:numId w:val="2"/>
        </w:numPr>
        <w:spacing w:after="80"/>
      </w:pPr>
      <w:r>
        <w:rPr>
          <w:rFonts w:ascii="Arial" w:cs="Arial" w:eastAsia="Arial" w:hAnsi="Arial"/>
          <w:color w:val="1A1A1A"/>
          <w:sz w:val="20"/>
          <w:szCs w:val="20"/>
        </w:rPr>
        <w:t xml:space="preserve">Anthropic dispone de DPA que incluye CCT para transferencias UE-EE. UU.</w:t>
      </w:r>
    </w:p>
    <w:p>
      <w:pPr>
        <w:pStyle w:val="ListParagraph"/>
        <w:numPr>
          <w:ilvl w:val="0"/>
          <w:numId w:val="2"/>
        </w:numPr>
        <w:spacing w:after="80"/>
      </w:pPr>
      <w:r>
        <w:rPr>
          <w:rFonts w:ascii="Arial" w:cs="Arial" w:eastAsia="Arial" w:hAnsi="Arial"/>
          <w:color w:val="1A1A1A"/>
          <w:sz w:val="20"/>
          <w:szCs w:val="20"/>
        </w:rPr>
        <w:t xml:space="preserve">Railway dispone de DPA compatible con transferencias internacionales.</w:t>
      </w:r>
    </w:p>
    <w:p>
      <w:pPr>
        <w:pStyle w:val="ListParagraph"/>
        <w:numPr>
          <w:ilvl w:val="0"/>
          <w:numId w:val="2"/>
        </w:numPr>
        <w:spacing w:after="80"/>
      </w:pPr>
      <w:r>
        <w:rPr>
          <w:rFonts w:ascii="Arial" w:cs="Arial" w:eastAsia="Arial" w:hAnsi="Arial"/>
          <w:color w:val="1A1A1A"/>
          <w:sz w:val="20"/>
          <w:szCs w:val="20"/>
        </w:rPr>
        <w:t xml:space="preserve">Se aplica el principio de minimización: solo se transfiere a Anthropic el contexto mínimo necesario para la consulta específica del usuario.</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5. Medidas técnicas y organizativas adoptadas</w:t>
      </w:r>
    </w:p>
    <w:p>
      <w:pPr>
        <w:pStyle w:val="Heading2"/>
        <w:spacing w:after="100" w:before="200"/>
      </w:pPr>
      <w:r>
        <w:rPr>
          <w:rFonts w:ascii="Arial" w:cs="Arial" w:eastAsia="Arial" w:hAnsi="Arial"/>
          <w:b/>
          <w:bCs/>
          <w:color w:val="1A1A1A"/>
          <w:sz w:val="24"/>
          <w:szCs w:val="24"/>
        </w:rPr>
        <w:t xml:space="preserve">5.1 Medidas técnicas</w:t>
      </w:r>
    </w:p>
    <w:p>
      <w:pPr>
        <w:pStyle w:val="ListParagraph"/>
        <w:numPr>
          <w:ilvl w:val="0"/>
          <w:numId w:val="2"/>
        </w:numPr>
        <w:spacing w:after="80"/>
      </w:pPr>
      <w:r>
        <w:rPr>
          <w:rFonts w:ascii="Arial" w:cs="Arial" w:eastAsia="Arial" w:hAnsi="Arial"/>
          <w:color w:val="1A1A1A"/>
          <w:sz w:val="20"/>
          <w:szCs w:val="20"/>
        </w:rPr>
        <w:t xml:space="preserve">Cifrado en tránsito: TLS 1.3 en todas las comunicaciones.</w:t>
      </w:r>
    </w:p>
    <w:p>
      <w:pPr>
        <w:pStyle w:val="ListParagraph"/>
        <w:numPr>
          <w:ilvl w:val="0"/>
          <w:numId w:val="2"/>
        </w:numPr>
        <w:spacing w:after="80"/>
      </w:pPr>
      <w:r>
        <w:rPr>
          <w:rFonts w:ascii="Arial" w:cs="Arial" w:eastAsia="Arial" w:hAnsi="Arial"/>
          <w:color w:val="1A1A1A"/>
          <w:sz w:val="20"/>
          <w:szCs w:val="20"/>
        </w:rPr>
        <w:t xml:space="preserve">Almacenamiento de contraseñas: bcrypt con salt rounds ≥ 12 (nunca en texto plano).</w:t>
      </w:r>
    </w:p>
    <w:p>
      <w:pPr>
        <w:pStyle w:val="ListParagraph"/>
        <w:numPr>
          <w:ilvl w:val="0"/>
          <w:numId w:val="2"/>
        </w:numPr>
        <w:spacing w:after="80"/>
      </w:pPr>
      <w:r>
        <w:rPr>
          <w:rFonts w:ascii="Arial" w:cs="Arial" w:eastAsia="Arial" w:hAnsi="Arial"/>
          <w:color w:val="1A1A1A"/>
          <w:sz w:val="20"/>
          <w:szCs w:val="20"/>
        </w:rPr>
        <w:t xml:space="preserve">Autenticación: JWT con expiración de sesión.</w:t>
      </w:r>
    </w:p>
    <w:p>
      <w:pPr>
        <w:pStyle w:val="ListParagraph"/>
        <w:numPr>
          <w:ilvl w:val="0"/>
          <w:numId w:val="2"/>
        </w:numPr>
        <w:spacing w:after="80"/>
      </w:pPr>
      <w:r>
        <w:rPr>
          <w:rFonts w:ascii="Arial" w:cs="Arial" w:eastAsia="Arial" w:hAnsi="Arial"/>
          <w:color w:val="1A1A1A"/>
          <w:sz w:val="20"/>
          <w:szCs w:val="20"/>
        </w:rPr>
        <w:t xml:space="preserve">Aislamiento de datos: separación por householdId — ningún usuario puede acceder a datos de otro hogar.</w:t>
      </w:r>
    </w:p>
    <w:p>
      <w:pPr>
        <w:pStyle w:val="ListParagraph"/>
        <w:numPr>
          <w:ilvl w:val="0"/>
          <w:numId w:val="2"/>
        </w:numPr>
        <w:spacing w:after="80"/>
      </w:pPr>
      <w:r>
        <w:rPr>
          <w:rFonts w:ascii="Arial" w:cs="Arial" w:eastAsia="Arial" w:hAnsi="Arial"/>
          <w:color w:val="1A1A1A"/>
          <w:sz w:val="20"/>
          <w:szCs w:val="20"/>
        </w:rPr>
        <w:t xml:space="preserve">Separación de datos de adultos y menores: campo babyId en la tabla de ítems.</w:t>
      </w:r>
    </w:p>
    <w:p>
      <w:pPr>
        <w:pStyle w:val="ListParagraph"/>
        <w:numPr>
          <w:ilvl w:val="0"/>
          <w:numId w:val="2"/>
        </w:numPr>
        <w:spacing w:after="80"/>
      </w:pPr>
      <w:r>
        <w:rPr>
          <w:rFonts w:ascii="Arial" w:cs="Arial" w:eastAsia="Arial" w:hAnsi="Arial"/>
          <w:color w:val="1A1A1A"/>
          <w:sz w:val="20"/>
          <w:szCs w:val="20"/>
        </w:rPr>
        <w:t xml:space="preserve">Minimización en el asistente IA: el contexto enviado a Anthropic es el mínimo necesario para la consulta.</w:t>
      </w:r>
    </w:p>
    <w:p>
      <w:pPr>
        <w:pStyle w:val="ListParagraph"/>
        <w:numPr>
          <w:ilvl w:val="0"/>
          <w:numId w:val="2"/>
        </w:numPr>
        <w:spacing w:after="80"/>
      </w:pPr>
      <w:r>
        <w:rPr>
          <w:rFonts w:ascii="Arial" w:cs="Arial" w:eastAsia="Arial" w:hAnsi="Arial"/>
          <w:color w:val="1A1A1A"/>
          <w:sz w:val="20"/>
          <w:szCs w:val="20"/>
        </w:rPr>
        <w:t xml:space="preserve">Logs de acceso: conservados 90 días para detección de incidentes.</w:t>
      </w:r>
    </w:p>
    <w:p>
      <w:pPr>
        <w:pStyle w:val="ListParagraph"/>
        <w:numPr>
          <w:ilvl w:val="0"/>
          <w:numId w:val="2"/>
        </w:numPr>
        <w:spacing w:after="80"/>
      </w:pPr>
      <w:r>
        <w:rPr>
          <w:rFonts w:ascii="Arial" w:cs="Arial" w:eastAsia="Arial" w:hAnsi="Arial"/>
          <w:color w:val="1A1A1A"/>
          <w:sz w:val="20"/>
          <w:szCs w:val="20"/>
        </w:rPr>
        <w:t xml:space="preserve">Backups automáticos: copias de seguridad gestionadas por el proveedor de hosting.</w:t>
      </w:r>
    </w:p>
    <w:p>
      <w:pPr>
        <w:spacing w:after="140"/>
      </w:pPr>
      <w:r>
        <w:t xml:space="preserve"/>
      </w:r>
    </w:p>
    <w:p>
      <w:pPr>
        <w:pStyle w:val="Heading2"/>
        <w:spacing w:after="100" w:before="200"/>
      </w:pPr>
      <w:r>
        <w:rPr>
          <w:rFonts w:ascii="Arial" w:cs="Arial" w:eastAsia="Arial" w:hAnsi="Arial"/>
          <w:b/>
          <w:bCs/>
          <w:color w:val="1A1A1A"/>
          <w:sz w:val="24"/>
          <w:szCs w:val="24"/>
        </w:rPr>
        <w:t xml:space="preserve">5.2 Medidas organizativas</w:t>
      </w:r>
    </w:p>
    <w:p>
      <w:pPr>
        <w:pStyle w:val="ListParagraph"/>
        <w:numPr>
          <w:ilvl w:val="0"/>
          <w:numId w:val="2"/>
        </w:numPr>
        <w:spacing w:after="80"/>
      </w:pPr>
      <w:r>
        <w:rPr>
          <w:rFonts w:ascii="Arial" w:cs="Arial" w:eastAsia="Arial" w:hAnsi="Arial"/>
          <w:color w:val="1A1A1A"/>
          <w:sz w:val="20"/>
          <w:szCs w:val="20"/>
        </w:rPr>
        <w:t xml:space="preserve">Consentimiento explícito: registrado con fecha/hora y versión de la cláusula para cada módulo de salud.</w:t>
      </w:r>
    </w:p>
    <w:p>
      <w:pPr>
        <w:pStyle w:val="ListParagraph"/>
        <w:numPr>
          <w:ilvl w:val="0"/>
          <w:numId w:val="2"/>
        </w:numPr>
        <w:spacing w:after="80"/>
      </w:pPr>
      <w:r>
        <w:rPr>
          <w:rFonts w:ascii="Arial" w:cs="Arial" w:eastAsia="Arial" w:hAnsi="Arial"/>
          <w:color w:val="1A1A1A"/>
          <w:sz w:val="20"/>
          <w:szCs w:val="20"/>
        </w:rPr>
        <w:t xml:space="preserve">Aviso sobre datos de menores: texto específico en el consentimiento del módulo Bebés.</w:t>
      </w:r>
    </w:p>
    <w:p>
      <w:pPr>
        <w:pStyle w:val="ListParagraph"/>
        <w:numPr>
          <w:ilvl w:val="0"/>
          <w:numId w:val="2"/>
        </w:numPr>
        <w:spacing w:after="80"/>
      </w:pPr>
      <w:r>
        <w:rPr>
          <w:rFonts w:ascii="Arial" w:cs="Arial" w:eastAsia="Arial" w:hAnsi="Arial"/>
          <w:color w:val="1A1A1A"/>
          <w:sz w:val="20"/>
          <w:szCs w:val="20"/>
        </w:rPr>
        <w:t xml:space="preserve">Aviso médico en la UI: el asistente Stoqly incluye un aviso visible de que no sustituye el consejo médico.</w:t>
      </w:r>
    </w:p>
    <w:p>
      <w:pPr>
        <w:pStyle w:val="ListParagraph"/>
        <w:numPr>
          <w:ilvl w:val="0"/>
          <w:numId w:val="2"/>
        </w:numPr>
        <w:spacing w:after="80"/>
      </w:pPr>
      <w:r>
        <w:rPr>
          <w:rFonts w:ascii="Arial" w:cs="Arial" w:eastAsia="Arial" w:hAnsi="Arial"/>
          <w:color w:val="1A1A1A"/>
          <w:sz w:val="20"/>
          <w:szCs w:val="20"/>
        </w:rPr>
        <w:t xml:space="preserve">Procedimiento de brechas: plazo de 72 horas para notificación a la AEPD.</w:t>
      </w:r>
    </w:p>
    <w:p>
      <w:pPr>
        <w:pStyle w:val="ListParagraph"/>
        <w:numPr>
          <w:ilvl w:val="0"/>
          <w:numId w:val="2"/>
        </w:numPr>
        <w:spacing w:after="80"/>
      </w:pPr>
      <w:r>
        <w:rPr>
          <w:rFonts w:ascii="Arial" w:cs="Arial" w:eastAsia="Arial" w:hAnsi="Arial"/>
          <w:color w:val="1A1A1A"/>
          <w:sz w:val="20"/>
          <w:szCs w:val="20"/>
        </w:rPr>
        <w:t xml:space="preserve">Procedimiento ARCO+: canal de ejercicio de derechos documentado y operativo.</w:t>
      </w:r>
    </w:p>
    <w:p>
      <w:pPr>
        <w:pStyle w:val="ListParagraph"/>
        <w:numPr>
          <w:ilvl w:val="0"/>
          <w:numId w:val="2"/>
        </w:numPr>
        <w:spacing w:after="80"/>
      </w:pPr>
      <w:r>
        <w:rPr>
          <w:rFonts w:ascii="Arial" w:cs="Arial" w:eastAsia="Arial" w:hAnsi="Arial"/>
          <w:color w:val="1A1A1A"/>
          <w:sz w:val="20"/>
          <w:szCs w:val="20"/>
        </w:rPr>
        <w:t xml:space="preserve">Revisión anual de esta EIPD y del RAT.</w:t>
      </w:r>
    </w:p>
    <w:p>
      <w:pPr>
        <w:pStyle w:val="ListParagraph"/>
        <w:numPr>
          <w:ilvl w:val="0"/>
          <w:numId w:val="2"/>
        </w:numPr>
        <w:spacing w:after="80"/>
      </w:pPr>
      <w:r>
        <w:rPr>
          <w:rFonts w:ascii="Arial" w:cs="Arial" w:eastAsia="Arial" w:hAnsi="Arial"/>
          <w:color w:val="1A1A1A"/>
          <w:sz w:val="20"/>
          <w:szCs w:val="20"/>
        </w:rPr>
        <w:t xml:space="preserve">Acuerdos de encargo del tratamiento (DPA) con todos los proveedores que acceden a datos de salud.</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6. Consulta al DPD / a la AEPD</w:t>
      </w:r>
    </w:p>
    <w:p>
      <w:pPr>
        <w:spacing w:after="140"/>
      </w:pPr>
      <w:r>
        <w:rPr>
          <w:rFonts w:ascii="Arial" w:cs="Arial" w:eastAsia="Arial" w:hAnsi="Arial"/>
          <w:b w:val="false"/>
          <w:bCs w:val="false"/>
          <w:color w:val="1A1A1A"/>
          <w:sz w:val="20"/>
          <w:szCs w:val="20"/>
        </w:rPr>
        <w:t xml:space="preserve">Domtrace no tiene designado un Delegado de Protección de Datos (DPD) con carácter obligatorio (no se cumplen los supuestos del Art. 37 RGPD: ni es organismo público, ni el tratamiento de datos de salud se realiza a gran escala como actividad principal). No obstante:</w:t>
      </w:r>
    </w:p>
    <w:p>
      <w:pPr>
        <w:pStyle w:val="ListParagraph"/>
        <w:numPr>
          <w:ilvl w:val="0"/>
          <w:numId w:val="2"/>
        </w:numPr>
        <w:spacing w:after="80"/>
      </w:pPr>
      <w:r>
        <w:rPr>
          <w:rFonts w:ascii="Arial" w:cs="Arial" w:eastAsia="Arial" w:hAnsi="Arial"/>
          <w:color w:val="1A1A1A"/>
          <w:sz w:val="20"/>
          <w:szCs w:val="20"/>
        </w:rPr>
        <w:t xml:space="preserve">Se recomienda la designación voluntaria de un DPD o un asesor externo de privacidad cuando el número de usuarios supere los 10.000.</w:t>
      </w:r>
    </w:p>
    <w:p>
      <w:pPr>
        <w:pStyle w:val="ListParagraph"/>
        <w:numPr>
          <w:ilvl w:val="0"/>
          <w:numId w:val="2"/>
        </w:numPr>
        <w:spacing w:after="80"/>
      </w:pPr>
      <w:r>
        <w:rPr>
          <w:rFonts w:ascii="Arial" w:cs="Arial" w:eastAsia="Arial" w:hAnsi="Arial"/>
          <w:color w:val="1A1A1A"/>
          <w:sz w:val="20"/>
          <w:szCs w:val="20"/>
        </w:rPr>
        <w:t xml:space="preserve">Se recomienda realizar una consulta previa a la AEPD si, en el futuro, se amplía el tratamiento de datos de salud a gran escala (p. ej., integración con wearables, compartición de datos con entidades sanitarias).</w:t>
      </w:r>
    </w:p>
    <w:p>
      <w:pPr>
        <w:spacing w:after="140"/>
      </w:pPr>
      <w:r>
        <w:rPr>
          <w:rFonts w:ascii="Arial" w:cs="Arial" w:eastAsia="Arial" w:hAnsi="Arial"/>
          <w:b w:val="false"/>
          <w:bCs w:val="false"/>
          <w:color w:val="1A1A1A"/>
          <w:sz w:val="20"/>
          <w:szCs w:val="20"/>
        </w:rPr>
        <w:t xml:space="preserve">La presente EIPD fue elaborada internamente. Se someterá a revisión por asesoría jurídica especializada en protección de datos antes del lanzamiento comercial.</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7. Conclusión y decisión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7F2" w:val="clear"/>
            <w:tcMar>
              <w:top w:type="dxa" w:w="140"/>
              <w:left w:type="dxa" w:w="200"/>
              <w:bottom w:type="dxa" w:w="140"/>
              <w:right w:type="dxa" w:w="200"/>
            </w:tcMar>
          </w:tcPr>
          <w:p>
            <w:pPr>
              <w:spacing w:after="100"/>
            </w:pPr>
            <w:r>
              <w:rPr>
                <w:rFonts w:ascii="Arial" w:cs="Arial" w:eastAsia="Arial" w:hAnsi="Arial"/>
                <w:b/>
                <w:bCs/>
                <w:color w:val="1D9E75"/>
                <w:sz w:val="22"/>
                <w:szCs w:val="22"/>
              </w:rPr>
              <w:t xml:space="preserve">Resultado de la evaluación</w:t>
            </w:r>
          </w:p>
          <w:p>
            <w:pPr>
              <w:spacing w:after="100"/>
            </w:pPr>
            <w:r>
              <w:rPr>
                <w:rFonts w:ascii="Arial" w:cs="Arial" w:eastAsia="Arial" w:hAnsi="Arial"/>
                <w:color w:val="1A1A1A"/>
                <w:sz w:val="19"/>
                <w:szCs w:val="19"/>
              </w:rPr>
              <w:t xml:space="preserve">Los riesgos residuales identificados se valoran como BAJOS o MEDIOS tras la aplicación de las medidas descritas. El único riesgo que permanece en MEDIO es el uso indebido por parte del usuario (introducción de datos de terceros), que queda fuera del control directo de Domtrace y se mitiga mediante aviso legal.</w:t>
            </w:r>
          </w:p>
          <w:p>
            <w:pPr>
              <w:spacing w:after="100"/>
            </w:pPr>
            <w:r>
              <w:rPr>
                <w:rFonts w:ascii="Arial" w:cs="Arial" w:eastAsia="Arial" w:hAnsi="Arial"/>
                <w:color w:val="1A1A1A"/>
                <w:sz w:val="19"/>
                <w:szCs w:val="19"/>
              </w:rPr>
              <w:t xml:space="preserve">No se requiere consulta previa a la AEPD (Art. 36 RGPD) porque ningún riesgo residual es ALTO. Se puede proceder al tratamiento de datos de salud con las medidas documentadas en esta EIPD.</w:t>
            </w:r>
          </w:p>
          <w:p>
            <w:pPr>
              <w:spacing w:after="60"/>
            </w:pPr>
            <w:r>
              <w:rPr>
                <w:rFonts w:ascii="Arial" w:cs="Arial" w:eastAsia="Arial" w:hAnsi="Arial"/>
                <w:b/>
                <w:bCs/>
                <w:color w:val="C0392B"/>
                <w:sz w:val="19"/>
                <w:szCs w:val="19"/>
              </w:rPr>
              <w:t xml:space="preserve">PENDIENTE: Revisión por asesor jurídico externo antes del lanzamiento comercial.</w:t>
            </w:r>
          </w:p>
        </w:tc>
      </w:tr>
    </w:tbl>
    <w:p>
      <w:pPr>
        <w:spacing w:after="140"/>
      </w:pPr>
      <w:r>
        <w:t xml:space="preserve"/>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8. Historial de revisiones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426"/>
      </w:tblGrid>
      <w:tr>
        <w:trPr>
          <w:tblHeader/>
        </w:trPr>
        <w:tc>
          <w:tcPr>
            <w:tcW w:type="dxa" w:w="1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Versión</w:t>
            </w:r>
          </w:p>
        </w:tc>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Fecha</w:t>
            </w:r>
          </w:p>
        </w:tc>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Cambios</w:t>
            </w:r>
          </w:p>
        </w:tc>
        <w:tc>
          <w:tcPr>
            <w:tcW w:type="dxa" w:w="24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Responsable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Junio 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Versión inicial. Cubre T-03, T-04, T-05, T-06.</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[COMPLETAR NOMBRE]</w:t>
            </w:r>
          </w:p>
        </w:tc>
      </w:tr>
    </w:tbl>
    <w:p>
      <w:pPr>
        <w:spacing w:after="140"/>
      </w:pPr>
      <w:r>
        <w:t xml:space="preserve"/>
      </w:r>
    </w:p>
    <w:p>
      <w:pPr>
        <w:spacing w:after="140"/>
      </w:pPr>
      <w:r>
        <w:t xml:space="preserve"/>
      </w:r>
    </w:p>
    <w:p>
      <w:pPr>
        <w:spacing w:before="300"/>
        <w:jc w:val="right"/>
      </w:pPr>
      <w:r>
        <w:rPr>
          <w:rFonts w:ascii="Arial" w:cs="Arial" w:eastAsia="Arial" w:hAnsi="Arial"/>
          <w:color w:val="AAAAAA"/>
          <w:sz w:val="18"/>
          <w:szCs w:val="18"/>
        </w:rPr>
        <w:t xml:space="preserve">Domtrace · EIPD / DPIA · v1.0 · Junio 2026 · CONFIDENCIAL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4"/>
      </w:pBd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de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color w:val="999999"/>
        <w:sz w:val="16"/>
        <w:szCs w:val="16"/>
      </w:rPr>
      <w:t xml:space="preserve">DOMTRACE — Evaluación de Impacto en Protección de Datos (EIPD)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D9E75"/>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2026-06-09T07:18:41.862Z</dcterms:created>
  <dcterms:modified xsi:type="dcterms:W3CDTF">2026-06-09T07:18:41.862Z</dcterms:modified>
</cp:coreProperties>
</file>

<file path=docProps/custom.xml><?xml version="1.0" encoding="utf-8"?>
<Properties xmlns="http://schemas.openxmlformats.org/officeDocument/2006/custom-properties" xmlns:vt="http://schemas.openxmlformats.org/officeDocument/2006/docPropsVTypes"/>
</file>