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0D6BF0" w:rsidR="00D46C49" w:rsidRDefault="00000000">
      <w:r>
        <w:rPr>
          <w:b/>
          <w:bCs/>
        </w:rPr>
        <w:t xml:space="preserve">Nombre y Apellidos: </w:t>
      </w:r>
      <w:r w:rsidR="00E12140">
        <w:rPr>
          <w:b/>
          <w:bCs/>
        </w:rPr>
        <w:t>Javier Díaz de Rábago Pemán</w:t>
      </w:r>
    </w:p>
    <w:p w14:paraId="63A7D575" w14:textId="740C55EA" w:rsidR="00E12140" w:rsidRPr="00E12140" w:rsidRDefault="00000000">
      <w:pPr>
        <w:rPr>
          <w:lang w:val="en-US"/>
        </w:rPr>
      </w:pPr>
      <w:r w:rsidRPr="00E12140">
        <w:rPr>
          <w:b/>
          <w:bCs/>
          <w:lang w:val="en-US"/>
        </w:rPr>
        <w:t>Github con notebook</w:t>
      </w:r>
      <w:r w:rsidRPr="00E12140">
        <w:rPr>
          <w:lang w:val="en-US"/>
        </w:rPr>
        <w:t>:</w:t>
      </w:r>
      <w:r w:rsidR="00E12140" w:rsidRPr="00E12140">
        <w:rPr>
          <w:lang w:val="en-US"/>
        </w:rPr>
        <w:t xml:space="preserve"> </w:t>
      </w:r>
      <w:r w:rsidR="00E12140" w:rsidRPr="00E12140">
        <w:rPr>
          <w:lang w:val="en-US"/>
        </w:rPr>
        <w:t>https://github.com/javierdrp/audio-effects-simulator/tree/main/FINAL</w:t>
      </w:r>
    </w:p>
    <w:p w14:paraId="00000003" w14:textId="77777777" w:rsidR="00D46C49" w:rsidRDefault="00000000">
      <w:pPr>
        <w:rPr>
          <w:i/>
          <w:iCs/>
        </w:rPr>
      </w:pPr>
      <w:r>
        <w:rPr>
          <w:i/>
          <w:iCs/>
        </w:rPr>
        <w:t>Nota: Por favor, seguir esta estructura para el documento</w:t>
      </w:r>
    </w:p>
    <w:p w14:paraId="00000004" w14:textId="77777777" w:rsidR="00D46C49" w:rsidRDefault="00D46C49"/>
    <w:p w14:paraId="00000005" w14:textId="77777777" w:rsidR="00D46C49" w:rsidRDefault="00000000">
      <w:pPr>
        <w:pStyle w:val="Title"/>
        <w:rPr>
          <w:b/>
          <w:bCs/>
          <w:sz w:val="28"/>
          <w:szCs w:val="28"/>
        </w:rPr>
      </w:pPr>
      <w:bookmarkStart w:id="0" w:name="_m7wjv8ty5i2h" w:colFirst="0" w:colLast="0"/>
      <w:bookmarkEnd w:id="0"/>
      <w:r>
        <w:rPr>
          <w:b/>
          <w:bCs/>
          <w:sz w:val="28"/>
          <w:szCs w:val="28"/>
        </w:rPr>
        <w:t xml:space="preserve">1. Resumen Ejecutivo </w:t>
      </w:r>
    </w:p>
    <w:p w14:paraId="00000006" w14:textId="77777777" w:rsidR="00D46C49" w:rsidRDefault="00000000">
      <w:pPr>
        <w:pStyle w:val="Title"/>
        <w:rPr>
          <w:i/>
          <w:iCs/>
          <w:sz w:val="22"/>
          <w:szCs w:val="22"/>
        </w:rPr>
      </w:pPr>
      <w:bookmarkStart w:id="1" w:name="_nd0hu6mvtpi" w:colFirst="0" w:colLast="0"/>
      <w:bookmarkEnd w:id="1"/>
      <w:r>
        <w:rPr>
          <w:i/>
          <w:iCs/>
          <w:sz w:val="22"/>
          <w:szCs w:val="22"/>
        </w:rPr>
        <w:t>Máximo 2 páginas</w:t>
      </w:r>
    </w:p>
    <w:p w14:paraId="00000007" w14:textId="77777777" w:rsidR="00D46C49" w:rsidRDefault="00D46C49"/>
    <w:p w14:paraId="25D5D1ED" w14:textId="2A34DFFE" w:rsidR="006640C6" w:rsidRDefault="006640C6" w:rsidP="006640C6">
      <w:r>
        <w:t>No se observa gran diferencia entre los datos de diferentes regiones. Independientemente de la región, hay algunos factores muy claros que aumentan el riesgo de la persona asegurada, y como consecuencia el coste médico anual y las reclamaciones pagadas.</w:t>
      </w:r>
    </w:p>
    <w:p w14:paraId="1530A8B7" w14:textId="77777777" w:rsidR="006640C6" w:rsidRDefault="006640C6" w:rsidP="006640C6"/>
    <w:p w14:paraId="5569AA5D" w14:textId="3307069B" w:rsidR="006640C6" w:rsidRDefault="006640C6" w:rsidP="006640C6">
      <w:pPr>
        <w:pStyle w:val="ListParagraph"/>
        <w:numPr>
          <w:ilvl w:val="0"/>
          <w:numId w:val="5"/>
        </w:numPr>
      </w:pPr>
      <w:r>
        <w:t>El grupo de edad. A partir de los 35 años, el gasto médico empieza a crecer.</w:t>
      </w:r>
    </w:p>
    <w:p w14:paraId="41FC3909" w14:textId="77777777" w:rsidR="006640C6" w:rsidRDefault="006640C6" w:rsidP="006640C6">
      <w:pPr>
        <w:pStyle w:val="ListParagraph"/>
        <w:numPr>
          <w:ilvl w:val="0"/>
          <w:numId w:val="5"/>
        </w:numPr>
      </w:pPr>
      <w:r>
        <w:t>Si el cliente es o ha sido fumador. Hay una diferencia de hasta un 50% en el gasto medio de clientes fumadores respecto a no fumadores.</w:t>
      </w:r>
    </w:p>
    <w:p w14:paraId="36079F52" w14:textId="77777777" w:rsidR="006640C6" w:rsidRDefault="006640C6" w:rsidP="006640C6">
      <w:pPr>
        <w:pStyle w:val="ListParagraph"/>
        <w:numPr>
          <w:ilvl w:val="0"/>
          <w:numId w:val="5"/>
        </w:numPr>
      </w:pPr>
      <w:r>
        <w:t>La composición corporal. Las personas con sobrepeso empiezan a considerarse de riesgo entre cinco y diez años antes que las personas con un peso saludable.</w:t>
      </w:r>
    </w:p>
    <w:p w14:paraId="457510B4" w14:textId="77777777" w:rsidR="006640C6" w:rsidRDefault="006640C6" w:rsidP="006640C6">
      <w:pPr>
        <w:pStyle w:val="ListParagraph"/>
        <w:numPr>
          <w:ilvl w:val="0"/>
          <w:numId w:val="5"/>
        </w:numPr>
      </w:pPr>
      <w:r>
        <w:t>Las enfermedades crónicas. Este es el factor que más dispara el gasto médico en una persona. Las personas con enfermedades crónicas cuestan casi el doble que las personas sanas.</w:t>
      </w:r>
    </w:p>
    <w:p w14:paraId="4D1C3868" w14:textId="77777777" w:rsidR="006640C6" w:rsidRDefault="006640C6" w:rsidP="006640C6"/>
    <w:p w14:paraId="0AFDCA27" w14:textId="66817145" w:rsidR="006640C6" w:rsidRDefault="006640C6" w:rsidP="006640C6">
      <w:r>
        <w:t xml:space="preserve">De cara </w:t>
      </w:r>
      <w:r w:rsidR="00910EF4">
        <w:t>a reducir costes, sería clave realizar un estudio exhaustivo de estas variables en los posibles clientes.</w:t>
      </w:r>
      <w:r>
        <w:t xml:space="preserve"> </w:t>
      </w:r>
    </w:p>
    <w:p w14:paraId="7B237AA5" w14:textId="77777777" w:rsidR="006640C6" w:rsidRDefault="006640C6"/>
    <w:p w14:paraId="45F81EA4" w14:textId="29AA6B3A" w:rsidR="006640C6" w:rsidRDefault="006640C6">
      <w:r w:rsidRPr="006640C6">
        <w:drawing>
          <wp:inline distT="0" distB="0" distL="0" distR="0" wp14:anchorId="4F09819C" wp14:editId="50FCFC9D">
            <wp:extent cx="3371248" cy="2333625"/>
            <wp:effectExtent l="0" t="0" r="635" b="0"/>
            <wp:docPr id="2014430201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30201" name="Picture 1" descr="A graph of a number of peop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4824" cy="23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01DA" w14:textId="77777777" w:rsidR="006640C6" w:rsidRDefault="006640C6"/>
    <w:p w14:paraId="64EEE3E0" w14:textId="7E41BBEE" w:rsidR="006640C6" w:rsidRDefault="006640C6">
      <w:r w:rsidRPr="006640C6">
        <w:drawing>
          <wp:inline distT="0" distB="0" distL="0" distR="0" wp14:anchorId="3AD38DAD" wp14:editId="643D3043">
            <wp:extent cx="3343275" cy="1793275"/>
            <wp:effectExtent l="0" t="0" r="0" b="0"/>
            <wp:docPr id="32971070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0707" name="Picture 1" descr="A graph with different colored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4193" cy="17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D251" w14:textId="3E2B048A" w:rsidR="006640C6" w:rsidRDefault="006640C6">
      <w:r w:rsidRPr="006640C6">
        <w:lastRenderedPageBreak/>
        <w:drawing>
          <wp:inline distT="0" distB="0" distL="0" distR="0" wp14:anchorId="1359EF3D" wp14:editId="422F056E">
            <wp:extent cx="3591533" cy="1924050"/>
            <wp:effectExtent l="0" t="0" r="9525" b="0"/>
            <wp:docPr id="659099266" name="Picture 1" descr="A graph with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99266" name="Picture 1" descr="A graph with a number of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073" cy="19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49A9" w14:textId="03AAEADC" w:rsidR="006640C6" w:rsidRDefault="006640C6">
      <w:r w:rsidRPr="006640C6">
        <w:drawing>
          <wp:inline distT="0" distB="0" distL="0" distR="0" wp14:anchorId="4F00AFCB" wp14:editId="15977F2B">
            <wp:extent cx="3526812" cy="2028825"/>
            <wp:effectExtent l="0" t="0" r="0" b="0"/>
            <wp:docPr id="64454055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4055" name="Picture 1" descr="A graph of a number of peop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166" cy="202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8600" w14:textId="0960E7C8" w:rsidR="006640C6" w:rsidRDefault="006640C6">
      <w:r w:rsidRPr="006640C6">
        <w:drawing>
          <wp:inline distT="0" distB="0" distL="0" distR="0" wp14:anchorId="65A8A584" wp14:editId="20E1AC36">
            <wp:extent cx="3720648" cy="1828800"/>
            <wp:effectExtent l="0" t="0" r="0" b="0"/>
            <wp:docPr id="112256133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1334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5502" cy="18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5279" w14:textId="77777777" w:rsidR="006640C6" w:rsidRDefault="006640C6"/>
    <w:p w14:paraId="00000009" w14:textId="2E1E7393" w:rsidR="00D46C49" w:rsidRDefault="00D46C49">
      <w:pPr>
        <w:rPr>
          <w:b/>
          <w:bCs/>
          <w:sz w:val="28"/>
          <w:szCs w:val="28"/>
        </w:rPr>
      </w:pPr>
    </w:p>
    <w:p w14:paraId="369EE166" w14:textId="77777777" w:rsidR="006640C6" w:rsidRDefault="006640C6">
      <w:pPr>
        <w:rPr>
          <w:b/>
          <w:bCs/>
          <w:sz w:val="28"/>
          <w:szCs w:val="28"/>
        </w:rPr>
      </w:pPr>
    </w:p>
    <w:p w14:paraId="0000000A" w14:textId="77777777" w:rsidR="00D46C4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Gráficas del análisis exploratorio y breve explicación de cada una </w:t>
      </w:r>
    </w:p>
    <w:p w14:paraId="3314CA30" w14:textId="209FB430" w:rsidR="00061AD8" w:rsidRDefault="00061AD8">
      <w:pPr>
        <w:rPr>
          <w:b/>
          <w:bCs/>
          <w:sz w:val="28"/>
          <w:szCs w:val="28"/>
        </w:rPr>
      </w:pPr>
      <w:r w:rsidRPr="00061AD8">
        <w:rPr>
          <w:b/>
          <w:bCs/>
          <w:sz w:val="28"/>
          <w:szCs w:val="28"/>
        </w:rPr>
        <w:lastRenderedPageBreak/>
        <w:drawing>
          <wp:inline distT="0" distB="0" distL="0" distR="0" wp14:anchorId="29D0471E" wp14:editId="122EA13A">
            <wp:extent cx="5420481" cy="3581900"/>
            <wp:effectExtent l="0" t="0" r="0" b="0"/>
            <wp:docPr id="39137060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7060" name="Picture 1" descr="A graph of a number of peop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35124372" w:rsidR="00D46C49" w:rsidRDefault="00061AD8">
      <w:r>
        <w:t>Se puede ver claramente cómo el gasto anual aumenta con la edad. No parece depender casi del sexo del paciente.</w:t>
      </w:r>
    </w:p>
    <w:p w14:paraId="0000000D" w14:textId="77777777" w:rsidR="00D46C49" w:rsidRDefault="00D46C49">
      <w:pPr>
        <w:rPr>
          <w:b/>
          <w:bCs/>
          <w:sz w:val="28"/>
          <w:szCs w:val="28"/>
        </w:rPr>
      </w:pPr>
    </w:p>
    <w:p w14:paraId="7E2CB337" w14:textId="4D32C477" w:rsidR="00061AD8" w:rsidRDefault="00061AD8">
      <w:pPr>
        <w:rPr>
          <w:b/>
          <w:bCs/>
          <w:sz w:val="28"/>
          <w:szCs w:val="28"/>
        </w:rPr>
      </w:pPr>
      <w:r w:rsidRPr="00061AD8">
        <w:rPr>
          <w:b/>
          <w:bCs/>
          <w:sz w:val="28"/>
          <w:szCs w:val="28"/>
        </w:rPr>
        <w:drawing>
          <wp:inline distT="0" distB="0" distL="0" distR="0" wp14:anchorId="2FA7E192" wp14:editId="5A37DA31">
            <wp:extent cx="5363323" cy="3543795"/>
            <wp:effectExtent l="0" t="0" r="0" b="0"/>
            <wp:docPr id="413156126" name="Picture 1" descr="A graph with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56126" name="Picture 1" descr="A graph with colored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1B04" w14:textId="7351A239" w:rsidR="00061AD8" w:rsidRDefault="00061AD8">
      <w:r>
        <w:t>Aquí se puede ver cómo las regiones central y sur tienen más coste médico en edades intermedias (30 a 50) años, pero a partir de los 50 es el oeste donde más crece el gasto.</w:t>
      </w:r>
    </w:p>
    <w:p w14:paraId="517BF877" w14:textId="77777777" w:rsidR="00061AD8" w:rsidRDefault="00061AD8"/>
    <w:p w14:paraId="2C512E03" w14:textId="21F70C2C" w:rsidR="00A06860" w:rsidRDefault="00A06860">
      <w:pPr>
        <w:rPr>
          <w:b/>
          <w:bCs/>
          <w:sz w:val="28"/>
          <w:szCs w:val="28"/>
        </w:rPr>
      </w:pPr>
      <w:r w:rsidRPr="00A06860">
        <w:rPr>
          <w:b/>
          <w:bCs/>
          <w:sz w:val="28"/>
          <w:szCs w:val="28"/>
        </w:rPr>
        <w:lastRenderedPageBreak/>
        <w:drawing>
          <wp:inline distT="0" distB="0" distL="0" distR="0" wp14:anchorId="1D9AC489" wp14:editId="5572795C">
            <wp:extent cx="5315692" cy="3486637"/>
            <wp:effectExtent l="0" t="0" r="0" b="0"/>
            <wp:docPr id="91789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95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DE5E" w14:textId="75106592" w:rsidR="00A06860" w:rsidRDefault="00A06860">
      <w:r>
        <w:t>Fumar es claramente un factor que influye en el coste anual en salud de cada persona. Todas las métricas (cuartiles, media, mediana, outliers) son hasta un 50% más altas en el caso de las personas fumadoras.</w:t>
      </w:r>
    </w:p>
    <w:p w14:paraId="56511105" w14:textId="77777777" w:rsidR="008A6C43" w:rsidRDefault="008A6C43"/>
    <w:p w14:paraId="41115770" w14:textId="5465762C" w:rsidR="008A6C43" w:rsidRDefault="008A6C43">
      <w:r w:rsidRPr="008A6C43">
        <w:drawing>
          <wp:inline distT="0" distB="0" distL="0" distR="0" wp14:anchorId="53734808" wp14:editId="089F30C7">
            <wp:extent cx="5325218" cy="3524742"/>
            <wp:effectExtent l="0" t="0" r="8890" b="0"/>
            <wp:docPr id="210244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9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0DA2" w14:textId="77777777" w:rsidR="008A6C43" w:rsidRDefault="008A6C43"/>
    <w:p w14:paraId="4A233AE3" w14:textId="77777777" w:rsidR="008A6C43" w:rsidRDefault="008A6C43">
      <w:r>
        <w:t xml:space="preserve">Aprovechando la transparencia, se pueden distinguir tres áreas claras: sin riesgo, riesgo medio y alto riesgo. A partir de un BMI de 30, se ve cómo claramente se reduce la edad en la que empiezan a considerarse pacientes de riesgo. Es consistente con el consenso de que el BMI se considera saludable entre 18.5 y 25. Curiosamente, este aumento de riesgo no se </w:t>
      </w:r>
      <w:r>
        <w:lastRenderedPageBreak/>
        <w:t>da con BMIs por debajo del límite inferior. Podría ser por falta de datos (hay pocos por debajo de BMI 18).</w:t>
      </w:r>
    </w:p>
    <w:p w14:paraId="6F737C26" w14:textId="77777777" w:rsidR="008A6C43" w:rsidRDefault="008A6C43"/>
    <w:p w14:paraId="7FFD6FDB" w14:textId="011EDD96" w:rsidR="00A06860" w:rsidRPr="00A06860" w:rsidRDefault="008A6C43">
      <w:r>
        <w:t xml:space="preserve"> </w:t>
      </w:r>
      <w:r w:rsidR="0077733C" w:rsidRPr="0077733C">
        <w:drawing>
          <wp:inline distT="0" distB="0" distL="0" distR="0" wp14:anchorId="18276669" wp14:editId="0CAA5888">
            <wp:extent cx="5733415" cy="3197860"/>
            <wp:effectExtent l="0" t="0" r="635" b="2540"/>
            <wp:docPr id="131972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25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CAE1" w14:textId="18630FFE" w:rsidR="00061AD8" w:rsidRDefault="0077733C">
      <w:pPr>
        <w:rPr>
          <w:lang w:val="es-ES"/>
        </w:rPr>
      </w:pPr>
      <w:r>
        <w:rPr>
          <w:lang w:val="es-ES"/>
        </w:rPr>
        <w:t>Hay una clara diferencia entre personas con enfermedades crónicas y personas sanas. El gasto anual promedio se dispara desde unos 2400€ hasta más de 4000€, siendo las enfermedades del hígado las más problemáticas.</w:t>
      </w:r>
    </w:p>
    <w:p w14:paraId="734D9710" w14:textId="5852AE86" w:rsidR="004A66B0" w:rsidRDefault="004A66B0">
      <w:pPr>
        <w:rPr>
          <w:lang w:val="es-ES"/>
        </w:rPr>
      </w:pPr>
      <w:r w:rsidRPr="004A66B0">
        <w:rPr>
          <w:lang w:val="es-ES"/>
        </w:rPr>
        <w:drawing>
          <wp:inline distT="0" distB="0" distL="0" distR="0" wp14:anchorId="76FE37B3" wp14:editId="2DB70F98">
            <wp:extent cx="5733415" cy="3117850"/>
            <wp:effectExtent l="0" t="0" r="635" b="6350"/>
            <wp:docPr id="27588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3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254A" w14:textId="2B545FAA" w:rsidR="004A66B0" w:rsidRDefault="004A66B0">
      <w:pPr>
        <w:rPr>
          <w:lang w:val="es-ES"/>
        </w:rPr>
      </w:pPr>
      <w:r w:rsidRPr="004A66B0">
        <w:rPr>
          <w:lang w:val="es-ES"/>
        </w:rPr>
        <w:lastRenderedPageBreak/>
        <w:drawing>
          <wp:inline distT="0" distB="0" distL="0" distR="0" wp14:anchorId="5EE6B481" wp14:editId="2655C6E9">
            <wp:extent cx="5733415" cy="2984500"/>
            <wp:effectExtent l="0" t="0" r="635" b="6350"/>
            <wp:docPr id="1090877256" name="Picture 1" descr="A colorful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7256" name="Picture 1" descr="A colorful chart with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53D0" w14:textId="51F8A79D" w:rsidR="0077733C" w:rsidRDefault="004A66B0">
      <w:pPr>
        <w:rPr>
          <w:lang w:val="es-ES"/>
        </w:rPr>
      </w:pPr>
      <w:r w:rsidRPr="004A66B0">
        <w:rPr>
          <w:lang w:val="es-ES"/>
        </w:rPr>
        <w:t>Al realizar un clustering</w:t>
      </w:r>
      <w:r>
        <w:rPr>
          <w:lang w:val="es-ES"/>
        </w:rPr>
        <w:t xml:space="preserve"> tras normalizar,</w:t>
      </w:r>
      <w:r w:rsidRPr="004A66B0">
        <w:rPr>
          <w:lang w:val="es-ES"/>
        </w:rPr>
        <w:t xml:space="preserve"> p</w:t>
      </w:r>
      <w:r>
        <w:rPr>
          <w:lang w:val="es-ES"/>
        </w:rPr>
        <w:t>ara obtener diferentes grupos de personas, el algoritmo separa claramente varios grupos:</w:t>
      </w:r>
    </w:p>
    <w:p w14:paraId="67FD0D18" w14:textId="36D0293C" w:rsidR="004A66B0" w:rsidRDefault="004A66B0" w:rsidP="004A66B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Personas con más gasto en salud (amarillo)</w:t>
      </w:r>
    </w:p>
    <w:p w14:paraId="7D5A9A67" w14:textId="2D8AB302" w:rsidR="004A66B0" w:rsidRDefault="004A66B0" w:rsidP="004A66B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Personas de edad avanzada (morado)</w:t>
      </w:r>
    </w:p>
    <w:p w14:paraId="176447CF" w14:textId="5142F850" w:rsidR="004A66B0" w:rsidRDefault="004A66B0" w:rsidP="004A66B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Personas con sobrepeso (naranja)</w:t>
      </w:r>
    </w:p>
    <w:p w14:paraId="6ABCB90B" w14:textId="15DAE2A0" w:rsidR="004A66B0" w:rsidRPr="004A66B0" w:rsidRDefault="004A66B0" w:rsidP="004A66B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Personas en edad y BMI saludable (azul)</w:t>
      </w:r>
    </w:p>
    <w:p w14:paraId="0DF2E5E9" w14:textId="77777777" w:rsidR="004A66B0" w:rsidRPr="004A66B0" w:rsidRDefault="004A66B0">
      <w:pPr>
        <w:rPr>
          <w:lang w:val="es-ES"/>
        </w:rPr>
      </w:pPr>
    </w:p>
    <w:p w14:paraId="31DD244D" w14:textId="77777777" w:rsidR="004A66B0" w:rsidRPr="004A66B0" w:rsidRDefault="004A66B0">
      <w:pPr>
        <w:rPr>
          <w:lang w:val="es-ES"/>
        </w:rPr>
      </w:pPr>
    </w:p>
    <w:p w14:paraId="0000000E" w14:textId="77777777" w:rsidR="00D46C4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Modelo predictivo explicado y con tablas</w:t>
      </w:r>
    </w:p>
    <w:p w14:paraId="0000000F" w14:textId="77777777" w:rsidR="00D46C49" w:rsidRDefault="00D46C49">
      <w:pPr>
        <w:rPr>
          <w:b/>
          <w:bCs/>
          <w:sz w:val="28"/>
          <w:szCs w:val="28"/>
        </w:rPr>
      </w:pPr>
    </w:p>
    <w:p w14:paraId="084FA6C8" w14:textId="67E99B2E" w:rsidR="00496DC7" w:rsidRPr="00496DC7" w:rsidRDefault="00496DC7" w:rsidP="00496DC7">
      <w:pPr>
        <w:rPr>
          <w:lang w:val="en-US"/>
        </w:rPr>
      </w:pPr>
      <w:r w:rsidRPr="00496DC7">
        <w:rPr>
          <w:lang w:val="en-US"/>
        </w:rPr>
        <w:t xml:space="preserve">Calculando una </w:t>
      </w:r>
      <w:r>
        <w:rPr>
          <w:lang w:val="en-US"/>
        </w:rPr>
        <w:t>clasificación de ‘is_high_risk’</w:t>
      </w:r>
      <w:r w:rsidRPr="00496DC7">
        <w:rPr>
          <w:lang w:val="en-US"/>
        </w:rPr>
        <w:t xml:space="preserve"> con las siguientes variables:</w:t>
      </w:r>
      <w:r w:rsidRPr="00496DC7">
        <w:rPr>
          <w:lang w:val="en-US"/>
        </w:rPr>
        <w:br/>
      </w:r>
      <w:r w:rsidRPr="00496DC7">
        <w:rPr>
          <w:lang w:val="en-US"/>
        </w:rPr>
        <w:t>'age', 'income', 'household_size', 'dependents', 'bmi', 'chronic_count', 'risk_score', 'visits_last_year', 'provider_quality'</w:t>
      </w:r>
    </w:p>
    <w:p w14:paraId="00000010" w14:textId="72BDEF0A" w:rsidR="00D46C49" w:rsidRDefault="00D46C49">
      <w:pPr>
        <w:rPr>
          <w:lang w:val="en-US"/>
        </w:rPr>
      </w:pPr>
    </w:p>
    <w:p w14:paraId="17D66CC9" w14:textId="2AD7E905" w:rsidR="00496DC7" w:rsidRDefault="00496DC7" w:rsidP="00496DC7">
      <w:pPr>
        <w:ind w:left="720" w:hanging="720"/>
        <w:jc w:val="center"/>
        <w:rPr>
          <w:lang w:val="en-US"/>
        </w:rPr>
      </w:pPr>
      <w:r>
        <w:rPr>
          <w:lang w:val="en-US"/>
        </w:rPr>
        <w:t>Obtenemos:</w:t>
      </w:r>
      <w:r>
        <w:rPr>
          <w:lang w:val="en-US"/>
        </w:rPr>
        <w:br/>
      </w:r>
      <w:r w:rsidRPr="00496DC7">
        <w:rPr>
          <w:lang w:val="en-US"/>
        </w:rPr>
        <w:drawing>
          <wp:inline distT="0" distB="0" distL="0" distR="0" wp14:anchorId="38133CC8" wp14:editId="30DDE2CB">
            <wp:extent cx="3572374" cy="2124371"/>
            <wp:effectExtent l="0" t="0" r="9525" b="0"/>
            <wp:docPr id="48736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635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A83E" w14:textId="77777777" w:rsidR="00496DC7" w:rsidRDefault="00496DC7">
      <w:pPr>
        <w:rPr>
          <w:lang w:val="en-US"/>
        </w:rPr>
      </w:pPr>
    </w:p>
    <w:p w14:paraId="1D7AC49C" w14:textId="77777777" w:rsidR="00496DC7" w:rsidRPr="00496DC7" w:rsidRDefault="00496DC7" w:rsidP="00496DC7">
      <w:pPr>
        <w:rPr>
          <w:lang w:val="es-ES"/>
        </w:rPr>
      </w:pPr>
      <w:r w:rsidRPr="00496DC7">
        <w:rPr>
          <w:lang w:val="es-ES"/>
        </w:rPr>
        <w:t>Vemos que se consigue c</w:t>
      </w:r>
      <w:r>
        <w:rPr>
          <w:lang w:val="es-ES"/>
        </w:rPr>
        <w:t xml:space="preserve">lasificar correctamente más del 80% de los casos. Se prueba a reducir el número de variables explicativas, dejando: </w:t>
      </w:r>
      <w:r w:rsidRPr="00496DC7">
        <w:rPr>
          <w:lang w:val="es-ES"/>
        </w:rPr>
        <w:t>'age', 'income', 'household_size', 'bmi', 'chronic_count', 'provider_quality'</w:t>
      </w:r>
    </w:p>
    <w:p w14:paraId="7D2A4572" w14:textId="146EC4F5" w:rsidR="00496DC7" w:rsidRPr="00496DC7" w:rsidRDefault="00496DC7" w:rsidP="00496DC7">
      <w:pPr>
        <w:ind w:left="2160" w:hanging="2160"/>
        <w:jc w:val="center"/>
        <w:rPr>
          <w:lang w:val="es-ES"/>
        </w:rPr>
      </w:pPr>
      <w:r w:rsidRPr="00496DC7">
        <w:rPr>
          <w:lang w:val="es-ES"/>
        </w:rPr>
        <w:lastRenderedPageBreak/>
        <w:drawing>
          <wp:inline distT="0" distB="0" distL="0" distR="0" wp14:anchorId="7886B4E1" wp14:editId="7380B7F5">
            <wp:extent cx="3791479" cy="2086266"/>
            <wp:effectExtent l="0" t="0" r="0" b="9525"/>
            <wp:docPr id="998784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8479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29013CAB" w:rsidR="00D46C49" w:rsidRDefault="00D46C49">
      <w:pPr>
        <w:rPr>
          <w:lang w:val="es-ES"/>
        </w:rPr>
      </w:pPr>
    </w:p>
    <w:p w14:paraId="0B8B7562" w14:textId="7B9E803A" w:rsidR="00496DC7" w:rsidRPr="00496DC7" w:rsidRDefault="00496DC7">
      <w:pPr>
        <w:rPr>
          <w:b/>
          <w:bCs/>
          <w:sz w:val="28"/>
          <w:szCs w:val="28"/>
          <w:lang w:val="es-ES"/>
        </w:rPr>
      </w:pPr>
      <w:r>
        <w:rPr>
          <w:lang w:val="es-ES"/>
        </w:rPr>
        <w:t>Este modelo sigue teniendo una buena precisión en la clasificación, requiriendo menos variables de entrada.</w:t>
      </w:r>
    </w:p>
    <w:sectPr w:rsidR="00496DC7" w:rsidRPr="00496DC7">
      <w:headerReference w:type="default" r:id="rId2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46506" w14:textId="77777777" w:rsidR="008A65F9" w:rsidRDefault="008A65F9">
      <w:pPr>
        <w:spacing w:line="240" w:lineRule="auto"/>
      </w:pPr>
      <w:r>
        <w:separator/>
      </w:r>
    </w:p>
  </w:endnote>
  <w:endnote w:type="continuationSeparator" w:id="0">
    <w:p w14:paraId="382C89CC" w14:textId="77777777" w:rsidR="008A65F9" w:rsidRDefault="008A65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9FECAC-7704-4F41-98A9-D5E3263B63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89EDB2-3F17-47FB-B58D-FF99CA9D49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BC370" w14:textId="77777777" w:rsidR="008A65F9" w:rsidRDefault="008A65F9">
      <w:pPr>
        <w:spacing w:line="240" w:lineRule="auto"/>
      </w:pPr>
      <w:r>
        <w:separator/>
      </w:r>
    </w:p>
  </w:footnote>
  <w:footnote w:type="continuationSeparator" w:id="0">
    <w:p w14:paraId="5AA7B4FC" w14:textId="77777777" w:rsidR="008A65F9" w:rsidRDefault="008A65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39652AAA" w:rsidR="00D46C49" w:rsidRDefault="00000000">
    <w:pPr>
      <w:rPr>
        <w:i/>
        <w:iCs/>
      </w:rPr>
    </w:pPr>
    <w:r>
      <w:rPr>
        <w:i/>
        <w:iCs/>
      </w:rPr>
      <w:t>Examen final de Desarrollo de Aplicaciones para la Visualización de Datos</w:t>
    </w:r>
    <w:r>
      <w:tab/>
    </w:r>
    <w:r>
      <w:tab/>
    </w:r>
    <w:r>
      <w:rPr>
        <w:i/>
        <w:iCs/>
      </w:rPr>
      <w:fldChar w:fldCharType="begin"/>
    </w:r>
    <w:r>
      <w:rPr>
        <w:i/>
        <w:iCs/>
      </w:rPr>
      <w:instrText>PAGE</w:instrText>
    </w:r>
    <w:r>
      <w:rPr>
        <w:i/>
        <w:iCs/>
      </w:rPr>
      <w:fldChar w:fldCharType="separate"/>
    </w:r>
    <w:r w:rsidR="00E12140">
      <w:rPr>
        <w:i/>
        <w:iCs/>
        <w:noProof/>
      </w:rPr>
      <w:t>1</w:t>
    </w:r>
    <w:r>
      <w:rPr>
        <w:i/>
        <w:i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3D9"/>
    <w:multiLevelType w:val="hybridMultilevel"/>
    <w:tmpl w:val="A39068DE"/>
    <w:lvl w:ilvl="0" w:tplc="F384D218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E4921"/>
    <w:multiLevelType w:val="hybridMultilevel"/>
    <w:tmpl w:val="C38EC6A6"/>
    <w:lvl w:ilvl="0" w:tplc="F5EAAA4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43079"/>
    <w:multiLevelType w:val="hybridMultilevel"/>
    <w:tmpl w:val="9DB4AF50"/>
    <w:lvl w:ilvl="0" w:tplc="16285C0C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B227D9"/>
    <w:multiLevelType w:val="hybridMultilevel"/>
    <w:tmpl w:val="B6AC5EBA"/>
    <w:lvl w:ilvl="0" w:tplc="88384EDC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0F0564"/>
    <w:multiLevelType w:val="hybridMultilevel"/>
    <w:tmpl w:val="DFAC8458"/>
    <w:lvl w:ilvl="0" w:tplc="899C9B5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498506">
    <w:abstractNumId w:val="4"/>
  </w:num>
  <w:num w:numId="2" w16cid:durableId="205068939">
    <w:abstractNumId w:val="1"/>
  </w:num>
  <w:num w:numId="3" w16cid:durableId="229928984">
    <w:abstractNumId w:val="2"/>
  </w:num>
  <w:num w:numId="4" w16cid:durableId="1369332036">
    <w:abstractNumId w:val="3"/>
  </w:num>
  <w:num w:numId="5" w16cid:durableId="57732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49"/>
    <w:rsid w:val="00061AD8"/>
    <w:rsid w:val="00201C7B"/>
    <w:rsid w:val="00496DC7"/>
    <w:rsid w:val="004A66B0"/>
    <w:rsid w:val="006640C6"/>
    <w:rsid w:val="0077733C"/>
    <w:rsid w:val="008A65F9"/>
    <w:rsid w:val="008A6C43"/>
    <w:rsid w:val="00910EF4"/>
    <w:rsid w:val="00A06860"/>
    <w:rsid w:val="00D46C49"/>
    <w:rsid w:val="00E1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187B"/>
  <w15:docId w15:val="{6778ACF3-9971-47FA-A2B1-B3B8CB41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121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1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6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509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Díaz de Rábago Pemán</cp:lastModifiedBy>
  <cp:revision>7</cp:revision>
  <dcterms:created xsi:type="dcterms:W3CDTF">2025-12-02T14:01:00Z</dcterms:created>
  <dcterms:modified xsi:type="dcterms:W3CDTF">2025-12-02T16:28:00Z</dcterms:modified>
</cp:coreProperties>
</file>