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 ¿Qué es la virtualización?</w:t>
      </w:r>
    </w:p>
    <w:p w:rsidR="00170B0C" w:rsidRDefault="00170B0C" w:rsidP="00170B0C">
      <w:pPr>
        <w:autoSpaceDE w:val="0"/>
        <w:autoSpaceDN w:val="0"/>
        <w:adjustRightInd w:val="0"/>
        <w:spacing w:after="0" w:line="240" w:lineRule="auto"/>
        <w:rPr>
          <w:rFonts w:cstheme="minorHAnsi"/>
        </w:rPr>
      </w:pPr>
      <w:r w:rsidRPr="004B1868">
        <w:rPr>
          <w:rFonts w:cstheme="minorHAnsi"/>
        </w:rPr>
        <w:t>La virtualización es una tecnología de abstracción de software que desacopla los recursos físicos de hardware de su ejecución lógica. Permite segmentar un único ordenador físico en múltiples entornos lógicos aislados e independientes mediante la inserción de una capa de software especializada que intercepta y traduce las instrucciones dirigidas a la CPU, la memoria RAM, los controladores de almacenamiento y las interfaces de red.</w:t>
      </w:r>
    </w:p>
    <w:p w:rsidR="004B1868" w:rsidRPr="004B1868" w:rsidRDefault="004B1868"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2. ¿Qué es una máquina virtual?</w:t>
      </w:r>
    </w:p>
    <w:p w:rsidR="00170B0C" w:rsidRPr="00170B0C" w:rsidRDefault="00170B0C" w:rsidP="00170B0C">
      <w:pPr>
        <w:spacing w:line="240" w:lineRule="auto"/>
        <w:rPr>
          <w:rFonts w:eastAsia="Times New Roman" w:cstheme="minorHAnsi"/>
          <w:lang w:eastAsia="es-ES"/>
        </w:rPr>
      </w:pPr>
      <w:r w:rsidRPr="00170B0C">
        <w:rPr>
          <w:rFonts w:eastAsia="Times New Roman" w:cstheme="minorHAnsi"/>
          <w:lang w:eastAsia="es-ES"/>
        </w:rPr>
        <w:t>Una Máquina Virtual (MV) es un contenedor de software fuertemente aislado que simula el comportamiento de un hardware físico real en s</w:t>
      </w:r>
      <w:r w:rsidRPr="004B1868">
        <w:rPr>
          <w:rFonts w:eastAsia="Times New Roman" w:cstheme="minorHAnsi"/>
          <w:lang w:eastAsia="es-ES"/>
        </w:rPr>
        <w:t>u totalidad</w:t>
      </w:r>
      <w:r w:rsidRPr="00170B0C">
        <w:rPr>
          <w:rFonts w:eastAsia="Times New Roman" w:cstheme="minorHAnsi"/>
          <w:lang w:eastAsia="es-ES"/>
        </w:rPr>
        <w:t xml:space="preserve">. Cuenta con sus propios dispositivos virtuales individuales (CPU virtuales o vCPUs, mapa de memoria virtualizado, controladores de disco, interfaces de red) y requiere obligatoriamente la instalación y ejecución de un </w:t>
      </w:r>
      <w:r w:rsidRPr="004B1868">
        <w:rPr>
          <w:rFonts w:eastAsia="Times New Roman" w:cstheme="minorHAnsi"/>
          <w:b/>
          <w:bCs/>
          <w:lang w:eastAsia="es-ES"/>
        </w:rPr>
        <w:t>Sistema Operativo Invitado (</w:t>
      </w:r>
      <w:r w:rsidRPr="004B1868">
        <w:rPr>
          <w:rFonts w:eastAsia="Times New Roman" w:cstheme="minorHAnsi"/>
          <w:b/>
          <w:bCs/>
          <w:i/>
          <w:iCs/>
          <w:lang w:eastAsia="es-ES"/>
        </w:rPr>
        <w:t>Guest OS</w:t>
      </w:r>
      <w:r w:rsidRPr="004B1868">
        <w:rPr>
          <w:rFonts w:eastAsia="Times New Roman" w:cstheme="minorHAnsi"/>
          <w:b/>
          <w:bCs/>
          <w:lang w:eastAsia="es-ES"/>
        </w:rPr>
        <w:t>)</w:t>
      </w:r>
      <w:r w:rsidRPr="00170B0C">
        <w:rPr>
          <w:rFonts w:eastAsia="Times New Roman" w:cstheme="minorHAnsi"/>
          <w:lang w:eastAsia="es-ES"/>
        </w:rPr>
        <w:t xml:space="preserve"> completo e independiente del sistema anfitrión (</w:t>
      </w:r>
      <w:r w:rsidRPr="004B1868">
        <w:rPr>
          <w:rFonts w:eastAsia="Times New Roman" w:cstheme="minorHAnsi"/>
          <w:i/>
          <w:iCs/>
          <w:lang w:eastAsia="es-ES"/>
        </w:rPr>
        <w:t>Host OS</w:t>
      </w:r>
      <w:r w:rsidRPr="00170B0C">
        <w:rPr>
          <w:rFonts w:eastAsia="Times New Roman" w:cstheme="minorHAnsi"/>
          <w:lang w:eastAsia="es-ES"/>
        </w:rPr>
        <w:t>).</w:t>
      </w: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3. Mencione características fundamentales de la virtualización y ventajas asociadas</w:t>
      </w:r>
    </w:p>
    <w:p w:rsidR="00170B0C" w:rsidRPr="004B1868" w:rsidRDefault="00170B0C" w:rsidP="00170B0C">
      <w:pPr>
        <w:pStyle w:val="Prrafodelista"/>
        <w:numPr>
          <w:ilvl w:val="0"/>
          <w:numId w:val="7"/>
        </w:numPr>
        <w:spacing w:after="0" w:line="240" w:lineRule="auto"/>
        <w:rPr>
          <w:rFonts w:eastAsia="Times New Roman" w:cstheme="minorHAnsi"/>
          <w:lang w:eastAsia="es-ES"/>
        </w:rPr>
      </w:pPr>
      <w:r w:rsidRPr="004B1868">
        <w:rPr>
          <w:rFonts w:eastAsia="Times New Roman" w:cstheme="minorHAnsi"/>
          <w:b/>
          <w:bCs/>
          <w:lang w:eastAsia="es-ES"/>
        </w:rPr>
        <w:t>Particionamiento:</w:t>
      </w:r>
      <w:r w:rsidRPr="004B1868">
        <w:rPr>
          <w:rFonts w:eastAsia="Times New Roman" w:cstheme="minorHAnsi"/>
          <w:lang w:eastAsia="es-ES"/>
        </w:rPr>
        <w:t xml:space="preserve"> Capacidad de ejecutar múltiples sistemas operativos en una sola máquina física, distribuyendo los recursos de hardware de forma dinámica.</w:t>
      </w:r>
    </w:p>
    <w:p w:rsidR="00170B0C" w:rsidRPr="004B1868" w:rsidRDefault="00170B0C" w:rsidP="00170B0C">
      <w:pPr>
        <w:pStyle w:val="Prrafodelista"/>
        <w:numPr>
          <w:ilvl w:val="0"/>
          <w:numId w:val="7"/>
        </w:numPr>
        <w:spacing w:after="0" w:line="240" w:lineRule="auto"/>
        <w:rPr>
          <w:rFonts w:eastAsia="Times New Roman" w:cstheme="minorHAnsi"/>
          <w:lang w:eastAsia="es-ES"/>
        </w:rPr>
      </w:pPr>
      <w:r w:rsidRPr="004B1868">
        <w:rPr>
          <w:rFonts w:eastAsia="Times New Roman" w:cstheme="minorHAnsi"/>
          <w:b/>
          <w:bCs/>
          <w:lang w:eastAsia="es-ES"/>
        </w:rPr>
        <w:t>Aislamiento (Aislamiento de fallos):</w:t>
      </w:r>
      <w:r w:rsidRPr="004B1868">
        <w:rPr>
          <w:rFonts w:eastAsia="Times New Roman" w:cstheme="minorHAnsi"/>
          <w:lang w:eastAsia="es-ES"/>
        </w:rPr>
        <w:t xml:space="preserve"> Cada máquina virtual opera en un espacio lógicamente estanco. Si un Sistema Operativo Invitado sufre un fallo catastrófico (</w:t>
      </w:r>
      <w:r w:rsidRPr="004B1868">
        <w:rPr>
          <w:rFonts w:eastAsia="Times New Roman" w:cstheme="minorHAnsi"/>
          <w:i/>
          <w:iCs/>
          <w:lang w:eastAsia="es-ES"/>
        </w:rPr>
        <w:t>Kernel Panic</w:t>
      </w:r>
      <w:r w:rsidRPr="004B1868">
        <w:rPr>
          <w:rFonts w:eastAsia="Times New Roman" w:cstheme="minorHAnsi"/>
          <w:lang w:eastAsia="es-ES"/>
        </w:rPr>
        <w:t>), las demás máquinas virtuales del mismo host físico continúan operando sin interrupciones.</w:t>
      </w:r>
    </w:p>
    <w:p w:rsidR="00170B0C" w:rsidRPr="004B1868" w:rsidRDefault="00170B0C" w:rsidP="00170B0C">
      <w:pPr>
        <w:pStyle w:val="Prrafodelista"/>
        <w:numPr>
          <w:ilvl w:val="0"/>
          <w:numId w:val="7"/>
        </w:numPr>
        <w:spacing w:after="0" w:line="240" w:lineRule="auto"/>
        <w:rPr>
          <w:rFonts w:eastAsia="Times New Roman" w:cstheme="minorHAnsi"/>
          <w:lang w:eastAsia="es-ES"/>
        </w:rPr>
      </w:pPr>
      <w:r w:rsidRPr="004B1868">
        <w:rPr>
          <w:rFonts w:eastAsia="Times New Roman" w:cstheme="minorHAnsi"/>
          <w:b/>
          <w:bCs/>
          <w:lang w:eastAsia="es-ES"/>
        </w:rPr>
        <w:t>Encapsulación:</w:t>
      </w:r>
      <w:r w:rsidRPr="004B1868">
        <w:rPr>
          <w:rFonts w:eastAsia="Times New Roman" w:cstheme="minorHAnsi"/>
          <w:lang w:eastAsia="es-ES"/>
        </w:rPr>
        <w:t xml:space="preserve"> Una máquina virtual completa se almacena estructuralmente como un conjunto de archivos ordinarios en el disco (archivos de configuración y archivos de imagen de disco virtual como .vmdk o .qcow2), lo que facilita su migración y respaldo.</w:t>
      </w:r>
    </w:p>
    <w:p w:rsidR="00170B0C" w:rsidRPr="004B1868" w:rsidRDefault="00170B0C" w:rsidP="00170B0C">
      <w:pPr>
        <w:pStyle w:val="Prrafodelista"/>
        <w:numPr>
          <w:ilvl w:val="0"/>
          <w:numId w:val="7"/>
        </w:numPr>
        <w:autoSpaceDE w:val="0"/>
        <w:autoSpaceDN w:val="0"/>
        <w:adjustRightInd w:val="0"/>
        <w:spacing w:after="0" w:line="240" w:lineRule="auto"/>
        <w:rPr>
          <w:rFonts w:eastAsia="Times New Roman" w:cstheme="minorHAnsi"/>
          <w:lang w:eastAsia="es-ES"/>
        </w:rPr>
      </w:pPr>
      <w:r w:rsidRPr="004B1868">
        <w:rPr>
          <w:rFonts w:eastAsia="Times New Roman" w:cstheme="minorHAnsi"/>
          <w:b/>
          <w:bCs/>
          <w:lang w:eastAsia="es-ES"/>
        </w:rPr>
        <w:t>Independencia del hardware:</w:t>
      </w:r>
      <w:r w:rsidRPr="004B1868">
        <w:rPr>
          <w:rFonts w:eastAsia="Times New Roman" w:cstheme="minorHAnsi"/>
          <w:lang w:eastAsia="es-ES"/>
        </w:rPr>
        <w:t xml:space="preserve"> Las MVs interactúan con abstracciones genéricas de dispositivos virtuales provistas por la capa de virtualización, permitiendo ejecutar e iniciar una MV en servidores físicos con arquitecturas de hardware subyacentes totalmente heterogéneas.</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4. Mencione al menos tres escenarios donde sea útil hacer uso de virtualización</w:t>
      </w:r>
    </w:p>
    <w:p w:rsidR="00170B0C" w:rsidRPr="004B1868" w:rsidRDefault="00170B0C" w:rsidP="00170B0C">
      <w:pPr>
        <w:pStyle w:val="Prrafodelista"/>
        <w:numPr>
          <w:ilvl w:val="0"/>
          <w:numId w:val="4"/>
        </w:numPr>
        <w:spacing w:after="0" w:line="240" w:lineRule="auto"/>
        <w:rPr>
          <w:rFonts w:eastAsia="Times New Roman" w:cstheme="minorHAnsi"/>
          <w:lang w:eastAsia="es-ES"/>
        </w:rPr>
      </w:pPr>
      <w:r w:rsidRPr="004B1868">
        <w:rPr>
          <w:rFonts w:eastAsia="Times New Roman" w:cstheme="minorHAnsi"/>
          <w:b/>
          <w:bCs/>
          <w:lang w:eastAsia="es-ES"/>
        </w:rPr>
        <w:t>Consolidación de Servidores en Centros de Datos:</w:t>
      </w:r>
      <w:r w:rsidRPr="004B1868">
        <w:rPr>
          <w:rFonts w:eastAsia="Times New Roman" w:cstheme="minorHAnsi"/>
          <w:lang w:eastAsia="es-ES"/>
        </w:rPr>
        <w:t xml:space="preserve"> Ejecutar múltiples servicios corporativos aislados (servidores web, bases de datos, pasarelas de correo) en un único servidor físico de alto rendimiento, elevando la tasa de utilización de la CPU física del 15% tradicional a más del 80%.</w:t>
      </w:r>
    </w:p>
    <w:p w:rsidR="00170B0C" w:rsidRPr="004B1868" w:rsidRDefault="00170B0C" w:rsidP="00170B0C">
      <w:pPr>
        <w:pStyle w:val="Prrafodelista"/>
        <w:numPr>
          <w:ilvl w:val="0"/>
          <w:numId w:val="4"/>
        </w:numPr>
        <w:spacing w:after="0" w:line="240" w:lineRule="auto"/>
        <w:rPr>
          <w:rFonts w:eastAsia="Times New Roman" w:cstheme="minorHAnsi"/>
          <w:lang w:eastAsia="es-ES"/>
        </w:rPr>
      </w:pPr>
      <w:r w:rsidRPr="004B1868">
        <w:rPr>
          <w:rFonts w:eastAsia="Times New Roman" w:cstheme="minorHAnsi"/>
          <w:b/>
          <w:bCs/>
          <w:lang w:eastAsia="es-ES"/>
        </w:rPr>
        <w:t>Entornos de Desarrollo y Pruebas Multiplataforma:</w:t>
      </w:r>
      <w:r w:rsidRPr="004B1868">
        <w:rPr>
          <w:rFonts w:eastAsia="Times New Roman" w:cstheme="minorHAnsi"/>
          <w:lang w:eastAsia="es-ES"/>
        </w:rPr>
        <w:t xml:space="preserve"> Permitir a los ingenieros de software compilar, depurar y validar aplicaciones en diferentes sistemas operativos y entornos de red simulados de forma segura dentro de su propia terminal de trabajo.</w:t>
      </w:r>
    </w:p>
    <w:p w:rsidR="00170B0C" w:rsidRPr="004B1868" w:rsidRDefault="00170B0C" w:rsidP="00170B0C">
      <w:pPr>
        <w:pStyle w:val="Prrafodelista"/>
        <w:numPr>
          <w:ilvl w:val="0"/>
          <w:numId w:val="4"/>
        </w:numPr>
        <w:spacing w:after="0" w:line="240" w:lineRule="auto"/>
        <w:rPr>
          <w:rFonts w:eastAsia="Times New Roman" w:cstheme="minorHAnsi"/>
          <w:lang w:eastAsia="es-ES"/>
        </w:rPr>
      </w:pPr>
      <w:r w:rsidRPr="004B1868">
        <w:rPr>
          <w:rFonts w:eastAsia="Times New Roman" w:cstheme="minorHAnsi"/>
          <w:b/>
          <w:bCs/>
          <w:lang w:eastAsia="es-ES"/>
        </w:rPr>
        <w:t>Aislamiento de Aplicaciones Legadas (</w:t>
      </w:r>
      <w:r w:rsidRPr="004B1868">
        <w:rPr>
          <w:rFonts w:eastAsia="Times New Roman" w:cstheme="minorHAnsi"/>
          <w:b/>
          <w:bCs/>
          <w:i/>
          <w:iCs/>
          <w:lang w:eastAsia="es-ES"/>
        </w:rPr>
        <w:t>Legacy Software</w:t>
      </w:r>
      <w:r w:rsidRPr="004B1868">
        <w:rPr>
          <w:rFonts w:eastAsia="Times New Roman" w:cstheme="minorHAnsi"/>
          <w:b/>
          <w:bCs/>
          <w:lang w:eastAsia="es-ES"/>
        </w:rPr>
        <w:t>):</w:t>
      </w:r>
      <w:r w:rsidRPr="004B1868">
        <w:rPr>
          <w:rFonts w:eastAsia="Times New Roman" w:cstheme="minorHAnsi"/>
          <w:lang w:eastAsia="es-ES"/>
        </w:rPr>
        <w:t xml:space="preserve"> Mantener operativas aplicaciones antiguas que requieren dependencias críticas de versiones obsoletas de sistemas operativos particulares, confinándolas en una MV aislada sin comprometer la seguridad del host principal.</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5. ¿Qué es el Hypervisor?</w:t>
      </w:r>
    </w:p>
    <w:p w:rsidR="00170B0C" w:rsidRPr="004B1868" w:rsidRDefault="00170B0C" w:rsidP="00170B0C">
      <w:pPr>
        <w:autoSpaceDE w:val="0"/>
        <w:autoSpaceDN w:val="0"/>
        <w:adjustRightInd w:val="0"/>
        <w:spacing w:after="0" w:line="240" w:lineRule="auto"/>
        <w:rPr>
          <w:rFonts w:cstheme="minorHAnsi"/>
        </w:rPr>
      </w:pPr>
      <w:r w:rsidRPr="004B1868">
        <w:rPr>
          <w:rFonts w:cstheme="minorHAnsi"/>
        </w:rPr>
        <w:t xml:space="preserve">El </w:t>
      </w:r>
      <w:r w:rsidRPr="004B1868">
        <w:rPr>
          <w:rStyle w:val="Textoennegrita"/>
          <w:rFonts w:cstheme="minorHAnsi"/>
        </w:rPr>
        <w:t>Hypervisor</w:t>
      </w:r>
      <w:r w:rsidRPr="004B1868">
        <w:rPr>
          <w:rFonts w:cstheme="minorHAnsi"/>
        </w:rPr>
        <w:t xml:space="preserve"> (o Monitor de Máquina Virtual - </w:t>
      </w:r>
      <w:r w:rsidRPr="004B1868">
        <w:rPr>
          <w:rStyle w:val="Textoennegrita"/>
          <w:rFonts w:cstheme="minorHAnsi"/>
        </w:rPr>
        <w:t>VMM</w:t>
      </w:r>
      <w:r w:rsidRPr="004B1868">
        <w:rPr>
          <w:rFonts w:cstheme="minorHAnsi"/>
        </w:rPr>
        <w:t>) es la capa de software, firmware o hardware especializada que inicializa, gestiona y arbitra las abstracciones lógicas de las máquinas virtuales (Guia-7 - V... p. 2). Su función crítica consiste en interceptar las instrucciones sensibles emitidas por los Sistemas Operativos Invitados (instrucciones que normalmente requerirían acceso al Anillo 0 o Modo Kernel) y traducirlas dinámicamente utilizando el soporte de extensiones de hardware de la CPU física (como Intel VT-x o AMD-V) para garantizar una ejecución segura sin colisiones de privilegios.</w:t>
      </w:r>
    </w:p>
    <w:p w:rsidR="004B1868" w:rsidRPr="004B1868" w:rsidRDefault="004B1868"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lastRenderedPageBreak/>
        <w:t>6. ¿Cuáles son las diferencias de hypervisores de nivel 1 respecto a los de nivel 2?</w:t>
      </w:r>
    </w:p>
    <w:p w:rsidR="00170B0C" w:rsidRPr="004B1868" w:rsidRDefault="00170B0C" w:rsidP="00170B0C">
      <w:pPr>
        <w:pStyle w:val="Prrafodelista"/>
        <w:numPr>
          <w:ilvl w:val="0"/>
          <w:numId w:val="4"/>
        </w:numPr>
        <w:spacing w:after="0" w:line="240" w:lineRule="auto"/>
        <w:rPr>
          <w:rFonts w:eastAsia="Times New Roman" w:cstheme="minorHAnsi"/>
          <w:lang w:eastAsia="es-ES"/>
        </w:rPr>
      </w:pPr>
      <w:r w:rsidRPr="004B1868">
        <w:rPr>
          <w:rFonts w:eastAsia="Times New Roman" w:cstheme="minorHAnsi"/>
          <w:b/>
          <w:bCs/>
          <w:lang w:eastAsia="es-ES"/>
        </w:rPr>
        <w:t>Hypervisor de Nivel 1 (</w:t>
      </w:r>
      <w:r w:rsidRPr="004B1868">
        <w:rPr>
          <w:rFonts w:eastAsia="Times New Roman" w:cstheme="minorHAnsi"/>
          <w:b/>
          <w:bCs/>
          <w:i/>
          <w:iCs/>
          <w:lang w:eastAsia="es-ES"/>
        </w:rPr>
        <w:t>Bare-Metal</w:t>
      </w:r>
      <w:r w:rsidRPr="004B1868">
        <w:rPr>
          <w:rFonts w:eastAsia="Times New Roman" w:cstheme="minorHAnsi"/>
          <w:b/>
          <w:bCs/>
          <w:lang w:eastAsia="es-ES"/>
        </w:rPr>
        <w:t>):</w:t>
      </w:r>
      <w:r w:rsidRPr="004B1868">
        <w:rPr>
          <w:rFonts w:eastAsia="Times New Roman" w:cstheme="minorHAnsi"/>
          <w:lang w:eastAsia="es-ES"/>
        </w:rPr>
        <w:t xml:space="preserve"> Se ejecuta e instala </w:t>
      </w:r>
      <w:r w:rsidRPr="004B1868">
        <w:rPr>
          <w:rFonts w:eastAsia="Times New Roman" w:cstheme="minorHAnsi"/>
          <w:b/>
          <w:bCs/>
          <w:lang w:eastAsia="es-ES"/>
        </w:rPr>
        <w:t>directamente sobre el hardware físico latente</w:t>
      </w:r>
      <w:r w:rsidRPr="004B1868">
        <w:rPr>
          <w:rFonts w:eastAsia="Times New Roman" w:cstheme="minorHAnsi"/>
          <w:lang w:eastAsia="es-ES"/>
        </w:rPr>
        <w:t xml:space="preserve"> de la computadora, actuando él mismo como el si</w:t>
      </w:r>
      <w:r w:rsidR="004B1868" w:rsidRPr="004B1868">
        <w:rPr>
          <w:rFonts w:eastAsia="Times New Roman" w:cstheme="minorHAnsi"/>
          <w:lang w:eastAsia="es-ES"/>
        </w:rPr>
        <w:t xml:space="preserve">stema operativo básico del host. </w:t>
      </w:r>
      <w:r w:rsidRPr="004B1868">
        <w:rPr>
          <w:rFonts w:eastAsia="Times New Roman" w:cstheme="minorHAnsi"/>
          <w:lang w:eastAsia="es-ES"/>
        </w:rPr>
        <w:t>Tiene el control total y exclusivo del Anillo 0. Ejemplos corporativos: VMware ESXi, Proxmox VE (basado en el kernel KVM) y Microsoft Hyper-V Server.</w:t>
      </w:r>
    </w:p>
    <w:p w:rsidR="00170B0C" w:rsidRDefault="00170B0C" w:rsidP="00170B0C">
      <w:pPr>
        <w:pStyle w:val="Prrafodelista"/>
        <w:numPr>
          <w:ilvl w:val="0"/>
          <w:numId w:val="4"/>
        </w:numPr>
        <w:autoSpaceDE w:val="0"/>
        <w:autoSpaceDN w:val="0"/>
        <w:adjustRightInd w:val="0"/>
        <w:spacing w:after="0" w:line="240" w:lineRule="auto"/>
        <w:rPr>
          <w:rFonts w:eastAsia="Times New Roman" w:cstheme="minorHAnsi"/>
          <w:lang w:eastAsia="es-ES"/>
        </w:rPr>
      </w:pPr>
      <w:r w:rsidRPr="004B1868">
        <w:rPr>
          <w:rFonts w:eastAsia="Times New Roman" w:cstheme="minorHAnsi"/>
          <w:b/>
          <w:bCs/>
          <w:lang w:eastAsia="es-ES"/>
        </w:rPr>
        <w:t>Hypervisor de Nivel 2 (</w:t>
      </w:r>
      <w:r w:rsidRPr="004B1868">
        <w:rPr>
          <w:rFonts w:eastAsia="Times New Roman" w:cstheme="minorHAnsi"/>
          <w:b/>
          <w:bCs/>
          <w:i/>
          <w:iCs/>
          <w:lang w:eastAsia="es-ES"/>
        </w:rPr>
        <w:t>Hosted</w:t>
      </w:r>
      <w:r w:rsidRPr="004B1868">
        <w:rPr>
          <w:rFonts w:eastAsia="Times New Roman" w:cstheme="minorHAnsi"/>
          <w:b/>
          <w:bCs/>
          <w:lang w:eastAsia="es-ES"/>
        </w:rPr>
        <w:t>):</w:t>
      </w:r>
      <w:r w:rsidRPr="004B1868">
        <w:rPr>
          <w:rFonts w:eastAsia="Times New Roman" w:cstheme="minorHAnsi"/>
          <w:lang w:eastAsia="es-ES"/>
        </w:rPr>
        <w:t xml:space="preserve"> Se ejecuta como un </w:t>
      </w:r>
      <w:r w:rsidRPr="004B1868">
        <w:rPr>
          <w:rFonts w:eastAsia="Times New Roman" w:cstheme="minorHAnsi"/>
          <w:b/>
          <w:bCs/>
          <w:lang w:eastAsia="es-ES"/>
        </w:rPr>
        <w:t>programa de aplicación convencional dentro del espacio de usuario</w:t>
      </w:r>
      <w:r w:rsidRPr="004B1868">
        <w:rPr>
          <w:rFonts w:eastAsia="Times New Roman" w:cstheme="minorHAnsi"/>
          <w:lang w:eastAsia="es-ES"/>
        </w:rPr>
        <w:t xml:space="preserve"> de un Sistema Operativo Anfitrión ya instalado (Host OS) (Guia-7 - V... p. 2). Para interactuar con el hardware físico y asignar CPU o memoria, debe realizar llamadas al sistema (</w:t>
      </w:r>
      <w:r w:rsidRPr="004B1868">
        <w:rPr>
          <w:rFonts w:eastAsia="Times New Roman" w:cstheme="minorHAnsi"/>
          <w:i/>
          <w:iCs/>
          <w:lang w:eastAsia="es-ES"/>
        </w:rPr>
        <w:t>Syscalls</w:t>
      </w:r>
      <w:r w:rsidRPr="004B1868">
        <w:rPr>
          <w:rFonts w:eastAsia="Times New Roman" w:cstheme="minorHAnsi"/>
          <w:lang w:eastAsia="es-ES"/>
        </w:rPr>
        <w:t>) pasando de forma obligatoria por el kernel del sistema operativo base. Ejemplos: Oracle VM VirtualBox, VMware Workstation y QEMU.</w:t>
      </w:r>
    </w:p>
    <w:p w:rsidR="009558F0" w:rsidRPr="004B1868" w:rsidRDefault="009558F0" w:rsidP="00170B0C">
      <w:pPr>
        <w:pStyle w:val="Prrafodelista"/>
        <w:numPr>
          <w:ilvl w:val="0"/>
          <w:numId w:val="4"/>
        </w:numPr>
        <w:autoSpaceDE w:val="0"/>
        <w:autoSpaceDN w:val="0"/>
        <w:adjustRightInd w:val="0"/>
        <w:spacing w:after="0" w:line="240" w:lineRule="auto"/>
        <w:rPr>
          <w:rFonts w:eastAsia="Times New Roman" w:cstheme="minorHAnsi"/>
          <w:lang w:eastAsia="es-ES"/>
        </w:rPr>
      </w:pPr>
      <w:r>
        <w:rPr>
          <w:noProof/>
          <w:lang w:eastAsia="es-ES"/>
        </w:rPr>
        <w:drawing>
          <wp:inline distT="0" distB="0" distL="0" distR="0" wp14:anchorId="26326CD6" wp14:editId="1D9ABCD0">
            <wp:extent cx="4981575" cy="27908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81575" cy="2790825"/>
                    </a:xfrm>
                    <a:prstGeom prst="rect">
                      <a:avLst/>
                    </a:prstGeom>
                  </pic:spPr>
                </pic:pic>
              </a:graphicData>
            </a:graphic>
          </wp:inline>
        </w:drawing>
      </w:r>
      <w:bookmarkStart w:id="0" w:name="_GoBack"/>
      <w:bookmarkEnd w:id="0"/>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7. ¿Qué ventajas y desventajas tienen los hypervisores de nivel 1 y 2 uno con respecto al otro?</w:t>
      </w:r>
    </w:p>
    <w:p w:rsidR="00170B0C" w:rsidRPr="004B1868" w:rsidRDefault="00170B0C" w:rsidP="00170B0C">
      <w:pPr>
        <w:pStyle w:val="Prrafodelista"/>
        <w:numPr>
          <w:ilvl w:val="0"/>
          <w:numId w:val="9"/>
        </w:numPr>
        <w:spacing w:after="0" w:line="240" w:lineRule="auto"/>
        <w:rPr>
          <w:rFonts w:eastAsia="Times New Roman" w:cstheme="minorHAnsi"/>
          <w:lang w:eastAsia="es-ES"/>
        </w:rPr>
      </w:pPr>
      <w:r w:rsidRPr="004B1868">
        <w:rPr>
          <w:rFonts w:eastAsia="Times New Roman" w:cstheme="minorHAnsi"/>
          <w:b/>
          <w:bCs/>
          <w:lang w:eastAsia="es-ES"/>
        </w:rPr>
        <w:t>Hypervisores de Nivel 1:</w:t>
      </w:r>
    </w:p>
    <w:p w:rsidR="00170B0C" w:rsidRPr="00170B0C" w:rsidRDefault="00170B0C" w:rsidP="00170B0C">
      <w:pPr>
        <w:numPr>
          <w:ilvl w:val="1"/>
          <w:numId w:val="10"/>
        </w:numPr>
        <w:spacing w:after="0" w:line="240" w:lineRule="auto"/>
        <w:rPr>
          <w:rFonts w:eastAsia="Times New Roman" w:cstheme="minorHAnsi"/>
          <w:lang w:eastAsia="es-ES"/>
        </w:rPr>
      </w:pPr>
      <w:r w:rsidRPr="004B1868">
        <w:rPr>
          <w:rFonts w:eastAsia="Times New Roman" w:cstheme="minorHAnsi"/>
          <w:i/>
          <w:iCs/>
          <w:lang w:eastAsia="es-ES"/>
        </w:rPr>
        <w:t>Ventajas:</w:t>
      </w:r>
      <w:r w:rsidRPr="004B1868">
        <w:rPr>
          <w:rFonts w:eastAsia="Times New Roman" w:cstheme="minorHAnsi"/>
          <w:lang w:eastAsia="es-ES"/>
        </w:rPr>
        <w:t xml:space="preserve"> Máximo rendimiento y eficiencia energética (Guia-7 - V... p. 2). Al no existir un sistema operativo intermediario entre el hipervisor y el hardware, la sobrecarga (</w:t>
      </w:r>
      <w:r w:rsidRPr="004B1868">
        <w:rPr>
          <w:rFonts w:eastAsia="Times New Roman" w:cstheme="minorHAnsi"/>
          <w:i/>
          <w:iCs/>
          <w:lang w:eastAsia="es-ES"/>
        </w:rPr>
        <w:t>overhead</w:t>
      </w:r>
      <w:r w:rsidRPr="004B1868">
        <w:rPr>
          <w:rFonts w:eastAsia="Times New Roman" w:cstheme="minorHAnsi"/>
          <w:lang w:eastAsia="es-ES"/>
        </w:rPr>
        <w:t>) es mínima, lo que resulta mandatorio para entornos de servidores corporativos de alta demanda.</w:t>
      </w:r>
    </w:p>
    <w:p w:rsidR="00170B0C" w:rsidRPr="00170B0C" w:rsidRDefault="00170B0C" w:rsidP="00170B0C">
      <w:pPr>
        <w:numPr>
          <w:ilvl w:val="1"/>
          <w:numId w:val="10"/>
        </w:numPr>
        <w:spacing w:after="0" w:line="240" w:lineRule="auto"/>
        <w:rPr>
          <w:rFonts w:eastAsia="Times New Roman" w:cstheme="minorHAnsi"/>
          <w:lang w:eastAsia="es-ES"/>
        </w:rPr>
      </w:pPr>
      <w:r w:rsidRPr="004B1868">
        <w:rPr>
          <w:rFonts w:eastAsia="Times New Roman" w:cstheme="minorHAnsi"/>
          <w:i/>
          <w:iCs/>
          <w:lang w:eastAsia="es-ES"/>
        </w:rPr>
        <w:t>Desventajas:</w:t>
      </w:r>
      <w:r w:rsidRPr="004B1868">
        <w:rPr>
          <w:rFonts w:eastAsia="Times New Roman" w:cstheme="minorHAnsi"/>
          <w:lang w:eastAsia="es-ES"/>
        </w:rPr>
        <w:t xml:space="preserve"> Compatibilidad de hardware restringida y complejidad de administración. Requiere controladores específicos compilados nativamente dentro de su propio núcleo para poder reconocer las controladoras físicas de la placa madre.</w:t>
      </w:r>
    </w:p>
    <w:p w:rsidR="00170B0C" w:rsidRPr="004B1868" w:rsidRDefault="00170B0C" w:rsidP="00170B0C">
      <w:pPr>
        <w:pStyle w:val="Prrafodelista"/>
        <w:numPr>
          <w:ilvl w:val="0"/>
          <w:numId w:val="9"/>
        </w:numPr>
        <w:spacing w:after="0" w:line="240" w:lineRule="auto"/>
        <w:rPr>
          <w:rFonts w:eastAsia="Times New Roman" w:cstheme="minorHAnsi"/>
          <w:lang w:eastAsia="es-ES"/>
        </w:rPr>
      </w:pPr>
      <w:r w:rsidRPr="004B1868">
        <w:rPr>
          <w:rFonts w:eastAsia="Times New Roman" w:cstheme="minorHAnsi"/>
          <w:b/>
          <w:bCs/>
          <w:lang w:eastAsia="es-ES"/>
        </w:rPr>
        <w:t>Hypervisores de Nivel 2:</w:t>
      </w:r>
    </w:p>
    <w:p w:rsidR="00170B0C" w:rsidRPr="00170B0C" w:rsidRDefault="00170B0C" w:rsidP="00170B0C">
      <w:pPr>
        <w:numPr>
          <w:ilvl w:val="1"/>
          <w:numId w:val="11"/>
        </w:numPr>
        <w:spacing w:after="0" w:line="240" w:lineRule="auto"/>
        <w:rPr>
          <w:rFonts w:eastAsia="Times New Roman" w:cstheme="minorHAnsi"/>
          <w:lang w:eastAsia="es-ES"/>
        </w:rPr>
      </w:pPr>
      <w:r w:rsidRPr="004B1868">
        <w:rPr>
          <w:rFonts w:eastAsia="Times New Roman" w:cstheme="minorHAnsi"/>
          <w:i/>
          <w:iCs/>
          <w:lang w:eastAsia="es-ES"/>
        </w:rPr>
        <w:t>Ventajas:</w:t>
      </w:r>
      <w:r w:rsidRPr="004B1868">
        <w:rPr>
          <w:rFonts w:eastAsia="Times New Roman" w:cstheme="minorHAnsi"/>
          <w:lang w:eastAsia="es-ES"/>
        </w:rPr>
        <w:t xml:space="preserve"> Alta portabilidad y extrema facilidad de instalación (Guia-7 - V... p. 2). Al correr sobre un sistema operativo anfitrión estándar (como Windows o Linux), aprovecha la compatibilidad total de controladores que este posea, facilitando la interacción con la GUI de la terminal de trabajo.</w:t>
      </w:r>
    </w:p>
    <w:p w:rsidR="00170B0C" w:rsidRPr="00170B0C" w:rsidRDefault="00170B0C" w:rsidP="00170B0C">
      <w:pPr>
        <w:numPr>
          <w:ilvl w:val="1"/>
          <w:numId w:val="11"/>
        </w:numPr>
        <w:spacing w:after="0" w:line="240" w:lineRule="auto"/>
        <w:rPr>
          <w:rFonts w:eastAsia="Times New Roman" w:cstheme="minorHAnsi"/>
          <w:lang w:eastAsia="es-ES"/>
        </w:rPr>
      </w:pPr>
      <w:r w:rsidRPr="004B1868">
        <w:rPr>
          <w:rFonts w:eastAsia="Times New Roman" w:cstheme="minorHAnsi"/>
          <w:i/>
          <w:iCs/>
          <w:lang w:eastAsia="es-ES"/>
        </w:rPr>
        <w:t>Desventajas:</w:t>
      </w:r>
      <w:r w:rsidRPr="004B1868">
        <w:rPr>
          <w:rFonts w:eastAsia="Times New Roman" w:cstheme="minorHAnsi"/>
          <w:lang w:eastAsia="es-ES"/>
        </w:rPr>
        <w:t xml:space="preserve"> Menor rendimiento relativo (Guia-7 - V... p. 2). Cada instrucción de E/S o asignación de memoria virtual debe atravesar capas adicionales de software duplicadas (el hipervisor y el kernel anfitrión), penalizando la latencia del procesador.</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8. ¿Qué es la computación en la nube?</w:t>
      </w:r>
    </w:p>
    <w:p w:rsidR="00170B0C" w:rsidRPr="004B1868" w:rsidRDefault="00170B0C" w:rsidP="00170B0C">
      <w:pPr>
        <w:autoSpaceDE w:val="0"/>
        <w:autoSpaceDN w:val="0"/>
        <w:adjustRightInd w:val="0"/>
        <w:spacing w:after="0" w:line="240" w:lineRule="auto"/>
        <w:rPr>
          <w:rFonts w:cstheme="minorHAnsi"/>
        </w:rPr>
      </w:pPr>
      <w:r w:rsidRPr="004B1868">
        <w:rPr>
          <w:rFonts w:cstheme="minorHAnsi"/>
        </w:rPr>
        <w:t>La computación en la nube (</w:t>
      </w:r>
      <w:r w:rsidRPr="004B1868">
        <w:rPr>
          <w:rStyle w:val="nfasis"/>
          <w:rFonts w:cstheme="minorHAnsi"/>
        </w:rPr>
        <w:t>Cloud Computing</w:t>
      </w:r>
      <w:r w:rsidRPr="004B1868">
        <w:rPr>
          <w:rFonts w:cstheme="minorHAnsi"/>
        </w:rPr>
        <w:t xml:space="preserve">) es un modelo tecnológico que permite el </w:t>
      </w:r>
      <w:r w:rsidRPr="004B1868">
        <w:rPr>
          <w:rStyle w:val="Textoennegrita"/>
          <w:rFonts w:cstheme="minorHAnsi"/>
        </w:rPr>
        <w:t>acceso ubicuo, bajo demanda y a través de la red a un pool compartido y configurable de recursos lógicos de computación</w:t>
      </w:r>
      <w:r w:rsidRPr="004B1868">
        <w:rPr>
          <w:rFonts w:cstheme="minorHAnsi"/>
        </w:rPr>
        <w:t xml:space="preserve"> (redes, servidores, almacenamiento, aplicaciones y servicios) (Guia-7 - V... p. 2). Estos recursos pueden ser aprovisionados y liberados de forma elástica y </w:t>
      </w:r>
      <w:r w:rsidRPr="004B1868">
        <w:rPr>
          <w:rFonts w:cstheme="minorHAnsi"/>
        </w:rPr>
        <w:lastRenderedPageBreak/>
        <w:t>automatizada con un mínimo esfuerzo de gestión por parte del usuario o interacción directa con el proveedor de servicios.</w:t>
      </w:r>
    </w:p>
    <w:p w:rsidR="004B1868" w:rsidRPr="004B1868" w:rsidRDefault="004B1868" w:rsidP="00170B0C">
      <w:pPr>
        <w:autoSpaceDE w:val="0"/>
        <w:autoSpaceDN w:val="0"/>
        <w:adjustRightInd w:val="0"/>
        <w:spacing w:after="0" w:line="240" w:lineRule="auto"/>
        <w:rPr>
          <w:rFonts w:cstheme="minorHAnsi"/>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9. Distinga entre IaaS, PaaS y SaaS. De ejemplos.</w:t>
      </w:r>
    </w:p>
    <w:p w:rsidR="00170B0C" w:rsidRPr="00170B0C" w:rsidRDefault="00170B0C" w:rsidP="004B1868">
      <w:pPr>
        <w:numPr>
          <w:ilvl w:val="0"/>
          <w:numId w:val="19"/>
        </w:numPr>
        <w:spacing w:after="0" w:line="240" w:lineRule="auto"/>
        <w:rPr>
          <w:rFonts w:eastAsia="Times New Roman" w:cstheme="minorHAnsi"/>
          <w:lang w:eastAsia="es-ES"/>
        </w:rPr>
      </w:pPr>
      <w:r w:rsidRPr="004B1868">
        <w:rPr>
          <w:rFonts w:eastAsia="Times New Roman" w:cstheme="minorHAnsi"/>
          <w:b/>
          <w:bCs/>
          <w:lang w:eastAsia="es-ES"/>
        </w:rPr>
        <w:t>IaaS (</w:t>
      </w:r>
      <w:r w:rsidRPr="004B1868">
        <w:rPr>
          <w:rFonts w:eastAsia="Times New Roman" w:cstheme="minorHAnsi"/>
          <w:b/>
          <w:bCs/>
          <w:i/>
          <w:iCs/>
          <w:lang w:eastAsia="es-ES"/>
        </w:rPr>
        <w:t>Infrastructure as a Service</w:t>
      </w:r>
      <w:r w:rsidRPr="004B1868">
        <w:rPr>
          <w:rFonts w:eastAsia="Times New Roman" w:cstheme="minorHAnsi"/>
          <w:b/>
          <w:bCs/>
          <w:lang w:eastAsia="es-ES"/>
        </w:rPr>
        <w:t>):</w:t>
      </w:r>
      <w:r w:rsidRPr="004B1868">
        <w:rPr>
          <w:rFonts w:eastAsia="Times New Roman" w:cstheme="minorHAnsi"/>
          <w:lang w:eastAsia="es-ES"/>
        </w:rPr>
        <w:t xml:space="preserve"> El proveedor alquila al cliente el acceso abstracto a los componentes físicos de hardware virtualizados (Guia-7 - V... p. 2). El usuario recibe capacidad de procesamiento puro (vCPUs), bloques de almacenamiento en red y conectividad IP, teniendo total libertad para instalar el sistema operativo que desee y configurar sus aplicaciones desde cero. </w:t>
      </w:r>
      <w:r w:rsidRPr="004B1868">
        <w:rPr>
          <w:rFonts w:eastAsia="Times New Roman" w:cstheme="minorHAnsi"/>
          <w:i/>
          <w:iCs/>
          <w:lang w:eastAsia="es-ES"/>
        </w:rPr>
        <w:t>Ejemplos:</w:t>
      </w:r>
      <w:r w:rsidRPr="004B1868">
        <w:rPr>
          <w:rFonts w:eastAsia="Times New Roman" w:cstheme="minorHAnsi"/>
          <w:lang w:eastAsia="es-ES"/>
        </w:rPr>
        <w:t xml:space="preserve"> Amazon Web Services (AWS EC2), Google Compute Engine (GCE), Microsoft Azure VMs.</w:t>
      </w:r>
    </w:p>
    <w:p w:rsidR="00170B0C" w:rsidRPr="00170B0C" w:rsidRDefault="00170B0C" w:rsidP="004B1868">
      <w:pPr>
        <w:numPr>
          <w:ilvl w:val="0"/>
          <w:numId w:val="19"/>
        </w:numPr>
        <w:spacing w:after="0" w:line="240" w:lineRule="auto"/>
        <w:rPr>
          <w:rFonts w:eastAsia="Times New Roman" w:cstheme="minorHAnsi"/>
          <w:lang w:eastAsia="es-ES"/>
        </w:rPr>
      </w:pPr>
      <w:r w:rsidRPr="004B1868">
        <w:rPr>
          <w:rFonts w:eastAsia="Times New Roman" w:cstheme="minorHAnsi"/>
          <w:b/>
          <w:bCs/>
          <w:lang w:eastAsia="es-ES"/>
        </w:rPr>
        <w:t>PaaS (</w:t>
      </w:r>
      <w:r w:rsidRPr="004B1868">
        <w:rPr>
          <w:rFonts w:eastAsia="Times New Roman" w:cstheme="minorHAnsi"/>
          <w:b/>
          <w:bCs/>
          <w:i/>
          <w:iCs/>
          <w:lang w:eastAsia="es-ES"/>
        </w:rPr>
        <w:t>Platform as a Service</w:t>
      </w:r>
      <w:r w:rsidRPr="004B1868">
        <w:rPr>
          <w:rFonts w:eastAsia="Times New Roman" w:cstheme="minorHAnsi"/>
          <w:b/>
          <w:bCs/>
          <w:lang w:eastAsia="es-ES"/>
        </w:rPr>
        <w:t>):</w:t>
      </w:r>
      <w:r w:rsidRPr="004B1868">
        <w:rPr>
          <w:rFonts w:eastAsia="Times New Roman" w:cstheme="minorHAnsi"/>
          <w:lang w:eastAsia="es-ES"/>
        </w:rPr>
        <w:t xml:space="preserve"> El proveedor abstrae la infraestructura y el sistema operativo, entregando al cliente un </w:t>
      </w:r>
      <w:r w:rsidRPr="004B1868">
        <w:rPr>
          <w:rFonts w:eastAsia="Times New Roman" w:cstheme="minorHAnsi"/>
          <w:b/>
          <w:bCs/>
          <w:lang w:eastAsia="es-ES"/>
        </w:rPr>
        <w:t>entorno de ejecución y despliegue de código optimizado</w:t>
      </w:r>
      <w:r w:rsidRPr="004B1868">
        <w:rPr>
          <w:rFonts w:eastAsia="Times New Roman" w:cstheme="minorHAnsi"/>
          <w:lang w:eastAsia="es-ES"/>
        </w:rPr>
        <w:t xml:space="preserve"> junto con bases de datos y herramientas de desarrollo integradas (Guia-7 - V... p. 2). El usuario se desentiende de parches del kernel o actualizaciones de seguridad del SO; solo gestiona el código fuente de su aplicación. </w:t>
      </w:r>
      <w:r w:rsidRPr="004B1868">
        <w:rPr>
          <w:rFonts w:eastAsia="Times New Roman" w:cstheme="minorHAnsi"/>
          <w:i/>
          <w:iCs/>
          <w:lang w:eastAsia="es-ES"/>
        </w:rPr>
        <w:t>Ejemplos:</w:t>
      </w:r>
      <w:r w:rsidRPr="004B1868">
        <w:rPr>
          <w:rFonts w:eastAsia="Times New Roman" w:cstheme="minorHAnsi"/>
          <w:lang w:eastAsia="es-ES"/>
        </w:rPr>
        <w:t xml:space="preserve"> Heroku, Google App Engine, AWS Elastic Beanstalk.</w:t>
      </w:r>
    </w:p>
    <w:p w:rsidR="00170B0C" w:rsidRPr="00170B0C" w:rsidRDefault="00170B0C" w:rsidP="004B1868">
      <w:pPr>
        <w:numPr>
          <w:ilvl w:val="0"/>
          <w:numId w:val="19"/>
        </w:numPr>
        <w:spacing w:after="0" w:line="240" w:lineRule="auto"/>
        <w:rPr>
          <w:rFonts w:eastAsia="Times New Roman" w:cstheme="minorHAnsi"/>
          <w:lang w:eastAsia="es-ES"/>
        </w:rPr>
      </w:pPr>
      <w:r w:rsidRPr="004B1868">
        <w:rPr>
          <w:rFonts w:eastAsia="Times New Roman" w:cstheme="minorHAnsi"/>
          <w:b/>
          <w:bCs/>
          <w:lang w:eastAsia="es-ES"/>
        </w:rPr>
        <w:t>SaaS (</w:t>
      </w:r>
      <w:r w:rsidRPr="004B1868">
        <w:rPr>
          <w:rFonts w:eastAsia="Times New Roman" w:cstheme="minorHAnsi"/>
          <w:b/>
          <w:bCs/>
          <w:i/>
          <w:iCs/>
          <w:lang w:eastAsia="es-ES"/>
        </w:rPr>
        <w:t>Software as a Service</w:t>
      </w:r>
      <w:r w:rsidRPr="004B1868">
        <w:rPr>
          <w:rFonts w:eastAsia="Times New Roman" w:cstheme="minorHAnsi"/>
          <w:b/>
          <w:bCs/>
          <w:lang w:eastAsia="es-ES"/>
        </w:rPr>
        <w:t>):</w:t>
      </w:r>
      <w:r w:rsidRPr="004B1868">
        <w:rPr>
          <w:rFonts w:eastAsia="Times New Roman" w:cstheme="minorHAnsi"/>
          <w:lang w:eastAsia="es-ES"/>
        </w:rPr>
        <w:t xml:space="preserve"> El proveedor entrega un </w:t>
      </w:r>
      <w:r w:rsidRPr="004B1868">
        <w:rPr>
          <w:rFonts w:eastAsia="Times New Roman" w:cstheme="minorHAnsi"/>
          <w:b/>
          <w:bCs/>
          <w:lang w:eastAsia="es-ES"/>
        </w:rPr>
        <w:t>producto o aplicación de software completamente funcional y terminado</w:t>
      </w:r>
      <w:r w:rsidRPr="004B1868">
        <w:rPr>
          <w:rFonts w:eastAsia="Times New Roman" w:cstheme="minorHAnsi"/>
          <w:lang w:eastAsia="es-ES"/>
        </w:rPr>
        <w:t xml:space="preserve"> que se ejecuta en la nube y al cual el usuario accede comúnmente mediante un navegador web (Guia-7 - V... p. 2). El cliente no tiene control sobre la infraestructura, el sistema operativo ni la lógica del backend; solo gestiona las configuraciones de usuario internas de la aplicación. </w:t>
      </w:r>
      <w:r w:rsidRPr="004B1868">
        <w:rPr>
          <w:rFonts w:eastAsia="Times New Roman" w:cstheme="minorHAnsi"/>
          <w:i/>
          <w:iCs/>
          <w:lang w:eastAsia="es-ES"/>
        </w:rPr>
        <w:t>Ejemplos:</w:t>
      </w:r>
      <w:r w:rsidRPr="004B1868">
        <w:rPr>
          <w:rFonts w:eastAsia="Times New Roman" w:cstheme="minorHAnsi"/>
          <w:lang w:eastAsia="es-ES"/>
        </w:rPr>
        <w:t xml:space="preserve"> Google Workspace (Gmail, Docs), Microsoft 365, Salesforce.</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10. Para cada modelo de servicio antes mencionado, indique de qué parte se tiene que hacer cargo el proveedor del servicio.</w:t>
      </w:r>
    </w:p>
    <w:p w:rsidR="00170B0C" w:rsidRPr="00170B0C" w:rsidRDefault="00170B0C" w:rsidP="00170B0C">
      <w:pPr>
        <w:spacing w:line="240" w:lineRule="auto"/>
        <w:rPr>
          <w:rFonts w:eastAsia="Times New Roman" w:cstheme="minorHAnsi"/>
          <w:lang w:eastAsia="es-ES"/>
        </w:rPr>
      </w:pPr>
      <w:r w:rsidRPr="00170B0C">
        <w:rPr>
          <w:rFonts w:eastAsia="Times New Roman" w:cstheme="minorHAnsi"/>
          <w:lang w:eastAsia="es-ES"/>
        </w:rPr>
        <w:t>La demarcación de responsabilidades lógicas entre el proveedor de la nube y el cliente se organiza estrictamente de la siguiente forma (Guia-7 - V... p. 2):</w:t>
      </w:r>
    </w:p>
    <w:p w:rsidR="00170B0C" w:rsidRPr="004B1868" w:rsidRDefault="00170B0C" w:rsidP="004B1868">
      <w:pPr>
        <w:pStyle w:val="Prrafodelista"/>
        <w:numPr>
          <w:ilvl w:val="0"/>
          <w:numId w:val="12"/>
        </w:numPr>
        <w:spacing w:after="0" w:line="240" w:lineRule="auto"/>
        <w:rPr>
          <w:rFonts w:eastAsia="Times New Roman" w:cstheme="minorHAnsi"/>
          <w:lang w:eastAsia="es-ES"/>
        </w:rPr>
      </w:pPr>
      <w:r w:rsidRPr="004B1868">
        <w:rPr>
          <w:rFonts w:eastAsia="Times New Roman" w:cstheme="minorHAnsi"/>
          <w:b/>
          <w:bCs/>
          <w:lang w:eastAsia="es-ES"/>
        </w:rPr>
        <w:t>En IaaS:</w:t>
      </w:r>
      <w:r w:rsidRPr="004B1868">
        <w:rPr>
          <w:rFonts w:eastAsia="Times New Roman" w:cstheme="minorHAnsi"/>
          <w:lang w:eastAsia="es-ES"/>
        </w:rPr>
        <w:t xml:space="preserve"> El proveedor se hace cargo exclusivamente del hardware físico, la climatización del centro de datos, la red física, el almacenamiento masivo y la capa del hypervisor básico. </w:t>
      </w:r>
      <w:r w:rsidRPr="004B1868">
        <w:rPr>
          <w:rFonts w:eastAsia="Times New Roman" w:cstheme="minorHAnsi"/>
          <w:b/>
          <w:bCs/>
          <w:lang w:eastAsia="es-ES"/>
        </w:rPr>
        <w:t>El cliente es responsable de todo lo superior:</w:t>
      </w:r>
      <w:r w:rsidRPr="004B1868">
        <w:rPr>
          <w:rFonts w:eastAsia="Times New Roman" w:cstheme="minorHAnsi"/>
          <w:lang w:eastAsia="es-ES"/>
        </w:rPr>
        <w:t xml:space="preserve"> instalar y mantener el Sistema Operativo, gestionar los parches de seguridad del núcleo, configurar el firewall lógico y montar el runtime de las aplicaciones.</w:t>
      </w:r>
    </w:p>
    <w:p w:rsidR="00170B0C" w:rsidRPr="004B1868" w:rsidRDefault="00170B0C" w:rsidP="004B1868">
      <w:pPr>
        <w:pStyle w:val="Prrafodelista"/>
        <w:numPr>
          <w:ilvl w:val="0"/>
          <w:numId w:val="12"/>
        </w:numPr>
        <w:spacing w:after="0" w:line="240" w:lineRule="auto"/>
        <w:rPr>
          <w:rFonts w:eastAsia="Times New Roman" w:cstheme="minorHAnsi"/>
          <w:lang w:eastAsia="es-ES"/>
        </w:rPr>
      </w:pPr>
      <w:r w:rsidRPr="004B1868">
        <w:rPr>
          <w:rFonts w:eastAsia="Times New Roman" w:cstheme="minorHAnsi"/>
          <w:b/>
          <w:bCs/>
          <w:lang w:eastAsia="es-ES"/>
        </w:rPr>
        <w:t>En PaaS:</w:t>
      </w:r>
      <w:r w:rsidRPr="004B1868">
        <w:rPr>
          <w:rFonts w:eastAsia="Times New Roman" w:cstheme="minorHAnsi"/>
          <w:lang w:eastAsia="es-ES"/>
        </w:rPr>
        <w:t xml:space="preserve"> El proveedor se hace cargo del hardware, los hypervisores, la instalación, licenciamiento y </w:t>
      </w:r>
      <w:r w:rsidRPr="004B1868">
        <w:rPr>
          <w:rFonts w:eastAsia="Times New Roman" w:cstheme="minorHAnsi"/>
          <w:b/>
          <w:bCs/>
          <w:lang w:eastAsia="es-ES"/>
        </w:rPr>
        <w:t>actualización del Sistema Operativo</w:t>
      </w:r>
      <w:r w:rsidRPr="004B1868">
        <w:rPr>
          <w:rFonts w:eastAsia="Times New Roman" w:cstheme="minorHAnsi"/>
          <w:lang w:eastAsia="es-ES"/>
        </w:rPr>
        <w:t xml:space="preserve">, los motores de bases de datos compartidos y los entornos de ejecución middleware (como runtimes de Node.js, Java o Python). </w:t>
      </w:r>
      <w:r w:rsidRPr="004B1868">
        <w:rPr>
          <w:rFonts w:eastAsia="Times New Roman" w:cstheme="minorHAnsi"/>
          <w:b/>
          <w:bCs/>
          <w:lang w:eastAsia="es-ES"/>
        </w:rPr>
        <w:t>El cliente es responsable exclusivamente de su código fuente</w:t>
      </w:r>
      <w:r w:rsidRPr="004B1868">
        <w:rPr>
          <w:rFonts w:eastAsia="Times New Roman" w:cstheme="minorHAnsi"/>
          <w:lang w:eastAsia="es-ES"/>
        </w:rPr>
        <w:t xml:space="preserve"> y de la carga de sus propios datos.</w:t>
      </w:r>
    </w:p>
    <w:p w:rsidR="00170B0C" w:rsidRPr="004B1868" w:rsidRDefault="00170B0C" w:rsidP="004B1868">
      <w:pPr>
        <w:pStyle w:val="Prrafodelista"/>
        <w:numPr>
          <w:ilvl w:val="0"/>
          <w:numId w:val="12"/>
        </w:numPr>
        <w:spacing w:after="0" w:line="240" w:lineRule="auto"/>
        <w:rPr>
          <w:rFonts w:eastAsia="Times New Roman" w:cstheme="minorHAnsi"/>
          <w:lang w:eastAsia="es-ES"/>
        </w:rPr>
      </w:pPr>
      <w:r w:rsidRPr="004B1868">
        <w:rPr>
          <w:rFonts w:eastAsia="Times New Roman" w:cstheme="minorHAnsi"/>
          <w:b/>
          <w:bCs/>
          <w:lang w:eastAsia="es-ES"/>
        </w:rPr>
        <w:t>En SaaS:</w:t>
      </w:r>
      <w:r w:rsidRPr="004B1868">
        <w:rPr>
          <w:rFonts w:eastAsia="Times New Roman" w:cstheme="minorHAnsi"/>
          <w:lang w:eastAsia="es-ES"/>
        </w:rPr>
        <w:t xml:space="preserve"> El proveedor se hace cargo de la </w:t>
      </w:r>
      <w:r w:rsidRPr="004B1868">
        <w:rPr>
          <w:rFonts w:eastAsia="Times New Roman" w:cstheme="minorHAnsi"/>
          <w:b/>
          <w:bCs/>
          <w:lang w:eastAsia="es-ES"/>
        </w:rPr>
        <w:t>totalidad de la pila tecnológica</w:t>
      </w:r>
      <w:r w:rsidRPr="004B1868">
        <w:rPr>
          <w:rFonts w:eastAsia="Times New Roman" w:cstheme="minorHAnsi"/>
          <w:lang w:eastAsia="es-ES"/>
        </w:rPr>
        <w:t xml:space="preserve">, desde los servidores físicos hasta el mantenimiento del propio software de aplicación final, copias de seguridad de datos de la plataforma y parches de código del sistema. </w:t>
      </w:r>
      <w:r w:rsidRPr="004B1868">
        <w:rPr>
          <w:rFonts w:eastAsia="Times New Roman" w:cstheme="minorHAnsi"/>
          <w:b/>
          <w:bCs/>
          <w:lang w:eastAsia="es-ES"/>
        </w:rPr>
        <w:t>El cliente solo es responsable del control de acceso de sus usuarios</w:t>
      </w:r>
      <w:r w:rsidRPr="004B1868">
        <w:rPr>
          <w:rFonts w:eastAsia="Times New Roman" w:cstheme="minorHAnsi"/>
          <w:lang w:eastAsia="es-ES"/>
        </w:rPr>
        <w:t>.</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11. ¿Cuál es la diferencia entre nube pública y nube privada?</w:t>
      </w:r>
    </w:p>
    <w:p w:rsidR="00170B0C" w:rsidRPr="004B1868" w:rsidRDefault="00170B0C" w:rsidP="004B1868">
      <w:pPr>
        <w:pStyle w:val="Prrafodelista"/>
        <w:numPr>
          <w:ilvl w:val="0"/>
          <w:numId w:val="13"/>
        </w:numPr>
        <w:spacing w:after="0" w:line="240" w:lineRule="auto"/>
        <w:rPr>
          <w:rFonts w:eastAsia="Times New Roman" w:cstheme="minorHAnsi"/>
          <w:lang w:eastAsia="es-ES"/>
        </w:rPr>
      </w:pPr>
      <w:r w:rsidRPr="004B1868">
        <w:rPr>
          <w:rFonts w:eastAsia="Times New Roman" w:cstheme="minorHAnsi"/>
          <w:b/>
          <w:bCs/>
          <w:lang w:eastAsia="es-ES"/>
        </w:rPr>
        <w:t>Nube Pública:</w:t>
      </w:r>
      <w:r w:rsidRPr="004B1868">
        <w:rPr>
          <w:rFonts w:eastAsia="Times New Roman" w:cstheme="minorHAnsi"/>
          <w:lang w:eastAsia="es-ES"/>
        </w:rPr>
        <w:t xml:space="preserve"> La infraestructura física y los centros de datos pertenecen y son operados por un tercero (proveedor de la nube) (Guia-7 - V... p. 2). Los recursos de hardware (servidores, redes) se comparten bajo una arquitectura multitenant entre múltiples clientes independientes lógicamente aislados, pagando de forma elástica por el consumo exacto.</w:t>
      </w:r>
    </w:p>
    <w:p w:rsidR="00170B0C" w:rsidRPr="004B1868" w:rsidRDefault="00170B0C" w:rsidP="004B1868">
      <w:pPr>
        <w:pStyle w:val="Prrafodelista"/>
        <w:numPr>
          <w:ilvl w:val="0"/>
          <w:numId w:val="13"/>
        </w:numPr>
        <w:spacing w:after="0" w:line="240" w:lineRule="auto"/>
        <w:rPr>
          <w:rFonts w:eastAsia="Times New Roman" w:cstheme="minorHAnsi"/>
          <w:lang w:eastAsia="es-ES"/>
        </w:rPr>
      </w:pPr>
      <w:r w:rsidRPr="004B1868">
        <w:rPr>
          <w:rFonts w:eastAsia="Times New Roman" w:cstheme="minorHAnsi"/>
          <w:b/>
          <w:bCs/>
          <w:lang w:eastAsia="es-ES"/>
        </w:rPr>
        <w:t>Nube Privada:</w:t>
      </w:r>
      <w:r w:rsidRPr="004B1868">
        <w:rPr>
          <w:rFonts w:eastAsia="Times New Roman" w:cstheme="minorHAnsi"/>
          <w:lang w:eastAsia="es-ES"/>
        </w:rPr>
        <w:t xml:space="preserve"> La infraestructura de computación se diseña y se utiliza </w:t>
      </w:r>
      <w:r w:rsidRPr="004B1868">
        <w:rPr>
          <w:rFonts w:eastAsia="Times New Roman" w:cstheme="minorHAnsi"/>
          <w:b/>
          <w:bCs/>
          <w:lang w:eastAsia="es-ES"/>
        </w:rPr>
        <w:t>exclusivamente por una única organización o corporación</w:t>
      </w:r>
      <w:r w:rsidRPr="004B1868">
        <w:rPr>
          <w:rFonts w:eastAsia="Times New Roman" w:cstheme="minorHAnsi"/>
          <w:lang w:eastAsia="es-ES"/>
        </w:rPr>
        <w:t xml:space="preserve"> (Guia-7 - V... p. 2). Puede estar localizada físicamente en el propio centro de datos local de la empresa (</w:t>
      </w:r>
      <w:r w:rsidRPr="004B1868">
        <w:rPr>
          <w:rFonts w:eastAsia="Times New Roman" w:cstheme="minorHAnsi"/>
          <w:i/>
          <w:iCs/>
          <w:lang w:eastAsia="es-ES"/>
        </w:rPr>
        <w:t>On-Premise</w:t>
      </w:r>
      <w:r w:rsidRPr="004B1868">
        <w:rPr>
          <w:rFonts w:eastAsia="Times New Roman" w:cstheme="minorHAnsi"/>
          <w:lang w:eastAsia="es-ES"/>
        </w:rPr>
        <w:t xml:space="preserve">) o ser </w:t>
      </w:r>
      <w:r w:rsidRPr="004B1868">
        <w:rPr>
          <w:rFonts w:eastAsia="Times New Roman" w:cstheme="minorHAnsi"/>
          <w:lang w:eastAsia="es-ES"/>
        </w:rPr>
        <w:lastRenderedPageBreak/>
        <w:t>alojada por un tercero de forma dedicada, garantizando un control absoluto sobre la soberanía de los datos lógicos, la seguridad perimetral y el cumplimiento normativo interno.</w:t>
      </w:r>
    </w:p>
    <w:p w:rsidR="00170B0C" w:rsidRPr="004B1868" w:rsidRDefault="00170B0C"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12. ¿Qué son los contenedores?</w:t>
      </w:r>
    </w:p>
    <w:p w:rsidR="004B1868" w:rsidRPr="004B1868" w:rsidRDefault="004B1868" w:rsidP="004B1868">
      <w:pPr>
        <w:spacing w:line="240" w:lineRule="auto"/>
        <w:rPr>
          <w:rFonts w:eastAsia="Times New Roman" w:cstheme="minorHAnsi"/>
          <w:lang w:eastAsia="es-ES"/>
        </w:rPr>
      </w:pPr>
      <w:r w:rsidRPr="004B1868">
        <w:rPr>
          <w:rFonts w:eastAsia="Times New Roman" w:cstheme="minorHAnsi"/>
          <w:lang w:eastAsia="es-ES"/>
        </w:rPr>
        <w:t xml:space="preserve">Los contenedores son un mecanismo de </w:t>
      </w:r>
      <w:r w:rsidRPr="004B1868">
        <w:rPr>
          <w:rFonts w:eastAsia="Times New Roman" w:cstheme="minorHAnsi"/>
          <w:b/>
          <w:bCs/>
          <w:lang w:eastAsia="es-ES"/>
        </w:rPr>
        <w:t>virtualización a nivel de Sistema Operativo</w:t>
      </w:r>
      <w:r w:rsidRPr="004B1868">
        <w:rPr>
          <w:rFonts w:eastAsia="Times New Roman" w:cstheme="minorHAnsi"/>
          <w:lang w:eastAsia="es-ES"/>
        </w:rPr>
        <w:t xml:space="preserve"> (virtualización ligera) (Guia-7 - V... p. 2). Consisten en entornos de ejecución aislados que, a diferencia de las máquinas virtuales, </w:t>
      </w:r>
      <w:r w:rsidRPr="004B1868">
        <w:rPr>
          <w:rFonts w:eastAsia="Times New Roman" w:cstheme="minorHAnsi"/>
          <w:b/>
          <w:bCs/>
          <w:lang w:eastAsia="es-ES"/>
        </w:rPr>
        <w:t>no emulan hardware ni ejecutan un kernel de sistema operativo invitado propio</w:t>
      </w:r>
      <w:r w:rsidRPr="004B1868">
        <w:rPr>
          <w:rFonts w:eastAsia="Times New Roman" w:cstheme="minorHAnsi"/>
          <w:lang w:eastAsia="es-ES"/>
        </w:rPr>
        <w:t>. Un contenedor empaqueta únicamente la aplicación junto con sus binarios, librerías dinámicas y dependencias estrictas necesarias para su ejecución, corriendo como un proceso ordinario directamente sobre el propio kernel del Sistema Operativo Anfitrión.</w:t>
      </w:r>
    </w:p>
    <w:p w:rsidR="004B1868" w:rsidRPr="004B1868" w:rsidRDefault="004B1868" w:rsidP="004B1868">
      <w:pPr>
        <w:spacing w:line="240" w:lineRule="auto"/>
        <w:rPr>
          <w:rFonts w:eastAsia="Times New Roman" w:cstheme="minorHAnsi"/>
          <w:lang w:eastAsia="es-ES"/>
        </w:rPr>
      </w:pPr>
      <w:r w:rsidRPr="004B1868">
        <w:rPr>
          <w:rFonts w:eastAsia="Times New Roman" w:cstheme="minorHAnsi"/>
          <w:lang w:eastAsia="es-ES"/>
        </w:rPr>
        <w:t>En entornos Linux, este aislamiento lógico se logra a bajo nivel mediante dos primitivas nativas del núcleo:</w:t>
      </w:r>
    </w:p>
    <w:p w:rsidR="004B1868" w:rsidRPr="004B1868" w:rsidRDefault="004B1868" w:rsidP="004B1868">
      <w:pPr>
        <w:numPr>
          <w:ilvl w:val="0"/>
          <w:numId w:val="15"/>
        </w:numPr>
        <w:spacing w:after="0" w:line="240" w:lineRule="auto"/>
        <w:rPr>
          <w:rFonts w:eastAsia="Times New Roman" w:cstheme="minorHAnsi"/>
          <w:lang w:eastAsia="es-ES"/>
        </w:rPr>
      </w:pPr>
      <w:r w:rsidRPr="004B1868">
        <w:rPr>
          <w:rFonts w:eastAsia="Times New Roman" w:cstheme="minorHAnsi"/>
          <w:b/>
          <w:bCs/>
          <w:lang w:eastAsia="es-ES"/>
        </w:rPr>
        <w:t>Namespaces (Espacios de Nombres):</w:t>
      </w:r>
      <w:r w:rsidRPr="004B1868">
        <w:rPr>
          <w:rFonts w:eastAsia="Times New Roman" w:cstheme="minorHAnsi"/>
          <w:lang w:eastAsia="es-ES"/>
        </w:rPr>
        <w:t xml:space="preserve"> Aíslan la visión del proceso sobre el sistema (pila de red propia, árbol de procesos PID aislado, puntos de montaje separados).</w:t>
      </w:r>
    </w:p>
    <w:p w:rsidR="004B1868" w:rsidRPr="004B1868" w:rsidRDefault="004B1868" w:rsidP="004B1868">
      <w:pPr>
        <w:numPr>
          <w:ilvl w:val="0"/>
          <w:numId w:val="15"/>
        </w:numPr>
        <w:spacing w:after="0" w:line="240" w:lineRule="auto"/>
        <w:rPr>
          <w:rFonts w:eastAsia="Times New Roman" w:cstheme="minorHAnsi"/>
          <w:lang w:eastAsia="es-ES"/>
        </w:rPr>
      </w:pPr>
      <w:r w:rsidRPr="004B1868">
        <w:rPr>
          <w:rFonts w:eastAsia="Times New Roman" w:cstheme="minorHAnsi"/>
          <w:b/>
          <w:bCs/>
          <w:lang w:eastAsia="es-ES"/>
        </w:rPr>
        <w:t>Cgroups (Control Groups):</w:t>
      </w:r>
      <w:r w:rsidRPr="004B1868">
        <w:rPr>
          <w:rFonts w:eastAsia="Times New Roman" w:cstheme="minorHAnsi"/>
          <w:lang w:eastAsia="es-ES"/>
        </w:rPr>
        <w:t xml:space="preserve"> Limitan e imponen cuotas físicas estrictas sobre el consumo de hardware (cuánta memoria RAM, ancho de banda de red y ciclos de CPU puede consumir ese contenedor).</w:t>
      </w:r>
    </w:p>
    <w:p w:rsidR="004B1868" w:rsidRPr="004B1868" w:rsidRDefault="004B1868"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13. ¿Cuáles son las ventajas aparejadas del uso de contenedores?</w:t>
      </w:r>
    </w:p>
    <w:p w:rsidR="004B1868" w:rsidRPr="004B1868" w:rsidRDefault="004B1868" w:rsidP="004B1868">
      <w:pPr>
        <w:pStyle w:val="Prrafodelista"/>
        <w:numPr>
          <w:ilvl w:val="0"/>
          <w:numId w:val="18"/>
        </w:numPr>
        <w:spacing w:after="0" w:line="240" w:lineRule="auto"/>
        <w:rPr>
          <w:rFonts w:eastAsia="Times New Roman" w:cstheme="minorHAnsi"/>
          <w:lang w:eastAsia="es-ES"/>
        </w:rPr>
      </w:pPr>
      <w:r w:rsidRPr="004B1868">
        <w:rPr>
          <w:rFonts w:eastAsia="Times New Roman" w:cstheme="minorHAnsi"/>
          <w:b/>
          <w:bCs/>
          <w:lang w:eastAsia="es-ES"/>
        </w:rPr>
        <w:t>Extrema Ligereza y Eficiencia:</w:t>
      </w:r>
      <w:r w:rsidRPr="004B1868">
        <w:rPr>
          <w:rFonts w:eastAsia="Times New Roman" w:cstheme="minorHAnsi"/>
          <w:lang w:eastAsia="es-ES"/>
        </w:rPr>
        <w:t xml:space="preserve"> Al prescindir de la sobrecarga de cargar un sistema operativo invitado completo en la RAM, los contenedores consumen fracciones mínimas de recursos de hardware en comparación con una MV.</w:t>
      </w:r>
    </w:p>
    <w:p w:rsidR="004B1868" w:rsidRPr="004B1868" w:rsidRDefault="004B1868" w:rsidP="004B1868">
      <w:pPr>
        <w:pStyle w:val="Prrafodelista"/>
        <w:numPr>
          <w:ilvl w:val="0"/>
          <w:numId w:val="18"/>
        </w:numPr>
        <w:spacing w:after="0" w:line="240" w:lineRule="auto"/>
        <w:rPr>
          <w:rFonts w:eastAsia="Times New Roman" w:cstheme="minorHAnsi"/>
          <w:lang w:eastAsia="es-ES"/>
        </w:rPr>
      </w:pPr>
      <w:r w:rsidRPr="004B1868">
        <w:rPr>
          <w:rFonts w:eastAsia="Times New Roman" w:cstheme="minorHAnsi"/>
          <w:b/>
          <w:bCs/>
          <w:lang w:eastAsia="es-ES"/>
        </w:rPr>
        <w:t>Velocidad de Inicialización Cuasi-Instantánea:</w:t>
      </w:r>
      <w:r w:rsidRPr="004B1868">
        <w:rPr>
          <w:rFonts w:eastAsia="Times New Roman" w:cstheme="minorHAnsi"/>
          <w:lang w:eastAsia="es-ES"/>
        </w:rPr>
        <w:t xml:space="preserve"> Un contenedor inicia su ejecución a la velocidad nativa de un proceso ordinario del sistema (fracciones de segundo o milisegundos), ya que el kernel anfitrión ya se encuentra activo y operativo en el hardware.</w:t>
      </w:r>
    </w:p>
    <w:p w:rsidR="004B1868" w:rsidRPr="004B1868" w:rsidRDefault="004B1868" w:rsidP="004B1868">
      <w:pPr>
        <w:pStyle w:val="Prrafodelista"/>
        <w:numPr>
          <w:ilvl w:val="0"/>
          <w:numId w:val="18"/>
        </w:numPr>
        <w:spacing w:after="0" w:line="240" w:lineRule="auto"/>
        <w:rPr>
          <w:rFonts w:eastAsia="Times New Roman" w:cstheme="minorHAnsi"/>
          <w:lang w:eastAsia="es-ES"/>
        </w:rPr>
      </w:pPr>
      <w:r w:rsidRPr="004B1868">
        <w:rPr>
          <w:rFonts w:eastAsia="Times New Roman" w:cstheme="minorHAnsi"/>
          <w:b/>
          <w:bCs/>
          <w:lang w:eastAsia="es-ES"/>
        </w:rPr>
        <w:t>Portabilidad Absoluta e Inmutabilidad:</w:t>
      </w:r>
      <w:r w:rsidRPr="004B1868">
        <w:rPr>
          <w:rFonts w:eastAsia="Times New Roman" w:cstheme="minorHAnsi"/>
          <w:lang w:eastAsia="es-ES"/>
        </w:rPr>
        <w:t xml:space="preserve"> Garantiza el principio de diseño </w:t>
      </w:r>
      <w:r w:rsidRPr="004B1868">
        <w:rPr>
          <w:rFonts w:eastAsia="Times New Roman" w:cstheme="minorHAnsi"/>
          <w:i/>
          <w:iCs/>
          <w:lang w:eastAsia="es-ES"/>
        </w:rPr>
        <w:t>"funciona en mi máquina, funciona en producción"</w:t>
      </w:r>
      <w:r w:rsidRPr="004B1868">
        <w:rPr>
          <w:rFonts w:eastAsia="Times New Roman" w:cstheme="minorHAnsi"/>
          <w:lang w:eastAsia="es-ES"/>
        </w:rPr>
        <w:t>. La imagen del contenedor encapsula todas las dependencias lógicas, permitiendo que corra de forma idéntica en cualquier distribución Linux o plataforma de nube que disponga de un motor de ejecución compatible (como Docker o Podman).</w:t>
      </w:r>
    </w:p>
    <w:p w:rsidR="004B1868" w:rsidRPr="004B1868" w:rsidRDefault="004B1868" w:rsidP="004B1868">
      <w:pPr>
        <w:pStyle w:val="Prrafodelista"/>
        <w:numPr>
          <w:ilvl w:val="0"/>
          <w:numId w:val="18"/>
        </w:numPr>
        <w:spacing w:after="0" w:line="240" w:lineRule="auto"/>
        <w:rPr>
          <w:rFonts w:eastAsia="Times New Roman" w:cstheme="minorHAnsi"/>
          <w:lang w:eastAsia="es-ES"/>
        </w:rPr>
      </w:pPr>
      <w:r w:rsidRPr="004B1868">
        <w:rPr>
          <w:rFonts w:eastAsia="Times New Roman" w:cstheme="minorHAnsi"/>
          <w:b/>
          <w:bCs/>
          <w:lang w:eastAsia="es-ES"/>
        </w:rPr>
        <w:t>Alta Densidad de Despliegue:</w:t>
      </w:r>
      <w:r w:rsidRPr="004B1868">
        <w:rPr>
          <w:rFonts w:eastAsia="Times New Roman" w:cstheme="minorHAnsi"/>
          <w:lang w:eastAsia="es-ES"/>
        </w:rPr>
        <w:t xml:space="preserve"> Permite ejecutar cientos de microservicios aislados de forma concurrente en un único servidor físico donde antes solo se podían levantar unas pocas máquinas virtuales.</w:t>
      </w:r>
    </w:p>
    <w:p w:rsidR="004B1868" w:rsidRPr="004B1868" w:rsidRDefault="004B1868" w:rsidP="00170B0C">
      <w:pPr>
        <w:autoSpaceDE w:val="0"/>
        <w:autoSpaceDN w:val="0"/>
        <w:adjustRightInd w:val="0"/>
        <w:spacing w:after="0" w:line="240" w:lineRule="auto"/>
        <w:rPr>
          <w:rFonts w:cstheme="minorHAnsi"/>
          <w:b/>
        </w:rPr>
      </w:pPr>
    </w:p>
    <w:p w:rsidR="00170B0C" w:rsidRPr="004B1868" w:rsidRDefault="00170B0C" w:rsidP="00170B0C">
      <w:pPr>
        <w:autoSpaceDE w:val="0"/>
        <w:autoSpaceDN w:val="0"/>
        <w:adjustRightInd w:val="0"/>
        <w:spacing w:after="0" w:line="240" w:lineRule="auto"/>
        <w:rPr>
          <w:rFonts w:cstheme="minorHAnsi"/>
          <w:b/>
        </w:rPr>
      </w:pPr>
      <w:r w:rsidRPr="004B1868">
        <w:rPr>
          <w:rFonts w:cstheme="minorHAnsi"/>
          <w:b/>
        </w:rPr>
        <w:t>14. ¿En qué se diferencian los contenedores de las máquinas virtuales?</w:t>
      </w:r>
    </w:p>
    <w:p w:rsidR="004B1868" w:rsidRPr="004B1868" w:rsidRDefault="004B1868" w:rsidP="004B1868">
      <w:pPr>
        <w:spacing w:line="240" w:lineRule="auto"/>
        <w:rPr>
          <w:rFonts w:eastAsia="Times New Roman" w:cstheme="minorHAnsi"/>
          <w:lang w:eastAsia="es-ES"/>
        </w:rPr>
      </w:pPr>
      <w:r w:rsidRPr="004B1868">
        <w:rPr>
          <w:rFonts w:eastAsia="Times New Roman" w:cstheme="minorHAnsi"/>
          <w:lang w:eastAsia="es-ES"/>
        </w:rPr>
        <w:t>La diferencia de diseño arquitectónico es radical y se centra en el nivel donde se produce la capa de abstracción del sistema (Guia-7 - V... p. 2):</w:t>
      </w:r>
    </w:p>
    <w:p w:rsidR="004B1868" w:rsidRPr="004B1868" w:rsidRDefault="004B1868" w:rsidP="00170B0C">
      <w:pPr>
        <w:autoSpaceDE w:val="0"/>
        <w:autoSpaceDN w:val="0"/>
        <w:adjustRightInd w:val="0"/>
        <w:spacing w:after="0" w:line="240" w:lineRule="auto"/>
        <w:rPr>
          <w:rFonts w:cstheme="minorHAnsi"/>
          <w:b/>
        </w:rPr>
      </w:pPr>
      <w:r w:rsidRPr="004B1868">
        <w:rPr>
          <w:rFonts w:cstheme="minorHAnsi"/>
          <w:noProof/>
          <w:lang w:eastAsia="es-ES"/>
        </w:rPr>
        <w:lastRenderedPageBreak/>
        <w:drawing>
          <wp:inline distT="0" distB="0" distL="0" distR="0" wp14:anchorId="39537A34" wp14:editId="0031FB18">
            <wp:extent cx="5400040" cy="3759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759200"/>
                    </a:xfrm>
                    <a:prstGeom prst="rect">
                      <a:avLst/>
                    </a:prstGeom>
                  </pic:spPr>
                </pic:pic>
              </a:graphicData>
            </a:graphic>
          </wp:inline>
        </w:drawing>
      </w:r>
    </w:p>
    <w:p w:rsidR="004B1868" w:rsidRDefault="004B1868" w:rsidP="00170B0C">
      <w:pPr>
        <w:autoSpaceDE w:val="0"/>
        <w:autoSpaceDN w:val="0"/>
        <w:adjustRightInd w:val="0"/>
        <w:spacing w:after="0" w:line="240" w:lineRule="auto"/>
        <w:rPr>
          <w:rFonts w:cstheme="minorHAnsi"/>
          <w:b/>
        </w:rPr>
      </w:pPr>
    </w:p>
    <w:p w:rsidR="004B1868" w:rsidRDefault="004B1868" w:rsidP="00170B0C">
      <w:pPr>
        <w:autoSpaceDE w:val="0"/>
        <w:autoSpaceDN w:val="0"/>
        <w:adjustRightInd w:val="0"/>
        <w:spacing w:after="0" w:line="240" w:lineRule="auto"/>
        <w:rPr>
          <w:rFonts w:cstheme="minorHAnsi"/>
          <w:b/>
        </w:rPr>
      </w:pPr>
    </w:p>
    <w:p w:rsidR="004B1868" w:rsidRPr="004B1868" w:rsidRDefault="004B1868" w:rsidP="00170B0C">
      <w:pPr>
        <w:autoSpaceDE w:val="0"/>
        <w:autoSpaceDN w:val="0"/>
        <w:adjustRightInd w:val="0"/>
        <w:spacing w:after="0" w:line="240" w:lineRule="auto"/>
        <w:rPr>
          <w:rFonts w:cstheme="minorHAnsi"/>
          <w:b/>
        </w:rPr>
      </w:pPr>
    </w:p>
    <w:p w:rsidR="00D94A50" w:rsidRPr="004B1868" w:rsidRDefault="00170B0C" w:rsidP="00170B0C">
      <w:pPr>
        <w:rPr>
          <w:rFonts w:cstheme="minorHAnsi"/>
          <w:b/>
        </w:rPr>
      </w:pPr>
      <w:r w:rsidRPr="004B1868">
        <w:rPr>
          <w:rFonts w:cstheme="minorHAnsi"/>
          <w:b/>
        </w:rPr>
        <w:t>15. ¿Los contenedores reemplazan por completo a las máquinas virtuales?</w:t>
      </w:r>
    </w:p>
    <w:p w:rsidR="004B1868" w:rsidRPr="004B1868" w:rsidRDefault="004B1868" w:rsidP="004B1868">
      <w:pPr>
        <w:spacing w:line="240" w:lineRule="auto"/>
        <w:rPr>
          <w:rFonts w:eastAsia="Times New Roman" w:cstheme="minorHAnsi"/>
          <w:lang w:eastAsia="es-ES"/>
        </w:rPr>
      </w:pPr>
      <w:r w:rsidRPr="004B1868">
        <w:rPr>
          <w:rFonts w:eastAsia="Times New Roman" w:cstheme="minorHAnsi"/>
          <w:b/>
          <w:bCs/>
          <w:lang w:eastAsia="es-ES"/>
        </w:rPr>
        <w:t>No, no las reemplazan; actúan como tecnologías complementarias en la arquitectura informática moderna</w:t>
      </w:r>
      <w:r w:rsidRPr="004B1868">
        <w:rPr>
          <w:rFonts w:eastAsia="Times New Roman" w:cstheme="minorHAnsi"/>
          <w:lang w:eastAsia="es-ES"/>
        </w:rPr>
        <w:t xml:space="preserve"> (Guia-7 - V... p. 2). Los contenedores ofrecen portabilidad y velocidad para el despliegue de aplicaciones y microservicios, pero dependen críticamente de compartir el kernel del host.</w:t>
      </w:r>
    </w:p>
    <w:p w:rsidR="004B1868" w:rsidRPr="004B1868" w:rsidRDefault="004B1868" w:rsidP="004B1868">
      <w:pPr>
        <w:spacing w:line="240" w:lineRule="auto"/>
        <w:rPr>
          <w:rFonts w:eastAsia="Times New Roman" w:cstheme="minorHAnsi"/>
          <w:lang w:eastAsia="es-ES"/>
        </w:rPr>
      </w:pPr>
      <w:r w:rsidRPr="004B1868">
        <w:rPr>
          <w:rFonts w:eastAsia="Times New Roman" w:cstheme="minorHAnsi"/>
          <w:lang w:eastAsia="es-ES"/>
        </w:rPr>
        <w:t>Las Máquinas Virtuales siguen siendo indispensables en los centros de datos por tres motivos clave:</w:t>
      </w:r>
    </w:p>
    <w:p w:rsidR="004B1868" w:rsidRPr="004B1868" w:rsidRDefault="004B1868" w:rsidP="004B1868">
      <w:pPr>
        <w:numPr>
          <w:ilvl w:val="0"/>
          <w:numId w:val="17"/>
        </w:numPr>
        <w:spacing w:after="0" w:line="240" w:lineRule="auto"/>
        <w:rPr>
          <w:rFonts w:eastAsia="Times New Roman" w:cstheme="minorHAnsi"/>
          <w:lang w:eastAsia="es-ES"/>
        </w:rPr>
      </w:pPr>
      <w:r w:rsidRPr="004B1868">
        <w:rPr>
          <w:rFonts w:eastAsia="Times New Roman" w:cstheme="minorHAnsi"/>
          <w:b/>
          <w:bCs/>
          <w:lang w:eastAsia="es-ES"/>
        </w:rPr>
        <w:t>Aislamiento Multitenant de Alta Seguridad:</w:t>
      </w:r>
      <w:r w:rsidRPr="004B1868">
        <w:rPr>
          <w:rFonts w:eastAsia="Times New Roman" w:cstheme="minorHAnsi"/>
          <w:lang w:eastAsia="es-ES"/>
        </w:rPr>
        <w:t xml:space="preserve"> En nubes públicas, ejecutar contenedores de diferentes clientes dentro de una misma máquina virtual compartida representaría un riesgo crítico si se detectara una vulnerabilidad de escape de contenedor (</w:t>
      </w:r>
      <w:r w:rsidRPr="004B1868">
        <w:rPr>
          <w:rFonts w:eastAsia="Times New Roman" w:cstheme="minorHAnsi"/>
          <w:i/>
          <w:iCs/>
          <w:lang w:eastAsia="es-ES"/>
        </w:rPr>
        <w:t>Container Breakout</w:t>
      </w:r>
      <w:r w:rsidRPr="004B1868">
        <w:rPr>
          <w:rFonts w:eastAsia="Times New Roman" w:cstheme="minorHAnsi"/>
          <w:lang w:eastAsia="es-ES"/>
        </w:rPr>
        <w:t>) en el kernel del host. El aislamiento por hardware del hypervisor ofrece una frontera de seguridad mucho más robusta.</w:t>
      </w:r>
    </w:p>
    <w:p w:rsidR="004B1868" w:rsidRPr="004B1868" w:rsidRDefault="004B1868" w:rsidP="004B1868">
      <w:pPr>
        <w:numPr>
          <w:ilvl w:val="0"/>
          <w:numId w:val="17"/>
        </w:numPr>
        <w:spacing w:after="0" w:line="240" w:lineRule="auto"/>
        <w:rPr>
          <w:rFonts w:eastAsia="Times New Roman" w:cstheme="minorHAnsi"/>
          <w:lang w:eastAsia="es-ES"/>
        </w:rPr>
      </w:pPr>
      <w:r w:rsidRPr="004B1868">
        <w:rPr>
          <w:rFonts w:eastAsia="Times New Roman" w:cstheme="minorHAnsi"/>
          <w:b/>
          <w:bCs/>
          <w:lang w:eastAsia="es-ES"/>
        </w:rPr>
        <w:t>Heterogeneidad de Sistemas Operativos:</w:t>
      </w:r>
      <w:r w:rsidRPr="004B1868">
        <w:rPr>
          <w:rFonts w:eastAsia="Times New Roman" w:cstheme="minorHAnsi"/>
          <w:lang w:eastAsia="es-ES"/>
        </w:rPr>
        <w:t xml:space="preserve"> Si se necesita ejecutar una aplicación diseñada para Microsoft Windows Server sobre un clúster físico que corre bajo Red Hat Enterprise Linux, es obligatorio recurrir a una máquina virtual, ya que los contenedores no pueden traducir llamadas al sistema entre arquitecturas de kernel diferentes.</w:t>
      </w:r>
    </w:p>
    <w:p w:rsidR="004B1868" w:rsidRPr="004B1868" w:rsidRDefault="004B1868" w:rsidP="004B1868">
      <w:pPr>
        <w:numPr>
          <w:ilvl w:val="0"/>
          <w:numId w:val="17"/>
        </w:numPr>
        <w:spacing w:after="0" w:line="240" w:lineRule="auto"/>
        <w:rPr>
          <w:rFonts w:eastAsia="Times New Roman" w:cstheme="minorHAnsi"/>
          <w:lang w:eastAsia="es-ES"/>
        </w:rPr>
      </w:pPr>
      <w:r w:rsidRPr="004B1868">
        <w:rPr>
          <w:rFonts w:eastAsia="Times New Roman" w:cstheme="minorHAnsi"/>
          <w:b/>
          <w:bCs/>
          <w:lang w:eastAsia="es-ES"/>
        </w:rPr>
        <w:t>Soporte de Infraestructura Base:</w:t>
      </w:r>
      <w:r w:rsidRPr="004B1868">
        <w:rPr>
          <w:rFonts w:eastAsia="Times New Roman" w:cstheme="minorHAnsi"/>
          <w:lang w:eastAsia="es-ES"/>
        </w:rPr>
        <w:t xml:space="preserve"> Las grandes plataformas de orquestación de contenedores (como Kubernetes) se despliegan físicamente sobre nodos que, internamente, son máquinas virtuales provistas por un entorno IaaS para optimizar la flexibilidad del hardware subyacente.</w:t>
      </w:r>
    </w:p>
    <w:p w:rsidR="004B1868" w:rsidRPr="004B1868" w:rsidRDefault="004B1868" w:rsidP="004B1868">
      <w:pPr>
        <w:spacing w:before="480" w:after="480" w:line="240" w:lineRule="auto"/>
        <w:rPr>
          <w:rFonts w:eastAsia="Times New Roman" w:cstheme="minorHAnsi"/>
          <w:lang w:eastAsia="es-ES"/>
        </w:rPr>
      </w:pPr>
    </w:p>
    <w:p w:rsidR="004B1868" w:rsidRPr="004B1868" w:rsidRDefault="004B1868" w:rsidP="00170B0C">
      <w:pPr>
        <w:rPr>
          <w:rFonts w:cstheme="minorHAnsi"/>
          <w:b/>
        </w:rPr>
      </w:pPr>
    </w:p>
    <w:sectPr w:rsidR="004B1868" w:rsidRPr="004B1868">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3F58" w:rsidRDefault="00493F58" w:rsidP="004B1868">
      <w:pPr>
        <w:spacing w:after="0" w:line="240" w:lineRule="auto"/>
      </w:pPr>
      <w:r>
        <w:separator/>
      </w:r>
    </w:p>
  </w:endnote>
  <w:endnote w:type="continuationSeparator" w:id="0">
    <w:p w:rsidR="00493F58" w:rsidRDefault="00493F58" w:rsidP="004B1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868" w:rsidRDefault="004B1868">
    <w:pPr>
      <w:pStyle w:val="Piedepgina"/>
      <w:jc w:val="center"/>
      <w:rPr>
        <w:caps/>
        <w:color w:val="5B9BD5" w:themeColor="accent1"/>
      </w:rPr>
    </w:pPr>
    <w:r>
      <w:rPr>
        <w:caps/>
        <w:color w:val="5B9BD5" w:themeColor="accent1"/>
      </w:rPr>
      <w:fldChar w:fldCharType="begin"/>
    </w:r>
    <w:r>
      <w:rPr>
        <w:caps/>
        <w:color w:val="5B9BD5" w:themeColor="accent1"/>
      </w:rPr>
      <w:instrText>PAGE   \* MERGEFORMAT</w:instrText>
    </w:r>
    <w:r>
      <w:rPr>
        <w:caps/>
        <w:color w:val="5B9BD5" w:themeColor="accent1"/>
      </w:rPr>
      <w:fldChar w:fldCharType="separate"/>
    </w:r>
    <w:r w:rsidR="009558F0">
      <w:rPr>
        <w:caps/>
        <w:noProof/>
        <w:color w:val="5B9BD5" w:themeColor="accent1"/>
      </w:rPr>
      <w:t>2</w:t>
    </w:r>
    <w:r>
      <w:rPr>
        <w:caps/>
        <w:color w:val="5B9BD5" w:themeColor="accent1"/>
      </w:rPr>
      <w:fldChar w:fldCharType="end"/>
    </w:r>
  </w:p>
  <w:p w:rsidR="004B1868" w:rsidRDefault="004B186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3F58" w:rsidRDefault="00493F58" w:rsidP="004B1868">
      <w:pPr>
        <w:spacing w:after="0" w:line="240" w:lineRule="auto"/>
      </w:pPr>
      <w:r>
        <w:separator/>
      </w:r>
    </w:p>
  </w:footnote>
  <w:footnote w:type="continuationSeparator" w:id="0">
    <w:p w:rsidR="00493F58" w:rsidRDefault="00493F58" w:rsidP="004B1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1868" w:rsidRPr="004B1868" w:rsidRDefault="004B1868" w:rsidP="004B1868">
    <w:pPr>
      <w:pStyle w:val="Encabezado"/>
      <w:jc w:val="center"/>
      <w:rPr>
        <w:b/>
      </w:rPr>
    </w:pPr>
    <w:r w:rsidRPr="004B1868">
      <w:rPr>
        <w:b/>
      </w:rPr>
      <w:t>Virtualización</w:t>
    </w:r>
  </w:p>
  <w:p w:rsidR="004B1868" w:rsidRDefault="004B186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1C46DD"/>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3776DE0"/>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666D1"/>
    <w:multiLevelType w:val="hybridMultilevel"/>
    <w:tmpl w:val="763A27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3A1290"/>
    <w:multiLevelType w:val="hybridMultilevel"/>
    <w:tmpl w:val="BB507EF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229C7650"/>
    <w:multiLevelType w:val="hybridMultilevel"/>
    <w:tmpl w:val="6E66DB3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5" w15:restartNumberingAfterBreak="0">
    <w:nsid w:val="27227F59"/>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21F1"/>
    <w:multiLevelType w:val="multilevel"/>
    <w:tmpl w:val="0C0A001D"/>
    <w:lvl w:ilvl="0">
      <w:start w:val="1"/>
      <w:numFmt w:val="decimal"/>
      <w:lvlText w:val="%1)"/>
      <w:lvlJc w:val="left"/>
      <w:pPr>
        <w:ind w:left="360" w:hanging="360"/>
      </w:pPr>
      <w:rPr>
        <w:rFonts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7" w15:restartNumberingAfterBreak="0">
    <w:nsid w:val="31EE45D1"/>
    <w:multiLevelType w:val="hybridMultilevel"/>
    <w:tmpl w:val="4DAAC9A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3D582C4C"/>
    <w:multiLevelType w:val="hybridMultilevel"/>
    <w:tmpl w:val="739EFC98"/>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20C7BF2"/>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D5BF6"/>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590FAC"/>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40B21"/>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AC5AE9"/>
    <w:multiLevelType w:val="multilevel"/>
    <w:tmpl w:val="D416D418"/>
    <w:lvl w:ilvl="0">
      <w:start w:val="1"/>
      <w:numFmt w:val="bullet"/>
      <w:lvlText w:val=""/>
      <w:lvlJc w:val="left"/>
      <w:pPr>
        <w:ind w:left="360" w:hanging="360"/>
      </w:pPr>
      <w:rPr>
        <w:rFonts w:ascii="Symbol" w:hAnsi="Symbol" w:hint="default"/>
        <w:sz w:val="20"/>
      </w:rPr>
    </w:lvl>
    <w:lvl w:ilvl="1">
      <w:start w:val="1"/>
      <w:numFmt w:val="lowerLetter"/>
      <w:lvlText w:val="%2)"/>
      <w:lvlJc w:val="left"/>
      <w:pPr>
        <w:ind w:left="720" w:hanging="360"/>
      </w:pPr>
      <w:rPr>
        <w:rFonts w:hint="default"/>
        <w:sz w:val="20"/>
      </w:rPr>
    </w:lvl>
    <w:lvl w:ilvl="2">
      <w:start w:val="1"/>
      <w:numFmt w:val="lowerRoman"/>
      <w:lvlText w:val="%3)"/>
      <w:lvlJc w:val="left"/>
      <w:pPr>
        <w:ind w:left="1080" w:hanging="360"/>
      </w:pPr>
      <w:rPr>
        <w:rFonts w:hint="default"/>
        <w:sz w:val="20"/>
      </w:rPr>
    </w:lvl>
    <w:lvl w:ilvl="3">
      <w:start w:val="1"/>
      <w:numFmt w:val="decimal"/>
      <w:lvlText w:val="(%4)"/>
      <w:lvlJc w:val="left"/>
      <w:pPr>
        <w:ind w:left="1440" w:hanging="360"/>
      </w:pPr>
      <w:rPr>
        <w:rFonts w:hint="default"/>
        <w:sz w:val="20"/>
      </w:rPr>
    </w:lvl>
    <w:lvl w:ilvl="4">
      <w:start w:val="1"/>
      <w:numFmt w:val="lowerLetter"/>
      <w:lvlText w:val="(%5)"/>
      <w:lvlJc w:val="left"/>
      <w:pPr>
        <w:ind w:left="1800" w:hanging="360"/>
      </w:pPr>
      <w:rPr>
        <w:rFonts w:hint="default"/>
        <w:sz w:val="20"/>
      </w:rPr>
    </w:lvl>
    <w:lvl w:ilvl="5">
      <w:start w:val="1"/>
      <w:numFmt w:val="lowerRoman"/>
      <w:lvlText w:val="(%6)"/>
      <w:lvlJc w:val="left"/>
      <w:pPr>
        <w:ind w:left="2160" w:hanging="360"/>
      </w:pPr>
      <w:rPr>
        <w:rFonts w:hint="default"/>
        <w:sz w:val="20"/>
      </w:rPr>
    </w:lvl>
    <w:lvl w:ilvl="6">
      <w:start w:val="1"/>
      <w:numFmt w:val="decimal"/>
      <w:lvlText w:val="%7."/>
      <w:lvlJc w:val="left"/>
      <w:pPr>
        <w:ind w:left="2520" w:hanging="360"/>
      </w:pPr>
      <w:rPr>
        <w:rFonts w:hint="default"/>
        <w:sz w:val="20"/>
      </w:rPr>
    </w:lvl>
    <w:lvl w:ilvl="7">
      <w:start w:val="1"/>
      <w:numFmt w:val="lowerLetter"/>
      <w:lvlText w:val="%8."/>
      <w:lvlJc w:val="left"/>
      <w:pPr>
        <w:ind w:left="2880" w:hanging="360"/>
      </w:pPr>
      <w:rPr>
        <w:rFonts w:hint="default"/>
        <w:sz w:val="20"/>
      </w:rPr>
    </w:lvl>
    <w:lvl w:ilvl="8">
      <w:start w:val="1"/>
      <w:numFmt w:val="lowerRoman"/>
      <w:lvlText w:val="%9."/>
      <w:lvlJc w:val="left"/>
      <w:pPr>
        <w:ind w:left="3240" w:hanging="360"/>
      </w:pPr>
      <w:rPr>
        <w:rFonts w:hint="default"/>
        <w:sz w:val="20"/>
      </w:rPr>
    </w:lvl>
  </w:abstractNum>
  <w:abstractNum w:abstractNumId="14" w15:restartNumberingAfterBreak="0">
    <w:nsid w:val="69861406"/>
    <w:multiLevelType w:val="multilevel"/>
    <w:tmpl w:val="C600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FC2ED9"/>
    <w:multiLevelType w:val="hybridMultilevel"/>
    <w:tmpl w:val="DAF0D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6A559E3"/>
    <w:multiLevelType w:val="hybridMultilevel"/>
    <w:tmpl w:val="3C8C10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4E0F06"/>
    <w:multiLevelType w:val="multilevel"/>
    <w:tmpl w:val="3D5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90D90"/>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5"/>
  </w:num>
  <w:num w:numId="2">
    <w:abstractNumId w:val="8"/>
  </w:num>
  <w:num w:numId="3">
    <w:abstractNumId w:val="17"/>
  </w:num>
  <w:num w:numId="4">
    <w:abstractNumId w:val="7"/>
  </w:num>
  <w:num w:numId="5">
    <w:abstractNumId w:val="3"/>
  </w:num>
  <w:num w:numId="6">
    <w:abstractNumId w:val="4"/>
  </w:num>
  <w:num w:numId="7">
    <w:abstractNumId w:val="2"/>
  </w:num>
  <w:num w:numId="8">
    <w:abstractNumId w:val="16"/>
  </w:num>
  <w:num w:numId="9">
    <w:abstractNumId w:val="11"/>
  </w:num>
  <w:num w:numId="10">
    <w:abstractNumId w:val="18"/>
  </w:num>
  <w:num w:numId="11">
    <w:abstractNumId w:val="0"/>
  </w:num>
  <w:num w:numId="12">
    <w:abstractNumId w:val="6"/>
  </w:num>
  <w:num w:numId="13">
    <w:abstractNumId w:val="14"/>
  </w:num>
  <w:num w:numId="14">
    <w:abstractNumId w:val="10"/>
  </w:num>
  <w:num w:numId="15">
    <w:abstractNumId w:val="12"/>
  </w:num>
  <w:num w:numId="16">
    <w:abstractNumId w:val="5"/>
  </w:num>
  <w:num w:numId="17">
    <w:abstractNumId w:val="1"/>
  </w:num>
  <w:num w:numId="18">
    <w:abstractNumId w:val="9"/>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0B0C"/>
    <w:rsid w:val="00116487"/>
    <w:rsid w:val="00170B0C"/>
    <w:rsid w:val="00493F58"/>
    <w:rsid w:val="004B1868"/>
    <w:rsid w:val="009558F0"/>
    <w:rsid w:val="00D94A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B17FE"/>
  <w15:chartTrackingRefBased/>
  <w15:docId w15:val="{8D9397F0-7089-4A5C-B653-DEDACB634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70B0C"/>
    <w:pPr>
      <w:ind w:left="720"/>
      <w:contextualSpacing/>
    </w:pPr>
  </w:style>
  <w:style w:type="character" w:styleId="Textoennegrita">
    <w:name w:val="Strong"/>
    <w:basedOn w:val="Fuentedeprrafopredeter"/>
    <w:uiPriority w:val="22"/>
    <w:qFormat/>
    <w:rsid w:val="00170B0C"/>
    <w:rPr>
      <w:b/>
      <w:bCs/>
    </w:rPr>
  </w:style>
  <w:style w:type="character" w:styleId="nfasis">
    <w:name w:val="Emphasis"/>
    <w:basedOn w:val="Fuentedeprrafopredeter"/>
    <w:uiPriority w:val="20"/>
    <w:qFormat/>
    <w:rsid w:val="00170B0C"/>
    <w:rPr>
      <w:i/>
      <w:iCs/>
    </w:rPr>
  </w:style>
  <w:style w:type="character" w:customStyle="1" w:styleId="t286pc">
    <w:name w:val="t286pc"/>
    <w:basedOn w:val="Fuentedeprrafopredeter"/>
    <w:rsid w:val="00170B0C"/>
  </w:style>
  <w:style w:type="character" w:styleId="CdigoHTML">
    <w:name w:val="HTML Code"/>
    <w:basedOn w:val="Fuentedeprrafopredeter"/>
    <w:uiPriority w:val="99"/>
    <w:semiHidden/>
    <w:unhideWhenUsed/>
    <w:rsid w:val="00170B0C"/>
    <w:rPr>
      <w:rFonts w:ascii="Courier New" w:eastAsia="Times New Roman" w:hAnsi="Courier New" w:cs="Courier New"/>
      <w:sz w:val="20"/>
      <w:szCs w:val="20"/>
    </w:rPr>
  </w:style>
  <w:style w:type="paragraph" w:styleId="Encabezado">
    <w:name w:val="header"/>
    <w:basedOn w:val="Normal"/>
    <w:link w:val="EncabezadoCar"/>
    <w:uiPriority w:val="99"/>
    <w:unhideWhenUsed/>
    <w:rsid w:val="004B186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B1868"/>
  </w:style>
  <w:style w:type="paragraph" w:styleId="Piedepgina">
    <w:name w:val="footer"/>
    <w:basedOn w:val="Normal"/>
    <w:link w:val="PiedepginaCar"/>
    <w:uiPriority w:val="99"/>
    <w:unhideWhenUsed/>
    <w:rsid w:val="004B186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B18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148469">
      <w:bodyDiv w:val="1"/>
      <w:marLeft w:val="0"/>
      <w:marRight w:val="0"/>
      <w:marTop w:val="0"/>
      <w:marBottom w:val="0"/>
      <w:divBdr>
        <w:top w:val="none" w:sz="0" w:space="0" w:color="auto"/>
        <w:left w:val="none" w:sz="0" w:space="0" w:color="auto"/>
        <w:bottom w:val="none" w:sz="0" w:space="0" w:color="auto"/>
        <w:right w:val="none" w:sz="0" w:space="0" w:color="auto"/>
      </w:divBdr>
      <w:divsChild>
        <w:div w:id="771819049">
          <w:marLeft w:val="0"/>
          <w:marRight w:val="0"/>
          <w:marTop w:val="180"/>
          <w:marBottom w:val="240"/>
          <w:divBdr>
            <w:top w:val="none" w:sz="0" w:space="0" w:color="auto"/>
            <w:left w:val="none" w:sz="0" w:space="0" w:color="auto"/>
            <w:bottom w:val="none" w:sz="0" w:space="0" w:color="auto"/>
            <w:right w:val="none" w:sz="0" w:space="0" w:color="auto"/>
          </w:divBdr>
        </w:div>
        <w:div w:id="1856646958">
          <w:marLeft w:val="0"/>
          <w:marRight w:val="0"/>
          <w:marTop w:val="180"/>
          <w:marBottom w:val="240"/>
          <w:divBdr>
            <w:top w:val="none" w:sz="0" w:space="0" w:color="auto"/>
            <w:left w:val="none" w:sz="0" w:space="0" w:color="auto"/>
            <w:bottom w:val="none" w:sz="0" w:space="0" w:color="auto"/>
            <w:right w:val="none" w:sz="0" w:space="0" w:color="auto"/>
          </w:divBdr>
        </w:div>
      </w:divsChild>
    </w:div>
    <w:div w:id="428158633">
      <w:bodyDiv w:val="1"/>
      <w:marLeft w:val="0"/>
      <w:marRight w:val="0"/>
      <w:marTop w:val="0"/>
      <w:marBottom w:val="0"/>
      <w:divBdr>
        <w:top w:val="none" w:sz="0" w:space="0" w:color="auto"/>
        <w:left w:val="none" w:sz="0" w:space="0" w:color="auto"/>
        <w:bottom w:val="none" w:sz="0" w:space="0" w:color="auto"/>
        <w:right w:val="none" w:sz="0" w:space="0" w:color="auto"/>
      </w:divBdr>
    </w:div>
    <w:div w:id="492570788">
      <w:bodyDiv w:val="1"/>
      <w:marLeft w:val="0"/>
      <w:marRight w:val="0"/>
      <w:marTop w:val="0"/>
      <w:marBottom w:val="0"/>
      <w:divBdr>
        <w:top w:val="none" w:sz="0" w:space="0" w:color="auto"/>
        <w:left w:val="none" w:sz="0" w:space="0" w:color="auto"/>
        <w:bottom w:val="none" w:sz="0" w:space="0" w:color="auto"/>
        <w:right w:val="none" w:sz="0" w:space="0" w:color="auto"/>
      </w:divBdr>
      <w:divsChild>
        <w:div w:id="103499906">
          <w:marLeft w:val="0"/>
          <w:marRight w:val="0"/>
          <w:marTop w:val="180"/>
          <w:marBottom w:val="240"/>
          <w:divBdr>
            <w:top w:val="none" w:sz="0" w:space="0" w:color="auto"/>
            <w:left w:val="none" w:sz="0" w:space="0" w:color="auto"/>
            <w:bottom w:val="none" w:sz="0" w:space="0" w:color="auto"/>
            <w:right w:val="none" w:sz="0" w:space="0" w:color="auto"/>
          </w:divBdr>
        </w:div>
        <w:div w:id="1091388220">
          <w:marLeft w:val="0"/>
          <w:marRight w:val="0"/>
          <w:marTop w:val="180"/>
          <w:marBottom w:val="240"/>
          <w:divBdr>
            <w:top w:val="none" w:sz="0" w:space="0" w:color="auto"/>
            <w:left w:val="none" w:sz="0" w:space="0" w:color="auto"/>
            <w:bottom w:val="none" w:sz="0" w:space="0" w:color="auto"/>
            <w:right w:val="none" w:sz="0" w:space="0" w:color="auto"/>
          </w:divBdr>
        </w:div>
      </w:divsChild>
    </w:div>
    <w:div w:id="560754316">
      <w:bodyDiv w:val="1"/>
      <w:marLeft w:val="0"/>
      <w:marRight w:val="0"/>
      <w:marTop w:val="0"/>
      <w:marBottom w:val="0"/>
      <w:divBdr>
        <w:top w:val="none" w:sz="0" w:space="0" w:color="auto"/>
        <w:left w:val="none" w:sz="0" w:space="0" w:color="auto"/>
        <w:bottom w:val="none" w:sz="0" w:space="0" w:color="auto"/>
        <w:right w:val="none" w:sz="0" w:space="0" w:color="auto"/>
      </w:divBdr>
      <w:divsChild>
        <w:div w:id="635838457">
          <w:marLeft w:val="0"/>
          <w:marRight w:val="0"/>
          <w:marTop w:val="180"/>
          <w:marBottom w:val="240"/>
          <w:divBdr>
            <w:top w:val="none" w:sz="0" w:space="0" w:color="auto"/>
            <w:left w:val="none" w:sz="0" w:space="0" w:color="auto"/>
            <w:bottom w:val="none" w:sz="0" w:space="0" w:color="auto"/>
            <w:right w:val="none" w:sz="0" w:space="0" w:color="auto"/>
          </w:divBdr>
        </w:div>
      </w:divsChild>
    </w:div>
    <w:div w:id="588002510">
      <w:bodyDiv w:val="1"/>
      <w:marLeft w:val="0"/>
      <w:marRight w:val="0"/>
      <w:marTop w:val="0"/>
      <w:marBottom w:val="0"/>
      <w:divBdr>
        <w:top w:val="none" w:sz="0" w:space="0" w:color="auto"/>
        <w:left w:val="none" w:sz="0" w:space="0" w:color="auto"/>
        <w:bottom w:val="none" w:sz="0" w:space="0" w:color="auto"/>
        <w:right w:val="none" w:sz="0" w:space="0" w:color="auto"/>
      </w:divBdr>
    </w:div>
    <w:div w:id="1024289282">
      <w:bodyDiv w:val="1"/>
      <w:marLeft w:val="0"/>
      <w:marRight w:val="0"/>
      <w:marTop w:val="0"/>
      <w:marBottom w:val="0"/>
      <w:divBdr>
        <w:top w:val="none" w:sz="0" w:space="0" w:color="auto"/>
        <w:left w:val="none" w:sz="0" w:space="0" w:color="auto"/>
        <w:bottom w:val="none" w:sz="0" w:space="0" w:color="auto"/>
        <w:right w:val="none" w:sz="0" w:space="0" w:color="auto"/>
      </w:divBdr>
    </w:div>
    <w:div w:id="1227376535">
      <w:bodyDiv w:val="1"/>
      <w:marLeft w:val="0"/>
      <w:marRight w:val="0"/>
      <w:marTop w:val="0"/>
      <w:marBottom w:val="0"/>
      <w:divBdr>
        <w:top w:val="none" w:sz="0" w:space="0" w:color="auto"/>
        <w:left w:val="none" w:sz="0" w:space="0" w:color="auto"/>
        <w:bottom w:val="none" w:sz="0" w:space="0" w:color="auto"/>
        <w:right w:val="none" w:sz="0" w:space="0" w:color="auto"/>
      </w:divBdr>
    </w:div>
    <w:div w:id="1307781105">
      <w:bodyDiv w:val="1"/>
      <w:marLeft w:val="0"/>
      <w:marRight w:val="0"/>
      <w:marTop w:val="0"/>
      <w:marBottom w:val="0"/>
      <w:divBdr>
        <w:top w:val="none" w:sz="0" w:space="0" w:color="auto"/>
        <w:left w:val="none" w:sz="0" w:space="0" w:color="auto"/>
        <w:bottom w:val="none" w:sz="0" w:space="0" w:color="auto"/>
        <w:right w:val="none" w:sz="0" w:space="0" w:color="auto"/>
      </w:divBdr>
    </w:div>
    <w:div w:id="1499885232">
      <w:bodyDiv w:val="1"/>
      <w:marLeft w:val="0"/>
      <w:marRight w:val="0"/>
      <w:marTop w:val="0"/>
      <w:marBottom w:val="0"/>
      <w:divBdr>
        <w:top w:val="none" w:sz="0" w:space="0" w:color="auto"/>
        <w:left w:val="none" w:sz="0" w:space="0" w:color="auto"/>
        <w:bottom w:val="none" w:sz="0" w:space="0" w:color="auto"/>
        <w:right w:val="none" w:sz="0" w:space="0" w:color="auto"/>
      </w:divBdr>
    </w:div>
    <w:div w:id="1678577360">
      <w:bodyDiv w:val="1"/>
      <w:marLeft w:val="0"/>
      <w:marRight w:val="0"/>
      <w:marTop w:val="0"/>
      <w:marBottom w:val="0"/>
      <w:divBdr>
        <w:top w:val="none" w:sz="0" w:space="0" w:color="auto"/>
        <w:left w:val="none" w:sz="0" w:space="0" w:color="auto"/>
        <w:bottom w:val="none" w:sz="0" w:space="0" w:color="auto"/>
        <w:right w:val="none" w:sz="0" w:space="0" w:color="auto"/>
      </w:divBdr>
      <w:divsChild>
        <w:div w:id="1504931754">
          <w:marLeft w:val="0"/>
          <w:marRight w:val="0"/>
          <w:marTop w:val="180"/>
          <w:marBottom w:val="240"/>
          <w:divBdr>
            <w:top w:val="none" w:sz="0" w:space="0" w:color="auto"/>
            <w:left w:val="none" w:sz="0" w:space="0" w:color="auto"/>
            <w:bottom w:val="none" w:sz="0" w:space="0" w:color="auto"/>
            <w:right w:val="none" w:sz="0" w:space="0" w:color="auto"/>
          </w:divBdr>
        </w:div>
      </w:divsChild>
    </w:div>
    <w:div w:id="1767113941">
      <w:bodyDiv w:val="1"/>
      <w:marLeft w:val="0"/>
      <w:marRight w:val="0"/>
      <w:marTop w:val="0"/>
      <w:marBottom w:val="0"/>
      <w:divBdr>
        <w:top w:val="none" w:sz="0" w:space="0" w:color="auto"/>
        <w:left w:val="none" w:sz="0" w:space="0" w:color="auto"/>
        <w:bottom w:val="none" w:sz="0" w:space="0" w:color="auto"/>
        <w:right w:val="none" w:sz="0" w:space="0" w:color="auto"/>
      </w:divBdr>
    </w:div>
    <w:div w:id="1895894062">
      <w:bodyDiv w:val="1"/>
      <w:marLeft w:val="0"/>
      <w:marRight w:val="0"/>
      <w:marTop w:val="0"/>
      <w:marBottom w:val="0"/>
      <w:divBdr>
        <w:top w:val="none" w:sz="0" w:space="0" w:color="auto"/>
        <w:left w:val="none" w:sz="0" w:space="0" w:color="auto"/>
        <w:bottom w:val="none" w:sz="0" w:space="0" w:color="auto"/>
        <w:right w:val="none" w:sz="0" w:space="0" w:color="auto"/>
      </w:divBdr>
      <w:divsChild>
        <w:div w:id="1852647273">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2086</Words>
  <Characters>11474</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2026-06-19T14:52:00Z</dcterms:created>
  <dcterms:modified xsi:type="dcterms:W3CDTF">2026-06-19T14:52:00Z</dcterms:modified>
</cp:coreProperties>
</file>