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media/image1.png" ContentType="image/png"/>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5.xml.rels" ContentType="application/vnd.openxmlformats-package.relationships+xml"/>
  <Override PartName="/word/_rels/header6.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2.xml" ContentType="application/vnd.openxmlformats-officedocument.customXmlProperties+xml"/>
  <Override PartName="/customXml/item3.xml" ContentType="application/xml"/>
  <Override PartName="/customXml/item5.xml" ContentType="application/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eastAsia="Arial" w:cs="Arial"/>
          <w:color w:val="000000"/>
          <w:sz w:val="28"/>
          <w:szCs w:val="28"/>
        </w:rPr>
      </w:pPr>
      <w:r>
        <w:rPr/>
        <w:drawing>
          <wp:inline distT="0" distB="0" distL="0" distR="0">
            <wp:extent cx="1748155" cy="46545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1748155" cy="465455"/>
                    </a:xfrm>
                    <a:prstGeom prst="rect">
                      <a:avLst/>
                    </a:prstGeom>
                    <a:noFill/>
                  </pic:spPr>
                </pic:pic>
              </a:graphicData>
            </a:graphic>
          </wp:inline>
        </w:drawing>
      </w:r>
    </w:p>
    <w:p>
      <w:pPr>
        <w:pStyle w:val="Normal"/>
        <w:jc w:val="center"/>
        <w:rPr>
          <w:rFonts w:ascii="Century Gothic" w:hAnsi="Century Gothic" w:eastAsia="FreeSans" w:cs="Calibri" w:cstheme="minorHAnsi"/>
          <w:color w:val="AEAAAA"/>
          <w:sz w:val="22"/>
          <w:szCs w:val="22"/>
        </w:rPr>
      </w:pPr>
      <w:r>
        <w:rPr>
          <w:rFonts w:eastAsia="Noto Sans Symbols" w:cs="Calibri" w:ascii="Century Gothic" w:hAnsi="Century Gothic" w:cstheme="minorHAnsi"/>
          <w:color w:themeColor="background2" w:themeShade="bf" w:val="AEAAAA"/>
          <w:sz w:val="22"/>
          <w:szCs w:val="22"/>
        </w:rPr>
        <w:t>IES Mestre Ramon Esteve (C</w:t>
      </w:r>
      <w:r>
        <w:rPr>
          <w:rFonts w:eastAsia="FreeSans" w:cs="Calibri" w:ascii="Century Gothic" w:hAnsi="Century Gothic" w:cstheme="minorHAnsi"/>
          <w:color w:themeColor="background2" w:themeShade="bf" w:val="AEAAAA"/>
          <w:sz w:val="22"/>
          <w:szCs w:val="22"/>
        </w:rPr>
        <w:t>atadau</w:t>
      </w:r>
      <w:r>
        <w:rPr>
          <w:rFonts w:eastAsia="Noto Sans Symbols" w:cs="Calibri" w:ascii="Century Gothic" w:hAnsi="Century Gothic" w:cstheme="minorHAnsi"/>
          <w:color w:themeColor="background2" w:themeShade="bf" w:val="AEAAAA"/>
          <w:sz w:val="22"/>
          <w:szCs w:val="22"/>
        </w:rPr>
        <w:t>)</w:t>
      </w:r>
    </w:p>
    <w:p>
      <w:pPr>
        <w:pStyle w:val="Normal"/>
        <w:rPr>
          <w:color w:val="000000"/>
          <w:sz w:val="20"/>
          <w:szCs w:val="20"/>
        </w:rPr>
      </w:pPr>
      <w:r>
        <w:rPr>
          <w:color w:val="000000"/>
          <w:sz w:val="20"/>
          <w:szCs w:val="20"/>
        </w:rPr>
      </w:r>
    </w:p>
    <w:p>
      <w:pPr>
        <w:pStyle w:val="Normal"/>
        <w:rPr>
          <w:color w:val="000000"/>
          <w:sz w:val="20"/>
          <w:szCs w:val="20"/>
        </w:rPr>
      </w:pPr>
      <w:r>
        <w:rPr>
          <w:color w:val="000000"/>
          <w:sz w:val="20"/>
          <w:szCs w:val="2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rPr>
          <w:rFonts w:ascii="Arial" w:hAnsi="Arial" w:eastAsia="Arial" w:cs="Arial"/>
          <w:color w:val="000000"/>
        </w:rPr>
      </w:pPr>
      <w:r>
        <w:rPr>
          <w:rFonts w:eastAsia="Arial" w:cs="Arial" w:ascii="Arial" w:hAnsi="Arial"/>
          <w:color w:val="000000"/>
        </w:rPr>
      </w:r>
    </w:p>
    <w:p>
      <w:pPr>
        <w:pStyle w:val="Normal"/>
        <w:jc w:val="center"/>
        <w:rPr>
          <w:rFonts w:ascii="Arial" w:hAnsi="Arial" w:eastAsia="Arial" w:cs="Arial"/>
          <w:color w:val="7F7F7F"/>
          <w:sz w:val="56"/>
          <w:szCs w:val="56"/>
        </w:rPr>
      </w:pPr>
      <w:r>
        <w:rPr>
          <w:rFonts w:eastAsia="Arial" w:cs="Arial" w:ascii="Arial" w:hAnsi="Arial"/>
          <w:color w:themeColor="text1" w:themeTint="80" w:val="7F7F7F"/>
          <w:sz w:val="56"/>
          <w:szCs w:val="56"/>
        </w:rPr>
        <w:t>Mòdul</w:t>
      </w:r>
    </w:p>
    <w:p>
      <w:pPr>
        <w:pStyle w:val="Normal"/>
        <w:jc w:val="center"/>
        <w:rPr>
          <w:rFonts w:ascii="Arial" w:hAnsi="Arial" w:eastAsia="Arial" w:cs="Arial"/>
          <w:b/>
          <w:bCs/>
          <w:color w:themeColor="accent2" w:val="ED7D31"/>
          <w:sz w:val="72"/>
          <w:szCs w:val="72"/>
        </w:rPr>
      </w:pPr>
      <w:r>
        <w:rPr>
          <w:rFonts w:eastAsia="Arial" w:cs="Arial" w:ascii="Arial" w:hAnsi="Arial"/>
          <w:b/>
          <w:bCs/>
          <w:color w:themeColor="accent2" w:val="ED7D31"/>
          <w:sz w:val="72"/>
          <w:szCs w:val="72"/>
        </w:rPr>
        <w:t>Muntatge i manteniment de sistemes i components informàtics</w:t>
      </w:r>
    </w:p>
    <w:p>
      <w:pPr>
        <w:pStyle w:val="Normal"/>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end"/>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end"/>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end"/>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center"/>
        <w:rPr>
          <w:rFonts w:ascii="Century Gothic" w:hAnsi="Century Gothic" w:eastAsia="Arial" w:cs="Arial"/>
          <w:color w:val="000000"/>
          <w:sz w:val="36"/>
          <w:szCs w:val="36"/>
        </w:rPr>
      </w:pPr>
      <w:r>
        <w:rPr>
          <w:rFonts w:eastAsia="Arial" w:cs="Arial" w:ascii="Century Gothic" w:hAnsi="Century Gothic"/>
          <w:color w:themeColor="text1" w:val="000000"/>
          <w:sz w:val="36"/>
          <w:szCs w:val="36"/>
        </w:rPr>
        <w:t>Informàtica d’Oficina</w:t>
      </w:r>
    </w:p>
    <w:p>
      <w:pPr>
        <w:pStyle w:val="Normal"/>
        <w:jc w:val="center"/>
        <w:rPr>
          <w:rFonts w:ascii="Century Gothic" w:hAnsi="Century Gothic" w:eastAsia="Arial" w:cs="Arial"/>
          <w:color w:val="000000"/>
          <w:sz w:val="32"/>
          <w:szCs w:val="32"/>
        </w:rPr>
      </w:pPr>
      <w:r>
        <w:rPr>
          <w:rFonts w:eastAsia="Arial" w:cs="Arial" w:ascii="Century Gothic" w:hAnsi="Century Gothic"/>
          <w:color w:val="000000"/>
          <w:sz w:val="32"/>
          <w:szCs w:val="32"/>
        </w:rPr>
        <w:t>Formació Professional Bàsica</w:t>
      </w:r>
    </w:p>
    <w:p>
      <w:pPr>
        <w:pStyle w:val="Normal"/>
        <w:jc w:val="center"/>
        <w:rPr>
          <w:rFonts w:ascii="Century Gothic" w:hAnsi="Century Gothic" w:eastAsia="Calibri" w:cs="Calibri"/>
          <w:color w:val="000000"/>
          <w:sz w:val="22"/>
          <w:szCs w:val="22"/>
        </w:rPr>
      </w:pPr>
      <w:r>
        <w:rPr>
          <w:rFonts w:eastAsia="Calibri" w:cs="Calibri" w:ascii="Century Gothic" w:hAnsi="Century Gothic"/>
          <w:color w:val="000000"/>
          <w:sz w:val="22"/>
          <w:szCs w:val="22"/>
        </w:rPr>
      </w:r>
    </w:p>
    <w:p>
      <w:pPr>
        <w:pStyle w:val="Normal"/>
        <w:jc w:val="center"/>
        <w:rPr>
          <w:rFonts w:ascii="Century Gothic" w:hAnsi="Century Gothic" w:eastAsia="Calibri" w:cs="Calibri"/>
          <w:color w:val="000000"/>
          <w:sz w:val="22"/>
          <w:szCs w:val="22"/>
        </w:rPr>
      </w:pPr>
      <w:r>
        <w:rPr>
          <w:rFonts w:eastAsia="Calibri" w:cs="Calibri" w:ascii="Century Gothic" w:hAnsi="Century Gothic"/>
          <w:color w:val="000000"/>
          <w:sz w:val="22"/>
          <w:szCs w:val="22"/>
        </w:rPr>
        <w:t>Codi: 3029</w:t>
      </w:r>
    </w:p>
    <w:p>
      <w:pPr>
        <w:pStyle w:val="Normal"/>
        <w:jc w:val="center"/>
        <w:rPr>
          <w:rFonts w:ascii="Century Gothic" w:hAnsi="Century Gothic" w:eastAsia="Calibri" w:cs="Calibri"/>
          <w:color w:val="000000"/>
          <w:sz w:val="22"/>
          <w:szCs w:val="22"/>
        </w:rPr>
      </w:pPr>
      <w:r>
        <w:rPr>
          <w:rFonts w:eastAsia="Calibri" w:cs="Calibri" w:ascii="Century Gothic" w:hAnsi="Century Gothic"/>
          <w:color w:val="000000"/>
          <w:sz w:val="22"/>
          <w:szCs w:val="22"/>
        </w:rPr>
      </w:r>
    </w:p>
    <w:p>
      <w:pPr>
        <w:pStyle w:val="Normal"/>
        <w:jc w:val="center"/>
        <w:rPr>
          <w:rFonts w:ascii="Century Gothic" w:hAnsi="Century Gothic" w:eastAsia="Calibri" w:cs="Calibri"/>
          <w:color w:themeColor="text1" w:themeTint="bf" w:val="404040"/>
          <w:sz w:val="28"/>
          <w:szCs w:val="28"/>
        </w:rPr>
      </w:pPr>
      <w:r>
        <w:rPr>
          <w:rFonts w:eastAsia="Calibri" w:cs="Calibri" w:ascii="Century Gothic" w:hAnsi="Century Gothic"/>
          <w:color w:themeColor="text1" w:themeTint="bf" w:val="404040"/>
          <w:sz w:val="28"/>
          <w:szCs w:val="28"/>
        </w:rPr>
        <w:t>1r CURS</w:t>
      </w:r>
    </w:p>
    <w:p>
      <w:pPr>
        <w:pStyle w:val="Normal"/>
        <w:jc w:val="center"/>
        <w:rPr>
          <w:rFonts w:ascii="Century Gothic" w:hAnsi="Century Gothic" w:eastAsia="Calibri" w:cs="Calibri"/>
          <w:color w:val="C55911"/>
          <w:sz w:val="28"/>
          <w:szCs w:val="28"/>
        </w:rPr>
      </w:pPr>
      <w:r>
        <w:rPr>
          <w:rFonts w:eastAsia="Calibri" w:cs="Calibri" w:ascii="Century Gothic" w:hAnsi="Century Gothic"/>
          <w:color w:val="C55911"/>
          <w:sz w:val="28"/>
          <w:szCs w:val="28"/>
        </w:rPr>
        <w:t>CURS  2025 – 2026</w:t>
      </w:r>
    </w:p>
    <w:p>
      <w:pPr>
        <w:pStyle w:val="Normal"/>
        <w:jc w:val="center"/>
        <w:rPr>
          <w:rFonts w:ascii="Century Gothic" w:hAnsi="Century Gothic" w:eastAsia="Calibri" w:cs="Calibri"/>
          <w:color w:val="000000"/>
          <w:sz w:val="22"/>
          <w:szCs w:val="22"/>
        </w:rPr>
      </w:pPr>
      <w:r>
        <w:rPr>
          <w:rFonts w:eastAsia="Calibri" w:cs="Calibri" w:ascii="Century Gothic" w:hAnsi="Century Gothic"/>
          <w:color w:val="000000"/>
          <w:sz w:val="22"/>
          <w:szCs w:val="22"/>
        </w:rPr>
      </w:r>
    </w:p>
    <w:p>
      <w:pPr>
        <w:pStyle w:val="Normal"/>
        <w:jc w:val="center"/>
        <w:rPr>
          <w:rFonts w:ascii="Century Gothic" w:hAnsi="Century Gothic" w:eastAsia="Calibri" w:cs="Calibri"/>
          <w:color w:val="000000"/>
          <w:sz w:val="22"/>
          <w:szCs w:val="22"/>
        </w:rPr>
      </w:pPr>
      <w:r>
        <w:rPr>
          <w:rFonts w:eastAsia="Calibri" w:cs="Calibri" w:ascii="Century Gothic" w:hAnsi="Century Gothic"/>
          <w:color w:val="000000"/>
          <w:sz w:val="22"/>
          <w:szCs w:val="22"/>
        </w:rPr>
      </w:r>
    </w:p>
    <w:p>
      <w:pPr>
        <w:pStyle w:val="Normal"/>
        <w:jc w:val="center"/>
        <w:rPr>
          <w:rFonts w:ascii="Century Gothic" w:hAnsi="Century Gothic" w:eastAsia="Mangal" w:cs="Mangal"/>
          <w:color w:themeColor="text1" w:themeTint="bf" w:val="404040"/>
        </w:rPr>
      </w:pPr>
      <w:r>
        <w:rPr>
          <w:rFonts w:eastAsia="Mangal" w:cs="Mangal" w:ascii="Century Gothic" w:hAnsi="Century Gothic"/>
          <w:color w:themeColor="text1" w:themeTint="bf" w:val="404040"/>
        </w:rPr>
        <w:t>FAMÍLIA PROFESSIONAL</w:t>
      </w:r>
    </w:p>
    <w:p>
      <w:pPr>
        <w:pStyle w:val="Normal"/>
        <w:jc w:val="center"/>
        <w:rPr>
          <w:rFonts w:ascii="Century Gothic" w:hAnsi="Century Gothic" w:eastAsia="Calibri" w:cs="Calibri"/>
          <w:color w:val="000000"/>
          <w:sz w:val="36"/>
          <w:szCs w:val="36"/>
        </w:rPr>
      </w:pPr>
      <w:r>
        <w:rPr>
          <w:rFonts w:eastAsia="Calibri" w:cs="Calibri" w:ascii="Century Gothic" w:hAnsi="Century Gothic"/>
          <w:color w:themeColor="text1" w:val="000000"/>
          <w:sz w:val="36"/>
          <w:szCs w:val="36"/>
        </w:rPr>
        <w:t>Informàtica i Comunicacions</w:t>
      </w:r>
    </w:p>
    <w:p>
      <w:pPr>
        <w:pStyle w:val="Normal"/>
        <w:jc w:val="end"/>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end"/>
        <w:rPr>
          <w:rFonts w:ascii="Calibri" w:hAnsi="Calibri" w:eastAsia="Calibri" w:cs="Calibri"/>
          <w:color w:val="000000"/>
          <w:sz w:val="22"/>
          <w:szCs w:val="22"/>
        </w:rPr>
      </w:pPr>
      <w:r>
        <w:rPr>
          <w:rFonts w:eastAsia="Calibri" w:cs="Calibri" w:ascii="Calibri" w:hAnsi="Calibri"/>
          <w:color w:val="000000"/>
          <w:sz w:val="22"/>
          <w:szCs w:val="22"/>
        </w:rPr>
      </w:r>
    </w:p>
    <w:p>
      <w:pPr>
        <w:pStyle w:val="Normal"/>
        <w:jc w:val="end"/>
        <w:rPr>
          <w:rFonts w:ascii="Calibri" w:hAnsi="Calibri" w:eastAsia="Calibri" w:cs="Calibri"/>
          <w:color w:themeColor="text1" w:val="000000"/>
          <w:sz w:val="22"/>
          <w:szCs w:val="22"/>
        </w:rPr>
      </w:pPr>
      <w:r>
        <w:rPr>
          <w:rFonts w:eastAsia="Calibri" w:cs="Calibri" w:ascii="Calibri" w:hAnsi="Calibri"/>
          <w:color w:themeColor="text1" w:val="000000"/>
          <w:sz w:val="22"/>
          <w:szCs w:val="22"/>
        </w:rPr>
      </w:r>
    </w:p>
    <w:p>
      <w:pPr>
        <w:pStyle w:val="Normal"/>
        <w:tabs>
          <w:tab w:val="clear" w:pos="720"/>
          <w:tab w:val="left" w:pos="6521" w:leader="none"/>
        </w:tabs>
        <w:spacing w:lineRule="auto" w:line="360"/>
        <w:jc w:val="end"/>
        <w:rPr>
          <w:rFonts w:ascii="Arial" w:hAnsi="Arial" w:eastAsia="Arial" w:cs="Arial"/>
          <w:color w:val="000000"/>
          <w:sz w:val="22"/>
          <w:szCs w:val="22"/>
        </w:rPr>
      </w:pPr>
      <w:r>
        <w:rPr>
          <w:rFonts w:eastAsia="Arial" w:cs="Arial" w:ascii="Arial" w:hAnsi="Arial"/>
          <w:color w:val="000000"/>
          <w:sz w:val="22"/>
          <w:szCs w:val="22"/>
        </w:rPr>
      </w:r>
    </w:p>
    <w:p>
      <w:pPr>
        <w:pStyle w:val="Normal"/>
        <w:tabs>
          <w:tab w:val="clear" w:pos="720"/>
          <w:tab w:val="left" w:pos="6521" w:leader="none"/>
        </w:tabs>
        <w:spacing w:lineRule="auto" w:line="360"/>
        <w:jc w:val="end"/>
        <w:rPr>
          <w:rFonts w:ascii="Arial" w:hAnsi="Arial" w:eastAsia="Arial" w:cs="Arial"/>
          <w:color w:val="000000"/>
          <w:sz w:val="22"/>
          <w:szCs w:val="22"/>
        </w:rPr>
      </w:pPr>
      <w:r>
        <w:rPr>
          <w:rFonts w:eastAsia="Arial" w:cs="Arial" w:ascii="Arial" w:hAnsi="Arial"/>
          <w:color w:val="000000"/>
          <w:sz w:val="22"/>
          <w:szCs w:val="22"/>
        </w:rPr>
      </w:r>
    </w:p>
    <w:p>
      <w:pPr>
        <w:pStyle w:val="Normal"/>
        <w:tabs>
          <w:tab w:val="clear" w:pos="720"/>
          <w:tab w:val="left" w:pos="6521" w:leader="none"/>
        </w:tabs>
        <w:spacing w:lineRule="auto" w:line="360"/>
        <w:jc w:val="end"/>
        <w:rPr>
          <w:rFonts w:ascii="Arial" w:hAnsi="Arial" w:eastAsia="Arial" w:cs="Arial"/>
          <w:color w:val="000000"/>
          <w:sz w:val="22"/>
          <w:szCs w:val="22"/>
        </w:rPr>
      </w:pPr>
      <w:r>
        <w:rPr>
          <w:rFonts w:eastAsia="Arial" w:cs="Arial" w:ascii="Arial" w:hAnsi="Arial"/>
          <w:color w:val="000000"/>
          <w:sz w:val="22"/>
          <w:szCs w:val="22"/>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720" w:top="1134" w:footer="720" w:bottom="1134"/>
          <w:pgNumType w:start="1" w:fmt="decimal"/>
          <w:formProt w:val="false"/>
          <w:textDirection w:val="lrTb"/>
          <w:docGrid w:type="default" w:linePitch="100" w:charSpace="0"/>
        </w:sectPr>
        <w:pStyle w:val="Normal"/>
        <w:tabs>
          <w:tab w:val="clear" w:pos="720"/>
          <w:tab w:val="left" w:pos="6521" w:leader="none"/>
        </w:tabs>
        <w:spacing w:lineRule="auto" w:line="360"/>
        <w:jc w:val="end"/>
        <w:rPr>
          <w:rFonts w:ascii="Century Gothic" w:hAnsi="Century Gothic" w:eastAsia="" w:cs="" w:cstheme="minorBidi" w:eastAsiaTheme="minorEastAsia"/>
          <w:color w:themeColor="text1" w:themeTint="bf" w:val="404040"/>
          <w:sz w:val="32"/>
          <w:szCs w:val="32"/>
        </w:rPr>
      </w:pPr>
      <w:r>
        <w:rPr>
          <w:rFonts w:eastAsia="" w:cs="" w:ascii="Century Gothic" w:hAnsi="Century Gothic" w:cstheme="minorBidi" w:eastAsiaTheme="minorEastAsia"/>
          <w:color w:themeColor="text1" w:themeTint="bf" w:val="404040"/>
          <w:sz w:val="28"/>
          <w:szCs w:val="28"/>
        </w:rPr>
        <w:t xml:space="preserve">professor  </w:t>
      </w:r>
      <w:r>
        <w:rPr>
          <w:rFonts w:eastAsia="" w:cs="" w:ascii="Century Gothic" w:hAnsi="Century Gothic" w:cstheme="minorBidi" w:eastAsiaTheme="minorEastAsia"/>
          <w:color w:themeColor="text1" w:themeTint="bf" w:val="404040"/>
          <w:sz w:val="32"/>
          <w:szCs w:val="32"/>
        </w:rPr>
        <w:t xml:space="preserve">        Javier Egea Blasco</w:t>
      </w:r>
    </w:p>
    <w:p>
      <w:pPr>
        <w:pStyle w:val="Normal"/>
        <w:keepNext w:val="true"/>
        <w:rPr>
          <w:rFonts w:ascii="Century Gothic" w:hAnsi="Century Gothic" w:cs="Arial"/>
          <w:b/>
          <w:bCs/>
          <w:color w:val="ED7D31"/>
        </w:rPr>
      </w:pPr>
      <w:r>
        <w:rPr>
          <w:rFonts w:cs="Arial" w:ascii="Century Gothic" w:hAnsi="Century Gothic"/>
          <w:b/>
          <w:bCs/>
          <w:color w:themeColor="accent2" w:val="ED7D31"/>
          <w:sz w:val="28"/>
          <w:szCs w:val="28"/>
        </w:rPr>
        <w:t>ÍNDEX</w:t>
      </w:r>
    </w:p>
    <w:p>
      <w:pPr>
        <w:pStyle w:val="Normal"/>
        <w:spacing w:lineRule="auto" w:line="276"/>
        <w:rPr>
          <w:sz w:val="22"/>
          <w:szCs w:val="22"/>
        </w:rPr>
      </w:pPr>
      <w:r>
        <w:rPr>
          <w:sz w:val="22"/>
          <w:szCs w:val="22"/>
        </w:rPr>
      </w:r>
      <w:bookmarkStart w:id="0" w:name="_heading=h.mx1id59hqrr5"/>
      <w:bookmarkStart w:id="1" w:name="_heading=h.mx1id59hqrr5"/>
      <w:bookmarkEnd w:id="1"/>
    </w:p>
    <w:sdt>
      <w:sdtPr>
        <w:docPartObj>
          <w:docPartGallery w:val="Table of Contents"/>
          <w:docPartUnique w:val="true"/>
        </w:docPartObj>
      </w:sdtPr>
      <w:sdtContent>
        <w:p>
          <w:pPr>
            <w:pStyle w:val="TOC1"/>
            <w:tabs>
              <w:tab w:val="clear" w:pos="284"/>
              <w:tab w:val="clear" w:pos="9628"/>
              <w:tab w:val="right" w:pos="9637" w:leader="dot"/>
            </w:tabs>
            <w:rPr/>
          </w:pPr>
          <w:r>
            <w:fldChar w:fldCharType="begin"/>
          </w:r>
          <w:r>
            <w:rPr>
              <w:rStyle w:val="Enlacedelndiceuser"/>
              <w:vanish w:val="false"/>
            </w:rPr>
            <w:instrText xml:space="preserve"> TOC \z \o "1-9" \u \h</w:instrText>
          </w:r>
          <w:r>
            <w:rPr>
              <w:rStyle w:val="Enlacedelndiceuser"/>
              <w:vanish w:val="false"/>
            </w:rPr>
            <w:fldChar w:fldCharType="separate"/>
          </w:r>
          <w:r>
            <w:rPr>
              <w:rStyle w:val="Enlacedelndiceuser"/>
              <w:vanish w:val="false"/>
            </w:rPr>
            <w:t>1. INTRODUCCIÓ</w:t>
          </w:r>
          <w:r>
            <w:rPr>
              <w:vanish w:val="false"/>
            </w:rPr>
            <w:tab/>
            <w:t>2</w:t>
          </w:r>
        </w:p>
        <w:p>
          <w:pPr>
            <w:pStyle w:val="TOC2"/>
            <w:tabs>
              <w:tab w:val="clear" w:pos="880"/>
              <w:tab w:val="clear" w:pos="9628"/>
              <w:tab w:val="right" w:pos="9637" w:leader="dot"/>
            </w:tabs>
            <w:rPr/>
          </w:pPr>
          <w:r>
            <w:rPr>
              <w:vanish w:val="false"/>
            </w:rPr>
            <w:t xml:space="preserve">1.1. </w:t>
          </w:r>
          <w:r>
            <w:rPr>
              <w:i w:val="false"/>
              <w:iCs w:val="false"/>
            </w:rPr>
            <w:t>Marc legal</w:t>
          </w:r>
          <w:r>
            <w:rPr/>
            <w:tab/>
            <w:t>2</w:t>
          </w:r>
        </w:p>
        <w:p>
          <w:pPr>
            <w:pStyle w:val="TOC2"/>
            <w:tabs>
              <w:tab w:val="clear" w:pos="880"/>
              <w:tab w:val="clear" w:pos="9628"/>
              <w:tab w:val="right" w:pos="9637" w:leader="dot"/>
            </w:tabs>
            <w:rPr/>
          </w:pPr>
          <w:r>
            <w:rPr>
              <w:vanish w:val="false"/>
            </w:rPr>
            <w:t xml:space="preserve">1.2. </w:t>
          </w:r>
          <w:r>
            <w:rPr>
              <w:i w:val="false"/>
              <w:iCs w:val="false"/>
            </w:rPr>
            <w:t>Contextualització i característiques de l'alumnat</w:t>
          </w:r>
          <w:r>
            <w:rPr/>
            <w:tab/>
            <w:t>3</w:t>
          </w:r>
        </w:p>
        <w:p>
          <w:pPr>
            <w:pStyle w:val="TOC1"/>
            <w:tabs>
              <w:tab w:val="clear" w:pos="284"/>
              <w:tab w:val="clear" w:pos="9628"/>
              <w:tab w:val="right" w:pos="9637" w:leader="dot"/>
            </w:tabs>
            <w:rPr/>
          </w:pPr>
          <w:r>
            <w:rPr>
              <w:vanish w:val="false"/>
            </w:rPr>
            <w:t>2. OBJECTIUS</w:t>
            <w:tab/>
            <w:t>4</w:t>
          </w:r>
        </w:p>
        <w:p>
          <w:pPr>
            <w:pStyle w:val="TOC2"/>
            <w:tabs>
              <w:tab w:val="clear" w:pos="880"/>
              <w:tab w:val="clear" w:pos="9628"/>
              <w:tab w:val="right" w:pos="9637" w:leader="dot"/>
            </w:tabs>
            <w:rPr/>
          </w:pPr>
          <w:r>
            <w:rPr>
              <w:vanish w:val="false"/>
            </w:rPr>
            <w:t xml:space="preserve">2.1. </w:t>
          </w:r>
          <w:r>
            <w:rPr>
              <w:i w:val="false"/>
              <w:iCs w:val="false"/>
            </w:rPr>
            <w:t>Objectius generals del cicle formatiu</w:t>
          </w:r>
          <w:r>
            <w:rPr/>
            <w:tab/>
            <w:t>4</w:t>
          </w:r>
        </w:p>
        <w:p>
          <w:pPr>
            <w:pStyle w:val="TOC2"/>
            <w:tabs>
              <w:tab w:val="clear" w:pos="880"/>
              <w:tab w:val="clear" w:pos="9628"/>
              <w:tab w:val="right" w:pos="9637" w:leader="dot"/>
            </w:tabs>
            <w:rPr/>
          </w:pPr>
          <w:r>
            <w:rPr>
              <w:vanish w:val="false"/>
            </w:rPr>
            <w:t xml:space="preserve">2.2. </w:t>
          </w:r>
          <w:r>
            <w:rPr>
              <w:i w:val="false"/>
              <w:iCs w:val="false"/>
            </w:rPr>
            <w:t>Objectius del mòdul</w:t>
          </w:r>
          <w:r>
            <w:rPr/>
            <w:tab/>
            <w:t>6</w:t>
          </w:r>
        </w:p>
        <w:p>
          <w:pPr>
            <w:pStyle w:val="TOC1"/>
            <w:tabs>
              <w:tab w:val="clear" w:pos="284"/>
              <w:tab w:val="clear" w:pos="9628"/>
              <w:tab w:val="right" w:pos="9637" w:leader="dot"/>
            </w:tabs>
            <w:rPr/>
          </w:pPr>
          <w:r>
            <w:rPr>
              <w:vanish w:val="false"/>
            </w:rPr>
            <w:t>3. COMPETÈNCIES</w:t>
            <w:tab/>
            <w:t>7</w:t>
          </w:r>
        </w:p>
        <w:p>
          <w:pPr>
            <w:pStyle w:val="TOC2"/>
            <w:tabs>
              <w:tab w:val="clear" w:pos="880"/>
              <w:tab w:val="clear" w:pos="9628"/>
              <w:tab w:val="right" w:pos="9637" w:leader="dot"/>
            </w:tabs>
            <w:rPr/>
          </w:pPr>
          <w:r>
            <w:rPr>
              <w:vanish w:val="false"/>
            </w:rPr>
            <w:t xml:space="preserve">3.1. </w:t>
          </w:r>
          <w:r>
            <w:rPr>
              <w:i w:val="false"/>
              <w:iCs w:val="false"/>
            </w:rPr>
            <w:t>Competència general</w:t>
          </w:r>
          <w:r>
            <w:rPr/>
            <w:tab/>
            <w:t>7</w:t>
          </w:r>
        </w:p>
        <w:p>
          <w:pPr>
            <w:pStyle w:val="TOC2"/>
            <w:tabs>
              <w:tab w:val="clear" w:pos="880"/>
              <w:tab w:val="clear" w:pos="9628"/>
              <w:tab w:val="right" w:pos="9637" w:leader="dot"/>
            </w:tabs>
            <w:rPr/>
          </w:pPr>
          <w:r>
            <w:rPr>
              <w:vanish w:val="false"/>
            </w:rPr>
            <w:t xml:space="preserve">3.2. </w:t>
          </w:r>
          <w:r>
            <w:rPr>
              <w:i w:val="false"/>
              <w:iCs w:val="false"/>
            </w:rPr>
            <w:t>Competències professionals i per a la ocupabilitat</w:t>
          </w:r>
          <w:r>
            <w:rPr/>
            <w:tab/>
            <w:t>7</w:t>
          </w:r>
        </w:p>
        <w:p>
          <w:pPr>
            <w:pStyle w:val="TOC2"/>
            <w:tabs>
              <w:tab w:val="clear" w:pos="880"/>
              <w:tab w:val="clear" w:pos="9628"/>
              <w:tab w:val="right" w:pos="9637" w:leader="dot"/>
            </w:tabs>
            <w:rPr/>
          </w:pPr>
          <w:r>
            <w:rPr>
              <w:vanish w:val="false"/>
            </w:rPr>
            <w:t xml:space="preserve">3.3. </w:t>
          </w:r>
          <w:r>
            <w:rPr>
              <w:i w:val="false"/>
              <w:iCs w:val="false"/>
            </w:rPr>
            <w:t>Resultats d’aprenentatge</w:t>
          </w:r>
          <w:r>
            <w:rPr/>
            <w:tab/>
            <w:t>9</w:t>
          </w:r>
        </w:p>
        <w:p>
          <w:pPr>
            <w:pStyle w:val="TOC2"/>
            <w:tabs>
              <w:tab w:val="clear" w:pos="880"/>
              <w:tab w:val="clear" w:pos="9628"/>
              <w:tab w:val="right" w:pos="9637" w:leader="dot"/>
            </w:tabs>
            <w:rPr/>
          </w:pPr>
          <w:r>
            <w:rPr>
              <w:vanish w:val="false"/>
            </w:rPr>
            <w:t xml:space="preserve">3.4. </w:t>
          </w:r>
          <w:r>
            <w:rPr>
              <w:i w:val="false"/>
              <w:iCs w:val="false"/>
            </w:rPr>
            <w:t>Contribució dels RA a les Competències Professionals</w:t>
          </w:r>
          <w:r>
            <w:rPr/>
            <w:tab/>
            <w:t>11</w:t>
          </w:r>
        </w:p>
        <w:p>
          <w:pPr>
            <w:pStyle w:val="TOC2"/>
            <w:tabs>
              <w:tab w:val="clear" w:pos="880"/>
              <w:tab w:val="clear" w:pos="9628"/>
              <w:tab w:val="right" w:pos="9637" w:leader="dot"/>
            </w:tabs>
            <w:rPr/>
          </w:pPr>
          <w:r>
            <w:rPr>
              <w:vanish w:val="false"/>
            </w:rPr>
            <w:t xml:space="preserve">3.5. </w:t>
          </w:r>
          <w:r>
            <w:rPr>
              <w:i w:val="false"/>
              <w:iCs w:val="false"/>
            </w:rPr>
            <w:t>Qualificacions i unitats de competència incloses en el títol</w:t>
          </w:r>
          <w:r>
            <w:rPr/>
            <w:tab/>
            <w:t>11</w:t>
          </w:r>
        </w:p>
        <w:p>
          <w:pPr>
            <w:pStyle w:val="TOC1"/>
            <w:tabs>
              <w:tab w:val="clear" w:pos="284"/>
              <w:tab w:val="clear" w:pos="9628"/>
              <w:tab w:val="right" w:pos="9637" w:leader="dot"/>
            </w:tabs>
            <w:rPr/>
          </w:pPr>
          <w:r>
            <w:rPr>
              <w:vanish w:val="false"/>
            </w:rPr>
            <w:t>4. CONTINGUTS</w:t>
            <w:tab/>
            <w:t>12</w:t>
          </w:r>
        </w:p>
        <w:p>
          <w:pPr>
            <w:pStyle w:val="TOC2"/>
            <w:tabs>
              <w:tab w:val="clear" w:pos="880"/>
              <w:tab w:val="clear" w:pos="9628"/>
              <w:tab w:val="right" w:pos="9637" w:leader="dot"/>
            </w:tabs>
            <w:rPr/>
          </w:pPr>
          <w:r>
            <w:rPr>
              <w:vanish w:val="false"/>
            </w:rPr>
            <w:t xml:space="preserve">4.1. </w:t>
          </w:r>
          <w:r>
            <w:rPr>
              <w:i w:val="false"/>
              <w:iCs w:val="false"/>
            </w:rPr>
            <w:t>Continguts curriculars</w:t>
          </w:r>
          <w:r>
            <w:rPr/>
            <w:tab/>
            <w:t>12</w:t>
          </w:r>
        </w:p>
        <w:p>
          <w:pPr>
            <w:pStyle w:val="TOC2"/>
            <w:tabs>
              <w:tab w:val="clear" w:pos="880"/>
              <w:tab w:val="clear" w:pos="9628"/>
              <w:tab w:val="right" w:pos="9637" w:leader="dot"/>
            </w:tabs>
            <w:rPr/>
          </w:pPr>
          <w:r>
            <w:rPr>
              <w:vanish w:val="false"/>
            </w:rPr>
            <w:t xml:space="preserve">4.2. </w:t>
          </w:r>
          <w:r>
            <w:rPr>
              <w:i w:val="false"/>
              <w:iCs w:val="false"/>
            </w:rPr>
            <w:t>Esquema general i seqüenciació de les UP</w:t>
          </w:r>
          <w:r>
            <w:rPr/>
            <w:tab/>
            <w:t>15</w:t>
          </w:r>
        </w:p>
        <w:p>
          <w:pPr>
            <w:pStyle w:val="TOC1"/>
            <w:tabs>
              <w:tab w:val="clear" w:pos="284"/>
              <w:tab w:val="clear" w:pos="9628"/>
              <w:tab w:val="right" w:pos="9637" w:leader="dot"/>
            </w:tabs>
            <w:rPr/>
          </w:pPr>
          <w:r>
            <w:rPr>
              <w:vanish w:val="false"/>
            </w:rPr>
            <w:t>5. METODOLOGÍA</w:t>
            <w:tab/>
            <w:t>17</w:t>
          </w:r>
        </w:p>
        <w:p>
          <w:pPr>
            <w:pStyle w:val="TOC1"/>
            <w:tabs>
              <w:tab w:val="clear" w:pos="284"/>
              <w:tab w:val="clear" w:pos="9628"/>
              <w:tab w:val="right" w:pos="9637" w:leader="dot"/>
            </w:tabs>
            <w:rPr/>
          </w:pPr>
          <w:r>
            <w:rPr>
              <w:vanish w:val="false"/>
            </w:rPr>
            <w:t>6. AVALUACIÓ DE L’APRENENTATGE</w:t>
            <w:tab/>
            <w:t>18</w:t>
          </w:r>
        </w:p>
        <w:p>
          <w:pPr>
            <w:pStyle w:val="TOC2"/>
            <w:tabs>
              <w:tab w:val="clear" w:pos="880"/>
              <w:tab w:val="clear" w:pos="9628"/>
              <w:tab w:val="right" w:pos="9637" w:leader="dot"/>
            </w:tabs>
            <w:rPr/>
          </w:pPr>
          <w:r>
            <w:rPr>
              <w:vanish w:val="false"/>
            </w:rPr>
            <w:t xml:space="preserve">6.1. </w:t>
          </w:r>
          <w:r>
            <w:rPr>
              <w:i w:val="false"/>
              <w:iCs w:val="false"/>
            </w:rPr>
            <w:t>Instruments d’avaluació</w:t>
          </w:r>
          <w:r>
            <w:rPr/>
            <w:tab/>
            <w:t>18</w:t>
          </w:r>
        </w:p>
        <w:p>
          <w:pPr>
            <w:pStyle w:val="TOC1"/>
            <w:tabs>
              <w:tab w:val="clear" w:pos="284"/>
              <w:tab w:val="clear" w:pos="9628"/>
              <w:tab w:val="right" w:pos="9637" w:leader="dot"/>
            </w:tabs>
            <w:rPr/>
          </w:pPr>
          <w:r>
            <w:rPr>
              <w:vanish w:val="false"/>
            </w:rPr>
            <w:t>7. CRITERIS DE QUALIFICACIÓ</w:t>
            <w:tab/>
            <w:t>20</w:t>
          </w:r>
        </w:p>
        <w:p>
          <w:pPr>
            <w:pStyle w:val="TOC2"/>
            <w:tabs>
              <w:tab w:val="clear" w:pos="880"/>
              <w:tab w:val="clear" w:pos="9628"/>
              <w:tab w:val="right" w:pos="9637" w:leader="dot"/>
            </w:tabs>
            <w:rPr/>
          </w:pPr>
          <w:r>
            <w:rPr>
              <w:vanish w:val="false"/>
            </w:rPr>
            <w:t xml:space="preserve">7.1. </w:t>
          </w:r>
          <w:r>
            <w:rPr>
              <w:i w:val="false"/>
              <w:iCs w:val="false"/>
            </w:rPr>
            <w:t>Altres consideracions</w:t>
          </w:r>
          <w:r>
            <w:rPr/>
            <w:tab/>
            <w:t>20</w:t>
          </w:r>
        </w:p>
        <w:p>
          <w:pPr>
            <w:pStyle w:val="TOC2"/>
            <w:tabs>
              <w:tab w:val="clear" w:pos="880"/>
              <w:tab w:val="clear" w:pos="9628"/>
              <w:tab w:val="right" w:pos="9637" w:leader="dot"/>
            </w:tabs>
            <w:rPr/>
          </w:pPr>
          <w:r>
            <w:rPr>
              <w:vanish w:val="false"/>
            </w:rPr>
            <w:t xml:space="preserve">7.2. </w:t>
          </w:r>
          <w:r>
            <w:rPr>
              <w:i w:val="false"/>
              <w:iCs w:val="false"/>
            </w:rPr>
            <w:t>Pla de recuperació</w:t>
          </w:r>
          <w:r>
            <w:rPr/>
            <w:tab/>
            <w:t>21</w:t>
          </w:r>
        </w:p>
        <w:p>
          <w:pPr>
            <w:pStyle w:val="TOC1"/>
            <w:tabs>
              <w:tab w:val="clear" w:pos="284"/>
              <w:tab w:val="clear" w:pos="9628"/>
              <w:tab w:val="right" w:pos="9637" w:leader="dot"/>
            </w:tabs>
            <w:rPr/>
          </w:pPr>
          <w:r>
            <w:rPr>
              <w:vanish w:val="false"/>
            </w:rPr>
            <w:t>8. MESURES D’ATENCIÓ A LA DIVERSITAT I INCLUSIÓ</w:t>
            <w:tab/>
            <w:t>22</w:t>
          </w:r>
        </w:p>
        <w:p>
          <w:pPr>
            <w:pStyle w:val="TOC1"/>
            <w:tabs>
              <w:tab w:val="clear" w:pos="284"/>
              <w:tab w:val="clear" w:pos="9628"/>
              <w:tab w:val="right" w:pos="9637" w:leader="dot"/>
            </w:tabs>
            <w:rPr/>
          </w:pPr>
          <w:r>
            <w:rPr>
              <w:vanish w:val="false"/>
            </w:rPr>
            <w:t>9. RECURSOS DIDÀCTICS</w:t>
            <w:tab/>
            <w:t>24</w:t>
          </w:r>
        </w:p>
        <w:p>
          <w:pPr>
            <w:pStyle w:val="TOC1"/>
            <w:tabs>
              <w:tab w:val="clear" w:pos="284"/>
              <w:tab w:val="clear" w:pos="9628"/>
              <w:tab w:val="right" w:pos="9637" w:leader="dot"/>
            </w:tabs>
            <w:rPr/>
          </w:pPr>
          <w:r>
            <w:rPr>
              <w:vanish w:val="false"/>
            </w:rPr>
            <w:t>10. PLANIFICACIÓ DELS ESPAIS I DELS EQUIPAMENTS</w:t>
            <w:tab/>
            <w:t>25</w:t>
          </w:r>
        </w:p>
        <w:p>
          <w:pPr>
            <w:pStyle w:val="TOC1"/>
            <w:tabs>
              <w:tab w:val="clear" w:pos="284"/>
              <w:tab w:val="clear" w:pos="9628"/>
              <w:tab w:val="right" w:pos="9637" w:leader="dot"/>
            </w:tabs>
            <w:rPr/>
          </w:pPr>
          <w:r>
            <w:rPr>
              <w:vanish w:val="false"/>
            </w:rPr>
            <w:t>11. ACTIVITATS COMPLEMENTÀRIES I EXTRAESCOLARS</w:t>
            <w:tab/>
            <w:t>26</w:t>
          </w:r>
        </w:p>
        <w:p>
          <w:pPr>
            <w:pStyle w:val="TOC1"/>
            <w:tabs>
              <w:tab w:val="clear" w:pos="284"/>
              <w:tab w:val="clear" w:pos="9628"/>
              <w:tab w:val="right" w:pos="9637" w:leader="dot"/>
            </w:tabs>
            <w:rPr/>
          </w:pPr>
          <w:r>
            <w:rPr>
              <w:vanish w:val="false"/>
            </w:rPr>
            <w:t>12. AVALUACIÓ DE LA PRÁCTICA DOCENT</w:t>
            <w:tab/>
            <w:t>26</w:t>
          </w:r>
          <w:r>
            <w:rPr>
              <w:vanish w:val="false"/>
            </w:rPr>
            <w:fldChar w:fldCharType="end"/>
          </w:r>
        </w:p>
      </w:sdtContent>
    </w:sdt>
    <w:p>
      <w:pPr>
        <w:pStyle w:val="Normal"/>
        <w:tabs>
          <w:tab w:val="clear" w:pos="720"/>
          <w:tab w:val="right" w:pos="9637" w:leader="none"/>
        </w:tabs>
        <w:spacing w:before="200" w:after="80"/>
        <w:rPr>
          <w:b/>
          <w:color w:val="ED7D31"/>
          <w:sz w:val="22"/>
          <w:szCs w:val="22"/>
        </w:rPr>
      </w:pPr>
      <w:r>
        <w:rPr>
          <w:b/>
          <w:color w:val="ED7D31"/>
          <w:sz w:val="22"/>
          <w:szCs w:val="22"/>
        </w:rPr>
      </w:r>
      <w:bookmarkStart w:id="2" w:name="OLE_LINK2_Copia_1"/>
      <w:bookmarkStart w:id="3" w:name="OLE_LINK1_Copia_1"/>
      <w:bookmarkStart w:id="4" w:name="OLE_LINK2_Copia_1"/>
      <w:bookmarkStart w:id="5" w:name="OLE_LINK1_Copia_1"/>
      <w:bookmarkEnd w:id="4"/>
      <w:bookmarkEnd w:id="5"/>
    </w:p>
    <w:p>
      <w:pPr>
        <w:pStyle w:val="Normal"/>
        <w:rPr/>
      </w:pPr>
      <w:r>
        <w:rPr/>
      </w:r>
      <w:bookmarkStart w:id="6" w:name="_heading=h.xusvg0vrzne5"/>
      <w:bookmarkStart w:id="7" w:name="_heading=h.30j0zll"/>
      <w:bookmarkStart w:id="8" w:name="_heading=h.vhnp4gs9ana5"/>
      <w:bookmarkStart w:id="9" w:name="_heading=h.n165ulmy99z7"/>
      <w:bookmarkStart w:id="10" w:name="_heading=h.xusvg0vrzne5"/>
      <w:bookmarkStart w:id="11" w:name="_heading=h.30j0zll"/>
      <w:bookmarkStart w:id="12" w:name="_heading=h.vhnp4gs9ana5"/>
      <w:bookmarkStart w:id="13" w:name="_heading=h.n165ulmy99z7"/>
      <w:bookmarkEnd w:id="10"/>
      <w:bookmarkEnd w:id="11"/>
      <w:bookmarkEnd w:id="12"/>
      <w:bookmarkEnd w:id="13"/>
    </w:p>
    <w:p>
      <w:pPr>
        <w:pStyle w:val="Normal"/>
        <w:rPr>
          <w:rFonts w:ascii="Arial" w:hAnsi="Arial" w:eastAsia="Arial" w:cs="Arial"/>
          <w:b/>
          <w:sz w:val="32"/>
          <w:szCs w:val="32"/>
        </w:rPr>
      </w:pPr>
      <w:r>
        <w:rPr>
          <w:rFonts w:eastAsia="Arial" w:cs="Arial" w:ascii="Arial" w:hAnsi="Arial"/>
          <w:b/>
          <w:sz w:val="32"/>
          <w:szCs w:val="32"/>
        </w:rPr>
      </w:r>
    </w:p>
    <w:p>
      <w:pPr>
        <w:pStyle w:val="Heading1"/>
        <w:pageBreakBefore w:val="false"/>
        <w:widowControl w:val="false"/>
        <w:numPr>
          <w:ilvl w:val="0"/>
          <w:numId w:val="0"/>
        </w:numPr>
        <w:suppressAutoHyphens w:val="true"/>
        <w:spacing w:before="0" w:after="120"/>
        <w:ind w:hanging="431" w:start="431"/>
        <w:jc w:val="start"/>
        <w:rPr>
          <w:color w:val="ED7D31"/>
        </w:rPr>
      </w:pPr>
      <w:r>
        <w:rPr>
          <w:color w:val="ED7D31"/>
        </w:rPr>
      </w:r>
      <w:r>
        <w:br w:type="page"/>
      </w:r>
    </w:p>
    <w:p>
      <w:pPr>
        <w:pStyle w:val="Heading1"/>
        <w:numPr>
          <w:ilvl w:val="0"/>
          <w:numId w:val="2"/>
        </w:numPr>
        <w:spacing w:before="0" w:after="120"/>
        <w:ind w:hanging="431" w:start="431"/>
        <w:rPr>
          <w:color w:val="ED7D31"/>
        </w:rPr>
      </w:pPr>
      <w:bookmarkStart w:id="14" w:name="__RefHeading___Toc3358_3429816007"/>
      <w:bookmarkStart w:id="15" w:name="_Toc194271411"/>
      <w:bookmarkEnd w:id="14"/>
      <w:r>
        <w:rPr>
          <w:color w:val="ED7D31"/>
        </w:rPr>
        <w:t>INTRODUCCIÓ</w:t>
      </w:r>
      <w:bookmarkEnd w:id="15"/>
    </w:p>
    <w:p>
      <w:pPr>
        <w:pStyle w:val="Normal"/>
        <w:spacing w:lineRule="auto" w:line="360" w:before="240" w:after="113"/>
        <w:jc w:val="both"/>
        <w:rPr>
          <w:rFonts w:ascii="Arial" w:hAnsi="Arial" w:eastAsia="Arial" w:cs="Arial"/>
          <w:color w:val="000000"/>
          <w:sz w:val="22"/>
          <w:szCs w:val="22"/>
        </w:rPr>
      </w:pPr>
      <w:r>
        <w:rPr>
          <w:rFonts w:eastAsia="Arial" w:cs="Arial" w:ascii="Arial" w:hAnsi="Arial"/>
          <w:color w:themeColor="text1" w:val="000000"/>
          <w:sz w:val="22"/>
          <w:szCs w:val="22"/>
        </w:rPr>
        <w:t>El present document és la programació didàctica del mòd</w:t>
      </w:r>
      <w:r>
        <w:rPr>
          <w:rFonts w:eastAsia="Arial" w:cs="Arial" w:ascii="Arial" w:hAnsi="Arial"/>
          <w:color w:themeColor="text1" w:val="000000"/>
          <w:sz w:val="22"/>
          <w:szCs w:val="22"/>
          <w:lang w:val="es-ES" w:eastAsia="es-ES_tradnl"/>
        </w:rPr>
        <w:t xml:space="preserve">ul, Muntatge i manteniment de sistemes i components informàtics, que s'imparteix en el primer curs del Cicle Formatiu de Grau Bàsic, corresponent al </w:t>
      </w:r>
      <w:bookmarkStart w:id="16" w:name="OLE_LINK12"/>
      <w:r>
        <w:rPr>
          <w:rFonts w:eastAsia="Arial" w:cs="Arial" w:ascii="Arial" w:hAnsi="Arial"/>
          <w:color w:themeColor="text1" w:val="000000"/>
          <w:sz w:val="22"/>
          <w:szCs w:val="22"/>
          <w:lang w:val="es-ES" w:eastAsia="es-ES_tradnl"/>
        </w:rPr>
        <w:t>Títol Professional Bàsic en Informàtica d’Oficina.</w:t>
      </w:r>
      <w:bookmarkEnd w:id="16"/>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themeColor="text1" w:val="000000"/>
          <w:sz w:val="22"/>
          <w:szCs w:val="22"/>
        </w:rPr>
        <w:t>La durada del mòdul a la Comunitat Valenciana és de 255 hores lectives i es desenvolupa al llarg de primer curs, a raó de 8 hores setmanals.</w:t>
      </w:r>
    </w:p>
    <w:p>
      <w:pPr>
        <w:pStyle w:val="Heading2"/>
        <w:numPr>
          <w:ilvl w:val="1"/>
          <w:numId w:val="2"/>
        </w:numPr>
        <w:spacing w:before="240" w:after="240"/>
        <w:rPr>
          <w:b w:val="false"/>
          <w:bCs w:val="false"/>
          <w:i w:val="false"/>
          <w:i w:val="false"/>
          <w:iCs w:val="false"/>
          <w:color w:val="ED7D31"/>
        </w:rPr>
      </w:pPr>
      <w:bookmarkStart w:id="17" w:name="__RefHeading___Toc3360_3429816007"/>
      <w:bookmarkStart w:id="18" w:name="_Toc194271412"/>
      <w:bookmarkEnd w:id="17"/>
      <w:r>
        <w:rPr>
          <w:b w:val="false"/>
          <w:bCs w:val="false"/>
          <w:i w:val="false"/>
          <w:iCs w:val="false"/>
          <w:color w:val="ED7D31"/>
        </w:rPr>
        <w:t>Marc legal</w:t>
      </w:r>
      <w:bookmarkEnd w:id="18"/>
    </w:p>
    <w:p>
      <w:pPr>
        <w:pStyle w:val="Normal"/>
        <w:spacing w:lineRule="auto" w:line="360" w:before="0" w:after="120"/>
        <w:jc w:val="both"/>
        <w:rPr>
          <w:rFonts w:ascii="Arial" w:hAnsi="Arial" w:eastAsia="Arial" w:cs="Arial"/>
          <w:color w:val="000000"/>
          <w:sz w:val="22"/>
          <w:szCs w:val="22"/>
        </w:rPr>
      </w:pPr>
      <w:r>
        <w:rPr>
          <w:rFonts w:eastAsia="Arial" w:cs="Arial" w:ascii="Arial" w:hAnsi="Arial"/>
          <w:color w:val="000000"/>
          <w:sz w:val="22"/>
          <w:szCs w:val="22"/>
        </w:rPr>
        <w:t xml:space="preserve">El mòdul </w:t>
      </w:r>
      <w:r>
        <w:rPr>
          <w:rFonts w:eastAsia="Arial" w:cs="Arial" w:ascii="Arial" w:hAnsi="Arial"/>
          <w:color w:themeColor="text1" w:val="000000"/>
          <w:sz w:val="22"/>
          <w:szCs w:val="22"/>
        </w:rPr>
        <w:t>d’Ofimàtica i arxiu de documents</w:t>
      </w:r>
      <w:r>
        <w:rPr>
          <w:rFonts w:eastAsia="Arial" w:cs="Arial" w:ascii="Arial" w:hAnsi="Arial"/>
          <w:color w:val="000000"/>
          <w:sz w:val="22"/>
          <w:szCs w:val="22"/>
        </w:rPr>
        <w:t xml:space="preserve"> en el primer curs del Cicle Formatiu de Grau Bàsic corresponent al </w:t>
      </w:r>
      <w:r>
        <w:rPr>
          <w:rFonts w:eastAsia="Arial" w:cs="Arial" w:ascii="Arial" w:hAnsi="Arial"/>
          <w:color w:themeColor="text1" w:val="000000"/>
          <w:sz w:val="22"/>
          <w:szCs w:val="22"/>
        </w:rPr>
        <w:t>títol Professional Bàsic en Informàtica d’Oficina</w:t>
      </w:r>
      <w:r>
        <w:rPr>
          <w:rFonts w:eastAsia="Arial" w:cs="Arial" w:ascii="Arial" w:hAnsi="Arial"/>
          <w:color w:val="000000"/>
          <w:sz w:val="22"/>
          <w:szCs w:val="22"/>
        </w:rPr>
        <w:t>, de la família professional d'Informàtica i Comunicacions, corresponent-se amb el nivell CINE-3.5.3 (Classificació Internacional Normalitzada de l'Educació). Codi Referent europeu 3031.</w:t>
      </w:r>
    </w:p>
    <w:p>
      <w:pPr>
        <w:pStyle w:val="Normal"/>
        <w:spacing w:lineRule="auto" w:line="360" w:before="0" w:after="120"/>
        <w:jc w:val="both"/>
        <w:rPr>
          <w:rFonts w:ascii="Arial" w:hAnsi="Arial" w:eastAsia="Arial" w:cs="Arial"/>
          <w:color w:val="000000"/>
          <w:sz w:val="22"/>
          <w:szCs w:val="22"/>
        </w:rPr>
      </w:pPr>
      <w:r>
        <w:rPr>
          <w:rFonts w:eastAsia="Arial" w:cs="Arial" w:ascii="Arial" w:hAnsi="Arial"/>
          <w:color w:themeColor="text1" w:val="000000"/>
          <w:sz w:val="22"/>
          <w:szCs w:val="22"/>
        </w:rPr>
        <w:t>La principal normativa que regula aquestes ensenyances es:</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Llei Orgànica 2/2006 (LOE).</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Llei Orgànica 3/2020 (LOMLOE).</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Llei Orgànica 3/2022, de 31 de març, d'ordenació i integració de la Formació Professional</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Reial decret 659/2023, de 18 de juliol, pel qual es desenvolupa l'ordenació del Sistema de Formació Professional</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Reial decret 278/2023, d'11 d'abril, pel qual s'estableix el calendari d'implantació del Sistema de Formació Professional establert per la Llei orgànica 3/2022, de 31 de març, d'ordenació i integració de la Formació Professional</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Reial decret 1147/2011, de 29 de juliol, pel qual s'estableix l'ordenació general de la formació professional del sistema educatiu</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 xml:space="preserve">Reial decret 356/2014, de 16 de maig, pel qual s'establixen set títols de Formació Professional Bàsica del catàleg de títols dels ensenyaments de Formació Professional. </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 xml:space="preserve">Reial decret 498/2024, de 21 de maig, pel qual es modifiquen determinats reials decrets pels quals s'establixen títols de Formació Professional de grau bàsic i es fixen els seus ensenyaments mínims. </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DECRET 117/2025, de 5 d’agost, del Consell, pel qual establixen els currículums dels cicles formatius de Grau Bàsic de Formació Professional, en aplicació de la Llei orgànica 3/2022, de 31 de març, d’ordenació i integració de la Formació Professional.</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RESOLUCIÓ de 17 de juliol de 2025, de la Secretaria Autonòmica d’Educació, per la qual es dicten instruccions sobre ordenació acadèmica i d’organització dels centres que impartisquen els graus D i E de Formació Professional durant el curs 2025-2026 a la Comunitat Valenciana.</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Ordre 78/2010, de 27 d'agost, per la qual es regulen determinats aspectes de l'ordenació i organització acadèmica dels cicles formatius de Formació Professional del sistema educatiu en l'àmbit territorial de la Comunitat Valenciana.</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Decret 74/2013, de 14 de juny, del Consell, pel qual es regula la Formació Professional Dual del sistema educatiu a la Comunitat Valenciana</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Ordre 5/2022, de 15 de febrer, de la Conselleria d’Educació, Cultura i Esport, per la qual es regulen determinats aspectes de l’ordenació de la Formació Professional Dual del sistema educatiu a la Comunitat Valenciana</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ORDE 8/2025, de 22 d’abril, de la Conselleria d’Educació, Cultura, Universitats i Ocupació, per la qual es regula l’avaluació del procés d’ensenyança-aprenentatge en cicles formatius i cursos d’especialització derivats de la Llei orgànica 3/2022, de 31 de març, d’ordenació i integració de la Formació Professional.</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Decret 104/2018, de 27 de juliol, del Consell, pel qual es desenvolupen els principis d'equitat i d'inclusió en el sistema educatiu valencià.</w:t>
      </w:r>
    </w:p>
    <w:p>
      <w:pPr>
        <w:pStyle w:val="ListParagraph"/>
        <w:numPr>
          <w:ilvl w:val="0"/>
          <w:numId w:val="7"/>
        </w:numPr>
        <w:spacing w:lineRule="auto" w:line="360" w:before="0" w:after="120"/>
        <w:contextualSpacing/>
        <w:jc w:val="both"/>
        <w:rPr>
          <w:rFonts w:ascii="Arial" w:hAnsi="Arial" w:eastAsia="Arial" w:cs="Arial"/>
          <w:color w:themeColor="text1" w:val="000000"/>
          <w:sz w:val="22"/>
          <w:szCs w:val="22"/>
        </w:rPr>
      </w:pPr>
      <w:r>
        <w:rPr>
          <w:rFonts w:eastAsia="Arial" w:cs="Arial" w:ascii="Arial" w:hAnsi="Arial"/>
          <w:color w:themeColor="text1" w:val="000000"/>
          <w:sz w:val="22"/>
          <w:szCs w:val="22"/>
        </w:rPr>
        <w:t>Ordre 20/2019, de 30 d'abril, de la Conselleria d'Educació, Investigació, Cultura i Esport, per la qual es regula l'organització de la resposta educativa per a la inclusió de l'alumnat en els centres docents sostinguts amb fons públics del sistema educatiu valencià.</w:t>
      </w:r>
    </w:p>
    <w:p>
      <w:pPr>
        <w:pStyle w:val="Heading2"/>
        <w:numPr>
          <w:ilvl w:val="1"/>
          <w:numId w:val="2"/>
        </w:numPr>
        <w:spacing w:before="240" w:after="240"/>
        <w:ind w:hanging="709" w:start="709"/>
        <w:jc w:val="both"/>
        <w:rPr>
          <w:b w:val="false"/>
          <w:bCs w:val="false"/>
          <w:i w:val="false"/>
          <w:i w:val="false"/>
          <w:iCs w:val="false"/>
          <w:color w:val="ED7D31"/>
          <w:lang w:val="es-ES"/>
        </w:rPr>
      </w:pPr>
      <w:bookmarkStart w:id="19" w:name="__RefHeading___Toc3362_3429816007"/>
      <w:bookmarkStart w:id="20" w:name="_Toc194271413"/>
      <w:bookmarkEnd w:id="19"/>
      <w:r>
        <w:rPr>
          <w:b w:val="false"/>
          <w:bCs w:val="false"/>
          <w:i w:val="false"/>
          <w:iCs w:val="false"/>
          <w:color w:themeColor="accent2" w:val="ED7D31"/>
          <w:lang w:val="es-ES"/>
        </w:rPr>
        <w:t>Contextualització i característiques de l'alumnat</w:t>
      </w:r>
      <w:bookmarkEnd w:id="20"/>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centre educatiu on es desenvolupa aquest mòdul és l’IES Mestre Ramón Esteve. El centre està situat en la població de Catadau.</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En el centre s’imparteix ESO, Batxillerat, F.P Bàsica d’Informàtica d’Oficina,  el cicle formatiu de Grau Mitjà de Sistemes Microinformàtics i Xarxes i el cicle formatiu de Grau Superior de Desenvolupament d'Aplicacions Web, tots de la família d'informàtica i comunicacions.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centre disposa de recursos i instal·lacions que permeten desenvolupar activitats de muntatge o reparació d'equips, instal·lació i configuració de xarxes, entre altres. També compta amb la plataforma educativa Aules com a suport per al mòdul. Respecte a l'aula en la qual treballaran habitualment els alumnes, es tracta d'una aula d'informàtica amb un ordinador per alumne i un altre per al professor. D'altra banda, l'aula també disposa de projector, i connexió a Internet per a tots els equips.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themeColor="text1" w:val="000000"/>
          <w:sz w:val="22"/>
          <w:szCs w:val="22"/>
        </w:rPr>
        <w:t>Respecte a l’alumnat que cursa 2n d’FPB, en la majoria de casos, ens trobarem amb alumnes la major motivació dels quals, és aconseguir un títol per a accedir al món laboral o obtindre el títol de la E.S.O.</w:t>
      </w:r>
    </w:p>
    <w:p>
      <w:pPr>
        <w:pStyle w:val="Normal"/>
        <w:spacing w:lineRule="auto" w:line="360" w:before="0" w:after="113"/>
        <w:jc w:val="both"/>
        <w:rPr>
          <w:rFonts w:ascii="Arial" w:hAnsi="Arial" w:eastAsia="Arial" w:cs="Arial"/>
          <w:b/>
          <w:sz w:val="32"/>
          <w:szCs w:val="32"/>
          <w:highlight w:val="lightGray"/>
        </w:rPr>
      </w:pPr>
      <w:r>
        <w:rPr>
          <w:rFonts w:eastAsia="Arial" w:cs="Arial" w:ascii="Arial" w:hAnsi="Arial"/>
          <w:color w:val="000000"/>
          <w:sz w:val="22"/>
          <w:szCs w:val="22"/>
        </w:rPr>
        <w:t xml:space="preserve">Aquest curs es té un total de 6 alumnes. Aquests són de la pròpia localitat o de localitats pròximes com Alfarb, Llombai, </w:t>
      </w:r>
      <w:bookmarkStart w:id="21" w:name="_heading=h.tyjcwt"/>
      <w:bookmarkEnd w:id="21"/>
      <w:r>
        <w:rPr>
          <w:rFonts w:eastAsia="Arial" w:cs="Arial" w:ascii="Arial" w:hAnsi="Arial"/>
          <w:color w:val="000000"/>
          <w:sz w:val="22"/>
          <w:szCs w:val="22"/>
        </w:rPr>
        <w:t>Almussafes.</w:t>
      </w:r>
      <w:r>
        <w:br w:type="page"/>
      </w:r>
    </w:p>
    <w:p>
      <w:pPr>
        <w:pStyle w:val="Heading1"/>
        <w:numPr>
          <w:ilvl w:val="0"/>
          <w:numId w:val="2"/>
        </w:numPr>
        <w:spacing w:before="0" w:after="120"/>
        <w:ind w:hanging="431" w:start="431"/>
        <w:rPr>
          <w:color w:val="ED7D31"/>
        </w:rPr>
      </w:pPr>
      <w:bookmarkStart w:id="22" w:name="__RefHeading___Toc3364_3429816007"/>
      <w:bookmarkStart w:id="23" w:name="_Toc194271414"/>
      <w:bookmarkEnd w:id="22"/>
      <w:r>
        <w:rPr>
          <w:color w:val="ED7D31"/>
        </w:rPr>
        <w:t>OBJECTIUS</w:t>
      </w:r>
      <w:bookmarkEnd w:id="23"/>
    </w:p>
    <w:p>
      <w:pPr>
        <w:pStyle w:val="Heading2"/>
        <w:numPr>
          <w:ilvl w:val="1"/>
          <w:numId w:val="2"/>
        </w:numPr>
        <w:spacing w:before="240" w:after="240"/>
        <w:rPr>
          <w:b w:val="false"/>
          <w:bCs w:val="false"/>
          <w:i w:val="false"/>
          <w:i w:val="false"/>
          <w:iCs w:val="false"/>
          <w:color w:val="ED7D31"/>
          <w:lang w:val="es-ES"/>
        </w:rPr>
      </w:pPr>
      <w:bookmarkStart w:id="24" w:name="__RefHeading___Toc3366_3429816007"/>
      <w:bookmarkStart w:id="25" w:name="_Toc194271415"/>
      <w:bookmarkEnd w:id="24"/>
      <w:r>
        <w:rPr>
          <w:b w:val="false"/>
          <w:bCs w:val="false"/>
          <w:i w:val="false"/>
          <w:iCs w:val="false"/>
          <w:color w:themeColor="accent2" w:val="ED7D31"/>
          <w:lang w:val="es-ES"/>
        </w:rPr>
        <w:t>Objectius generals del cicle formatiu</w:t>
      </w:r>
      <w:bookmarkEnd w:id="25"/>
    </w:p>
    <w:p>
      <w:pPr>
        <w:pStyle w:val="Normal"/>
        <w:spacing w:lineRule="auto" w:line="360" w:before="0" w:after="80"/>
        <w:jc w:val="both"/>
        <w:rPr>
          <w:rFonts w:ascii="Arial" w:hAnsi="Arial" w:eastAsia="Arial" w:cs="Arial"/>
          <w:color w:val="000000"/>
          <w:sz w:val="22"/>
          <w:szCs w:val="22"/>
        </w:rPr>
      </w:pPr>
      <w:r>
        <w:rPr>
          <w:rFonts w:eastAsia="Arial" w:cs="Arial" w:ascii="Arial" w:hAnsi="Arial"/>
          <w:color w:themeColor="text1" w:val="000000"/>
          <w:sz w:val="22"/>
          <w:szCs w:val="22"/>
        </w:rPr>
        <w:t>Els objectius generals d'aquest cicle formatiu són els següents: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 xml:space="preserve">a) </w:t>
        <w:tab/>
        <w:t>Instal·lar aplicacions informàtiques, integrant-les en el sistema operatiu i xarxa de l'oficina, per al seu ús en xarxa en el tractament i impressió de dades, textos i presentacions i el seu posterior arxivat.</w:t>
      </w:r>
    </w:p>
    <w:p>
      <w:pPr>
        <w:pStyle w:val="Normal"/>
        <w:spacing w:lineRule="auto" w:line="360" w:before="0" w:after="80"/>
        <w:ind w:hanging="425" w:start="567"/>
        <w:jc w:val="both"/>
        <w:rPr>
          <w:b w:val="false"/>
          <w:bCs w:val="false"/>
        </w:rPr>
      </w:pPr>
      <w:r>
        <w:rPr>
          <w:rFonts w:eastAsia="Arial" w:cs="Arial" w:ascii="Arial" w:hAnsi="Arial"/>
          <w:b w:val="false"/>
          <w:bCs w:val="false"/>
          <w:color w:themeColor="text1" w:val="000000"/>
          <w:sz w:val="22"/>
          <w:szCs w:val="22"/>
        </w:rPr>
        <w:t>b)</w:t>
        <w:tab/>
        <w:t>Utilitzar les aplicacions informàtiques per a tractament de de text i fulls de càlcul aplicant procediments d'escriptura al tacte amb exactitud i rapidesa, utilitzant un sistema de gravació segur.</w:t>
      </w:r>
    </w:p>
    <w:p>
      <w:pPr>
        <w:pStyle w:val="Normal"/>
        <w:spacing w:lineRule="auto" w:line="360" w:before="0" w:after="80"/>
        <w:ind w:hanging="425" w:start="567"/>
        <w:jc w:val="both"/>
        <w:rPr>
          <w:b w:val="false"/>
          <w:bCs w:val="false"/>
        </w:rPr>
      </w:pPr>
      <w:r>
        <w:rPr>
          <w:rFonts w:eastAsia="Arial" w:cs="Arial" w:ascii="Arial" w:hAnsi="Arial"/>
          <w:b w:val="false"/>
          <w:bCs w:val="false"/>
          <w:color w:themeColor="text1" w:val="000000"/>
          <w:sz w:val="22"/>
          <w:szCs w:val="22"/>
        </w:rPr>
        <w:t>c)</w:t>
        <w:tab/>
        <w:t>Desenvolupar activitats de registre i enquadernació de documents.</w:t>
      </w:r>
    </w:p>
    <w:p>
      <w:pPr>
        <w:pStyle w:val="Normal"/>
        <w:spacing w:lineRule="auto" w:line="360" w:before="0" w:after="80"/>
        <w:ind w:hanging="425" w:start="567"/>
        <w:jc w:val="both"/>
        <w:rPr>
          <w:b/>
          <w:bCs/>
        </w:rPr>
      </w:pPr>
      <w:r>
        <w:rPr>
          <w:rFonts w:eastAsia="Arial" w:cs="Arial" w:ascii="Arial" w:hAnsi="Arial"/>
          <w:b/>
          <w:bCs/>
          <w:color w:themeColor="text1" w:val="000000"/>
          <w:sz w:val="22"/>
          <w:szCs w:val="22"/>
        </w:rPr>
        <w:t>d)</w:t>
        <w:tab/>
        <w:t>Acoblar i connectar components i perifèrics utilitzant les ferramentes adequades, aplicant procediments i normes, per a muntar sistemes microinformàtics i xarxes i interpretant i aplicant les instruccions de catàlegs de fabricants d'equips i sistemes.</w:t>
      </w:r>
    </w:p>
    <w:p>
      <w:pPr>
        <w:pStyle w:val="Normal"/>
        <w:spacing w:lineRule="auto" w:line="360" w:before="0" w:after="80"/>
        <w:ind w:hanging="425" w:start="567"/>
        <w:jc w:val="both"/>
        <w:rPr>
          <w:b/>
          <w:bCs/>
        </w:rPr>
      </w:pPr>
      <w:r>
        <w:rPr>
          <w:rFonts w:eastAsia="Arial" w:cs="Arial" w:ascii="Arial" w:hAnsi="Arial"/>
          <w:b/>
          <w:bCs/>
          <w:color w:themeColor="text1" w:val="000000"/>
          <w:sz w:val="22"/>
          <w:szCs w:val="22"/>
        </w:rPr>
        <w:t>e)</w:t>
        <w:tab/>
        <w:t>Substituir i ajustar components físics i lògics per a mantindre sistemes microinformàtics i xarxes locals, aplicant tècniques de localització d'avaries senzilles en els sistemes i equips informàtics seguint pautes establides per a mantindre sistemes microinformàtics i xarxes locals.</w:t>
      </w:r>
    </w:p>
    <w:p>
      <w:pPr>
        <w:pStyle w:val="Normal"/>
        <w:spacing w:lineRule="auto" w:line="360" w:before="0" w:after="80"/>
        <w:ind w:hanging="425" w:start="567"/>
        <w:jc w:val="both"/>
        <w:rPr>
          <w:b/>
          <w:bCs/>
        </w:rPr>
      </w:pPr>
      <w:r>
        <w:rPr>
          <w:rFonts w:eastAsia="Arial" w:cs="Arial" w:ascii="Arial" w:hAnsi="Arial"/>
          <w:b/>
          <w:bCs/>
          <w:color w:themeColor="text1" w:val="000000"/>
          <w:sz w:val="22"/>
          <w:szCs w:val="22"/>
        </w:rPr>
        <w:t>f)</w:t>
        <w:tab/>
        <w:t>Identificar i aplicar tècniques de verificació en el muntatge i el manteniment seguint pautes establides per a realitzar comprovacions rutinàries.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g)</w:t>
        <w:tab/>
        <w:t>Situar i fixar canalitzacions i altres elements d'una xarxa local cablejada, sense fil o mixta, aplicant procediments de muntatge i protocols de qualitat i seguretat, per a instal·lar i configurar xarxes locals.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h)</w:t>
        <w:tab/>
        <w:t>Aplicar tècniques de preparat, conformat i guiat de cables, preparant els espais i manejant equips i ferramentes per a tendir el cablejat en xarxes de dades.</w:t>
      </w:r>
    </w:p>
    <w:p>
      <w:pPr>
        <w:pStyle w:val="Normal"/>
        <w:spacing w:lineRule="auto" w:line="360" w:before="0" w:after="80"/>
        <w:ind w:hanging="425" w:start="567"/>
        <w:jc w:val="both"/>
        <w:rPr>
          <w:b w:val="false"/>
          <w:bCs w:val="false"/>
        </w:rPr>
      </w:pPr>
      <w:r>
        <w:rPr>
          <w:rFonts w:eastAsia="Arial" w:cs="Arial" w:ascii="Arial" w:hAnsi="Arial"/>
          <w:b w:val="false"/>
          <w:bCs w:val="false"/>
          <w:color w:themeColor="text1" w:val="000000"/>
          <w:sz w:val="22"/>
          <w:szCs w:val="22"/>
        </w:rPr>
        <w:t>i)</w:t>
        <w:tab/>
        <w:t>Reconéixer les ferramentes del sistema operatiu i perifèrics manejant-les per a realitzar configuracions i resoldre problemes d'acord amb les instruccions del fabricant.</w:t>
      </w:r>
    </w:p>
    <w:p>
      <w:pPr>
        <w:pStyle w:val="Normal"/>
        <w:spacing w:lineRule="auto" w:line="360" w:before="0" w:after="80"/>
        <w:ind w:hanging="425" w:start="567"/>
        <w:jc w:val="both"/>
        <w:rPr>
          <w:b w:val="false"/>
          <w:bCs w:val="false"/>
        </w:rPr>
      </w:pPr>
      <w:r>
        <w:rPr>
          <w:rFonts w:eastAsia="Arial" w:cs="Arial" w:ascii="Arial" w:hAnsi="Arial"/>
          <w:b w:val="false"/>
          <w:bCs w:val="false"/>
          <w:color w:themeColor="text1" w:val="000000"/>
          <w:sz w:val="22"/>
          <w:szCs w:val="22"/>
        </w:rPr>
        <w:t>j)</w:t>
        <w:tab/>
        <w:t>Elaborar i modificar informes senzills i fitxes de treball per a manejar aplicacions ofimàtiques de processadors de text.</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b w:val="false"/>
          <w:bCs w:val="false"/>
          <w:color w:themeColor="text1" w:val="000000"/>
          <w:sz w:val="22"/>
          <w:szCs w:val="22"/>
        </w:rPr>
        <w:t>k)</w:t>
        <w:tab/>
        <w:t>Comprendre els fenòmens que esdevenen en l'entorn natural mitjançant el coneixement científic com un saber integr</w:t>
      </w:r>
      <w:r>
        <w:rPr>
          <w:rFonts w:eastAsia="Arial" w:cs="Arial" w:ascii="Arial" w:hAnsi="Arial"/>
          <w:color w:themeColor="text1" w:val="000000"/>
          <w:sz w:val="22"/>
          <w:szCs w:val="22"/>
        </w:rPr>
        <w:t>at, així com conéixer i aplicar els mètodes per a identificar i resoldre problemes bàsics en els diversos camps del coneixement i de l'experiència.</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l)</w:t>
        <w:tab/>
        <w:t>Desenvolupar habilitats per a formular, plantejar, interpretar i resoldre problemes aplicar el raonament de càlcul matemàtic per a desembolicar-se en la societat, en l'entorn laboral i gestionar els seus recursos econòmics.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m)</w:t>
        <w:tab/>
        <w:t>Identificar i comprendre els aspectes bàsics de funcionament del cos humà i posar-los en relació amb la salut individual i col·lectiva i valorar la higiene i la salut per a permetre el desenvolupament i fiançament d'hàbits saludables de vida en funció de l'entorn en el qual es troba.</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n)</w:t>
        <w:tab/>
        <w:t>Desenvolupar hàbits i valors concordes amb la conservació i sostenibilitat del patrimoni natural, comprenent la interacció entre els éssers vius i el medi natural per a valorar les conseqüències que es deriven de l'acció humana sobre l'equilibri mediambiental.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ñ)</w:t>
        <w:tab/>
        <w:t>Desenvolupar les destreses bàsiques de les fonts d'informació utilitzant amb sentit crític les tecnologies de la informació i de la comunicació per a obtindre i comunicar informació en l'entorn personal, social o professional.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o)</w:t>
        <w:tab/>
        <w:t>Reconéixer característiques bàsiques de produccions culturals i artístiques, aplicant tècniques d'anàlisi bàsica dels seus elements per a actuar amb respecte i sensibilitat cap a la diversitat cultural, el patrimoni historicoartístic i les manifestacions culturals i artístiques.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p)</w:t>
        <w:tab/>
        <w:t>Desenvolupar i afermar habilitats i destreses lingüístiques i aconseguir el nivell de precisió, claredat i fluïdesa requerides, utilitzant els coneixements sobre la llengua castellana i, si és el cas, la llengua cooficial per a comunicar-se en el seu entorn social, en la seua vida quotidiana i en l'activitat laboral.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 xml:space="preserve">q) </w:t>
        <w:tab/>
        <w:t>Desenvolupar habilitats lingüístiques bàsiques en llengua estrangera per a comunicar-se de manera oral i escrita en situacions habituals i predictibles de la vida quotidiana i professional.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r)</w:t>
        <w:tab/>
        <w:t>Reconéixer causes i trets propis de fenòmens i esdeveniments contemporanis, evolució històrica, distribució geogràfica per a explicar les característiques pròpies de les societats contemporànies.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s)</w:t>
        <w:tab/>
        <w:t>Desenvolupar valors i hàbits de comportament basats en principis democràtics, aplicant-los en les seues relacions socials habituals i en la resolució pacífica dels conflictes.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t)</w:t>
        <w:tab/>
        <w:t>Comparar i seleccionar recursos i ofertes formatives existents per a l'aprenentatge al llarg de la vida per a adaptar-se a les noves situacions laborals i personals.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o)</w:t>
        <w:tab/>
        <w:t>Desenvolupar la iniciativa, la creativitat i l'esperit emprenedor, així com la confiança en si mateix, la participació i l'esperit crític per a resoldre situacions i incidències tant de l'activitat professional com de la personal.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v)</w:t>
        <w:tab/>
        <w:t>Desenvolupar treballs en equip, assumint els seus deures, respectant als altres i cooperant amb ells, actuant amb tolerància i respecte als altres per a la realització eficaç de les tasques i com a mitjà de desenvolupament personal.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w)</w:t>
        <w:tab/>
        <w:t>Utilitzar les tecnologies de la informació i de la comunicació per a informar-se, comunicar-se, aprendre i facilitar-se les tasques laborals.</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x)</w:t>
        <w:tab/>
        <w:t>Relacionar els riscos laborals i ambientals amb l'activitat laboral amb el propòsit d'utilitzar les mesures preventives corresponents per a la protecció personal, evitant danys a les altres persones i en el medi ambient.</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y)</w:t>
        <w:tab/>
        <w:t>Desenvolupar les tècniques de la seua activitat professional assegurant l'eficàcia i la qualitat en el seu treball, proposant, si escau, millores en les activitats de treball.</w:t>
      </w:r>
    </w:p>
    <w:p>
      <w:pPr>
        <w:pStyle w:val="Normal"/>
        <w:spacing w:lineRule="auto" w:line="360" w:before="0" w:after="80"/>
        <w:ind w:hanging="425" w:start="567"/>
        <w:jc w:val="both"/>
        <w:rPr>
          <w:rFonts w:ascii="Arial" w:hAnsi="Arial" w:eastAsia="Arial" w:cs="Arial"/>
          <w:color w:themeColor="text1" w:val="000000"/>
          <w:sz w:val="22"/>
          <w:szCs w:val="22"/>
        </w:rPr>
      </w:pPr>
      <w:r>
        <w:rPr>
          <w:rFonts w:eastAsia="Arial" w:cs="Arial" w:ascii="Arial" w:hAnsi="Arial"/>
          <w:color w:themeColor="text1" w:val="000000"/>
          <w:sz w:val="22"/>
          <w:szCs w:val="22"/>
        </w:rPr>
        <w:t>z)</w:t>
        <w:tab/>
        <w:t>Reconéixer els seus drets i deures com a agent actiu en la societat, tenint en compte el marc legal que regula les condicions socials i laborals per a participar com a ciutadà democràtic.</w:t>
      </w:r>
    </w:p>
    <w:p>
      <w:pPr>
        <w:pStyle w:val="Heading2"/>
        <w:numPr>
          <w:ilvl w:val="1"/>
          <w:numId w:val="2"/>
        </w:numPr>
        <w:spacing w:before="240" w:after="240"/>
        <w:rPr>
          <w:b w:val="false"/>
          <w:bCs w:val="false"/>
          <w:i w:val="false"/>
          <w:i w:val="false"/>
          <w:iCs w:val="false"/>
          <w:lang w:val="es-ES"/>
        </w:rPr>
      </w:pPr>
      <w:bookmarkStart w:id="26" w:name="__RefHeading___Toc3368_3429816007"/>
      <w:bookmarkStart w:id="27" w:name="_Toc194271416"/>
      <w:bookmarkEnd w:id="26"/>
      <w:r>
        <w:rPr>
          <w:b w:val="false"/>
          <w:bCs w:val="false"/>
          <w:i w:val="false"/>
          <w:iCs w:val="false"/>
          <w:color w:themeColor="accent2" w:val="ED7D31"/>
          <w:lang w:val="es-ES"/>
        </w:rPr>
        <w:t>Objectius del mòdul</w:t>
      </w:r>
      <w:bookmarkEnd w:id="27"/>
    </w:p>
    <w:p>
      <w:pPr>
        <w:pStyle w:val="Normal"/>
        <w:spacing w:lineRule="auto" w:line="360" w:before="0" w:after="80"/>
        <w:jc w:val="both"/>
        <w:rPr>
          <w:rFonts w:ascii="Arial" w:hAnsi="Arial" w:eastAsia="Arial" w:cs="Arial"/>
          <w:color w:val="000000"/>
          <w:sz w:val="22"/>
          <w:szCs w:val="22"/>
        </w:rPr>
      </w:pPr>
      <w:bookmarkStart w:id="28" w:name="_heading=h.2s8eyo1"/>
      <w:bookmarkEnd w:id="28"/>
      <w:r>
        <w:rPr>
          <w:rFonts w:eastAsia="Arial" w:cs="Arial" w:ascii="Arial" w:hAnsi="Arial"/>
          <w:color w:val="000000"/>
          <w:sz w:val="22"/>
          <w:szCs w:val="22"/>
        </w:rPr>
        <w:t>Els objectius defineixen les capacitats que l'alumnat ha de desenvolupar al llarg del procés educatiu. En aquest sentit, l'objectiu general de la Formació Professional és la inserció de l'alumnat en el món laboral.</w:t>
      </w:r>
    </w:p>
    <w:p>
      <w:pPr>
        <w:pStyle w:val="Normal"/>
        <w:spacing w:lineRule="auto" w:line="360" w:before="0" w:after="80"/>
        <w:jc w:val="both"/>
        <w:rPr>
          <w:rFonts w:ascii="Arial" w:hAnsi="Arial" w:eastAsia="Arial" w:cs="Arial"/>
          <w:color w:val="000000"/>
          <w:sz w:val="22"/>
          <w:szCs w:val="22"/>
        </w:rPr>
      </w:pPr>
      <w:bookmarkStart w:id="29" w:name="OLE_LINK7"/>
      <w:bookmarkStart w:id="30" w:name="OLE_LINK8"/>
      <w:r>
        <w:rPr>
          <w:rFonts w:eastAsia="Arial" w:cs="Arial" w:ascii="Arial" w:hAnsi="Arial"/>
          <w:color w:themeColor="text1" w:val="000000"/>
          <w:sz w:val="22"/>
          <w:szCs w:val="22"/>
        </w:rPr>
        <w:t xml:space="preserve">La formació del mòdul contribuïx a aconseguir </w:t>
      </w:r>
      <w:bookmarkEnd w:id="29"/>
      <w:bookmarkEnd w:id="30"/>
      <w:r>
        <w:rPr>
          <w:rFonts w:eastAsia="Arial" w:cs="Arial" w:ascii="Arial" w:hAnsi="Arial"/>
          <w:color w:themeColor="text1" w:val="000000"/>
          <w:sz w:val="22"/>
          <w:szCs w:val="22"/>
        </w:rPr>
        <w:t xml:space="preserve">els objectius generals </w:t>
      </w:r>
      <w:bookmarkStart w:id="31" w:name="OLE_LINK9"/>
      <w:bookmarkStart w:id="32" w:name="OLE_LINK10"/>
      <w:r>
        <w:rPr>
          <w:rFonts w:eastAsia="Arial" w:cs="Arial" w:ascii="Arial" w:hAnsi="Arial"/>
          <w:color w:themeColor="text1" w:val="000000"/>
          <w:sz w:val="22"/>
          <w:szCs w:val="22"/>
        </w:rPr>
        <w:t xml:space="preserve"> d), e) i f) del cicle. Es marquen amb negreta als objectius generals.</w:t>
      </w:r>
      <w:bookmarkEnd w:id="31"/>
      <w:bookmarkEnd w:id="32"/>
      <w:r>
        <w:br w:type="page"/>
      </w:r>
    </w:p>
    <w:p>
      <w:pPr>
        <w:pStyle w:val="Heading1"/>
        <w:numPr>
          <w:ilvl w:val="0"/>
          <w:numId w:val="2"/>
        </w:numPr>
        <w:spacing w:before="0" w:after="120"/>
        <w:ind w:hanging="431" w:start="431"/>
        <w:rPr>
          <w:color w:val="ED7D31"/>
        </w:rPr>
      </w:pPr>
      <w:bookmarkStart w:id="33" w:name="__RefHeading___Toc3370_3429816007"/>
      <w:bookmarkStart w:id="34" w:name="_Toc194271417"/>
      <w:bookmarkEnd w:id="33"/>
      <w:r>
        <w:rPr>
          <w:color w:val="ED7D31"/>
        </w:rPr>
        <w:t>COMPETÈNCIES</w:t>
      </w:r>
      <w:bookmarkEnd w:id="34"/>
    </w:p>
    <w:p>
      <w:pPr>
        <w:pStyle w:val="Heading2"/>
        <w:numPr>
          <w:ilvl w:val="1"/>
          <w:numId w:val="2"/>
        </w:numPr>
        <w:spacing w:before="240" w:after="240"/>
        <w:rPr>
          <w:b w:val="false"/>
          <w:bCs w:val="false"/>
          <w:i w:val="false"/>
          <w:i w:val="false"/>
          <w:iCs w:val="false"/>
          <w:color w:val="ED7D31"/>
          <w:lang w:val="es-ES"/>
        </w:rPr>
      </w:pPr>
      <w:bookmarkStart w:id="35" w:name="__RefHeading___Toc3372_3429816007"/>
      <w:bookmarkStart w:id="36" w:name="_Toc194271418"/>
      <w:bookmarkEnd w:id="35"/>
      <w:r>
        <w:rPr>
          <w:b w:val="false"/>
          <w:bCs w:val="false"/>
          <w:i w:val="false"/>
          <w:iCs w:val="false"/>
          <w:color w:themeColor="accent2" w:val="ED7D31"/>
          <w:lang w:val="es-ES"/>
        </w:rPr>
        <w:t>Competència general</w:t>
      </w:r>
      <w:bookmarkEnd w:id="36"/>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La competència general d'este títol consistix a realitzar operacions auxiliars de muntatge i manteniment de sistemes microinformàtics, perifèrics i xarxes de comunicació de dades, i de tractament, reproducció i arxiu de documents, operant amb la qualitat indicada i actuant en condicions de seguretat i de protecció ambiental amb responsabilitat i iniciativa personal i comunicant-se de manera oral i escrita en llengua castellana i si és el cas en la llengua cooficial pròpia així com en alguna llengua estrangera.</w:t>
      </w:r>
    </w:p>
    <w:p>
      <w:pPr>
        <w:pStyle w:val="Heading2"/>
        <w:numPr>
          <w:ilvl w:val="1"/>
          <w:numId w:val="2"/>
        </w:numPr>
        <w:spacing w:before="240" w:after="240"/>
        <w:rPr>
          <w:b w:val="false"/>
          <w:bCs w:val="false"/>
          <w:i w:val="false"/>
          <w:i w:val="false"/>
          <w:iCs w:val="false"/>
          <w:color w:val="ED7D31"/>
          <w:lang w:val="es-ES"/>
        </w:rPr>
      </w:pPr>
      <w:bookmarkStart w:id="37" w:name="__RefHeading___Toc3374_3429816007"/>
      <w:bookmarkStart w:id="38" w:name="_Toc194271419"/>
      <w:bookmarkEnd w:id="37"/>
      <w:r>
        <w:rPr>
          <w:b w:val="false"/>
          <w:bCs w:val="false"/>
          <w:i w:val="false"/>
          <w:iCs w:val="false"/>
          <w:color w:themeColor="accent2" w:val="ED7D31"/>
          <w:lang w:val="es-ES"/>
        </w:rPr>
        <w:t>Competències professionals i per a la ocupabilitat</w:t>
      </w:r>
      <w:bookmarkEnd w:id="38"/>
    </w:p>
    <w:p>
      <w:pPr>
        <w:pStyle w:val="Normal"/>
        <w:spacing w:lineRule="auto" w:line="360" w:before="0" w:after="80"/>
        <w:jc w:val="both"/>
        <w:rPr>
          <w:rFonts w:ascii="Arial" w:hAnsi="Arial" w:eastAsia="Arial" w:cs="Arial"/>
          <w:color w:val="000000"/>
          <w:sz w:val="22"/>
          <w:szCs w:val="22"/>
        </w:rPr>
      </w:pPr>
      <w:bookmarkStart w:id="39" w:name="OLE_LINK13"/>
      <w:bookmarkStart w:id="40" w:name="OLE_LINK14"/>
      <w:r>
        <w:rPr>
          <w:rFonts w:eastAsia="Arial" w:cs="Arial" w:ascii="Arial" w:hAnsi="Arial"/>
          <w:color w:themeColor="text1" w:val="000000"/>
          <w:sz w:val="22"/>
          <w:szCs w:val="22"/>
        </w:rPr>
        <w:t>Les competències professionals i per a la ocupabilitat d'aquest títol són les que es relacionen a continuació:</w:t>
      </w:r>
      <w:bookmarkEnd w:id="39"/>
      <w:bookmarkEnd w:id="40"/>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a)</w:t>
        <w:tab/>
        <w:t>Preparar equips i aplicacions informàtiques per a dur a terme la gravació, tractament, impressió, reproducció i arxivat de dades i textos, assegurant el seu funcionament.</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 xml:space="preserve">b) </w:t>
        <w:tab/>
        <w:t>Elaborar documents mitjançant les utilitats bàsiques de les aplicacions informàtiques dels processadors de text i fulls de càlcul aplicant procediments d'escriptura al tacte amb exactitud i rapidesa, arxivant la informació i documentació, tant en suport digital com convencional, d'acord amb els protocols establits.</w:t>
      </w:r>
    </w:p>
    <w:p>
      <w:pPr>
        <w:pStyle w:val="Normal"/>
        <w:spacing w:lineRule="auto" w:line="360" w:before="0" w:after="80"/>
        <w:ind w:hanging="425" w:start="709"/>
        <w:jc w:val="both"/>
        <w:rPr>
          <w:b/>
          <w:bCs/>
        </w:rPr>
      </w:pPr>
      <w:r>
        <w:rPr>
          <w:rFonts w:eastAsia="Arial" w:cs="Arial" w:ascii="Arial" w:hAnsi="Arial"/>
          <w:b/>
          <w:bCs/>
          <w:color w:val="000000"/>
          <w:sz w:val="22"/>
          <w:szCs w:val="22"/>
        </w:rPr>
        <w:t>c)</w:t>
        <w:tab/>
        <w:t>Apilar els materials per a escometre el muntatge i/o manteniment en sistemes microinformàtics i xarxes de transmissió de dades.</w:t>
      </w:r>
    </w:p>
    <w:p>
      <w:pPr>
        <w:pStyle w:val="Normal"/>
        <w:spacing w:lineRule="auto" w:line="360" w:before="0" w:after="80"/>
        <w:ind w:hanging="425" w:start="709"/>
        <w:jc w:val="both"/>
        <w:rPr>
          <w:b/>
          <w:bCs/>
        </w:rPr>
      </w:pPr>
      <w:r>
        <w:rPr>
          <w:rFonts w:eastAsia="Arial" w:cs="Arial" w:ascii="Arial" w:hAnsi="Arial"/>
          <w:b/>
          <w:bCs/>
          <w:color w:val="000000"/>
          <w:sz w:val="22"/>
          <w:szCs w:val="22"/>
        </w:rPr>
        <w:t>d)</w:t>
        <w:tab/>
        <w:t>Realitzar operacions auxiliars de muntatge de sistemes microinformàtics i dispositius auxiliars en condicions de qualitat.</w:t>
      </w:r>
    </w:p>
    <w:p>
      <w:pPr>
        <w:pStyle w:val="Normal"/>
        <w:spacing w:lineRule="auto" w:line="360" w:before="0" w:after="80"/>
        <w:ind w:hanging="425" w:start="709"/>
        <w:jc w:val="both"/>
        <w:rPr>
          <w:b/>
          <w:bCs/>
        </w:rPr>
      </w:pPr>
      <w:r>
        <w:rPr>
          <w:rFonts w:eastAsia="Arial" w:cs="Arial" w:ascii="Arial" w:hAnsi="Arial"/>
          <w:b/>
          <w:bCs/>
          <w:color w:val="000000"/>
          <w:sz w:val="22"/>
          <w:szCs w:val="22"/>
        </w:rPr>
        <w:t>e)</w:t>
        <w:tab/>
        <w:t>Realitzar operacions auxiliars de manteniment i reparació de sistemes microinformàtics garantint el seu funcionament.</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f)</w:t>
        <w:tab/>
        <w:t>Realitzar les operacions per a l'emmagatzematge i transport de sistemes, perifèrics i consumibles, seguint criteris de seguretat i catalogació.</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g)</w:t>
        <w:tab/>
        <w:t>Realitzar comprovacions rutinàries de verificació en el muntatge i manteniment de sistemes i/o instal·lacions.</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h)</w:t>
        <w:tab/>
        <w:t>Muntar canalitzacions per a cablejat de dades en condicions de qualitat i seguretat.</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i)</w:t>
        <w:tab/>
        <w:t>Tendir el cablejat de xarxes de dades aplicant les tècniques i procediments normalitzats.</w:t>
      </w:r>
    </w:p>
    <w:p>
      <w:pPr>
        <w:pStyle w:val="Normal"/>
        <w:spacing w:lineRule="auto" w:line="360" w:before="0" w:after="80"/>
        <w:ind w:hanging="425" w:start="709"/>
        <w:jc w:val="both"/>
        <w:rPr>
          <w:b w:val="false"/>
          <w:bCs w:val="false"/>
        </w:rPr>
      </w:pPr>
      <w:r>
        <w:rPr>
          <w:rFonts w:eastAsia="Arial" w:cs="Arial" w:ascii="Arial" w:hAnsi="Arial"/>
          <w:b w:val="false"/>
          <w:bCs w:val="false"/>
          <w:color w:val="000000"/>
          <w:sz w:val="22"/>
          <w:szCs w:val="22"/>
        </w:rPr>
        <w:t>j)</w:t>
        <w:tab/>
        <w:t>Manejar les ferramentes de l'entorn usuari proporcionades pel sistema operatiu i els dispositius d'emmagatzematge d'informació.</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k)</w:t>
        <w:tab/>
        <w:t>Resoldre problemes predictibles relacionats amb el seu entorn físic, social, personal i productiu, utilitzant el raonament científic i els elements proporcionats per les ciències aplicades i socials.</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l)</w:t>
        <w:tab/>
        <w:t>Actuar de manera saludable en diferents contextos quotidians que afavorisquen el desenvolupament personal i social, analitzant hàbits i influències positives per a la salut humana.</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m)</w:t>
        <w:tab/>
        <w:t>Valorar actuacions encaminades a la conservació del medi ambient diferenciant les conseqüències de les activitats quotidianes que puga afectar l'equilibri d'este.</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n)</w:t>
        <w:tab/>
        <w:t>Obtindre i comunicar informació destinada a l'autoaprenentatge i al seu ús en diferents contextos del seu entorn personal, social o professional mitjançant recursos al seu abast i els propis de les tecnologies de la informació i de la comunicació.</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ñ)</w:t>
        <w:tab/>
        <w:t>Actuar amb respecte i sensibilitat cap a la diversitat cultural, el patrimoni historicoartístic i les manifestacions culturals i artístiques, apreciant el seu ús i gaudi com a font d'enriquiment personal i social.</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o)</w:t>
        <w:tab/>
        <w:t>Comunicar-se amb claredat, precisió i fluïdesa en diferents contextos socials o professionals i per diferents mitjans, canals i suports al seu abast, utilitzant i adequant recursos lingüístics orals i escrits propis de la llengua castellana i, si és el cas, de la llengua cooficial.</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p)</w:t>
        <w:tab/>
        <w:t>Comunicar-se en situacions habituals tant laborals com personals i socials utilitzant recursos lingüístics bàsics en llengua estrangera.</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q)</w:t>
        <w:tab/>
        <w:t>Realitzar explicacions senzilles sobre esdeveniments i fenòmens característics de les societats contemporànies a partir d'informació històrica i geogràfica a la seua disposició.</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r)</w:t>
        <w:tab/>
        <w:t>Adaptar-se a les noves situacions laborals originades per canvis tecnològics i organitzatius en la seua activitat laboral, utilitzant les ofertes formatives al seu abast i localitzant els recursos mitjançant les tecnologies de la informació i la comunicació.</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s)</w:t>
        <w:tab/>
        <w:t>Complir les tasques pròpies del seu nivell amb autonomia i responsabilitat, emprant criteris de qualitat i eficiència en el treball assignat i efectuant-lo de manera individual o com a membre d'un equip.</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t)</w:t>
        <w:tab/>
        <w:t>Comunicar-se eficaçment, respectant l'autonomia i competència de les diferents persones que intervenen en el seu àmbit de treball, contribuint a la qualitat del treball realitzat.</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o)</w:t>
        <w:tab/>
        <w:t>Assumir i complir les mesures de prevenció de riscos i seguretat laboral en la realització de les activitats laborals evitant danys personals, laborals i ambientals.</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v)</w:t>
        <w:tab/>
        <w:t>Complir les normes de qualitat, d'accessibilitat universal i disseny per a tots que afecten la seua activitat professional.</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w)</w:t>
        <w:tab/>
        <w:t>Actuar amb esperit emprenedor, iniciativa personal i responsabilitat en l'elecció dels procediments de la seua activitat professional.</w:t>
      </w:r>
    </w:p>
    <w:p>
      <w:pPr>
        <w:pStyle w:val="Normal"/>
        <w:spacing w:lineRule="auto" w:line="360" w:before="0" w:after="80"/>
        <w:ind w:hanging="425" w:start="709"/>
        <w:jc w:val="both"/>
        <w:rPr>
          <w:rFonts w:ascii="Arial" w:hAnsi="Arial" w:eastAsia="Arial" w:cs="Arial"/>
          <w:color w:val="000000"/>
          <w:sz w:val="22"/>
          <w:szCs w:val="22"/>
        </w:rPr>
      </w:pPr>
      <w:r>
        <w:rPr>
          <w:rFonts w:eastAsia="Arial" w:cs="Arial" w:ascii="Arial" w:hAnsi="Arial"/>
          <w:color w:val="000000"/>
          <w:sz w:val="22"/>
          <w:szCs w:val="22"/>
        </w:rPr>
        <w:t>x)</w:t>
        <w:tab/>
        <w:t>Exercir els seus drets i complir amb les obligacions derivades de la seua activitat professional, d'acord amb el que s'establix en la legislació vigent, participant activament en la vida econòmica, social i cultural. Participar de manera activa en la vida econòmica, social i cultural, amb una actitud crítica i responsable.</w:t>
      </w:r>
    </w:p>
    <w:p>
      <w:pPr>
        <w:pStyle w:val="Normal"/>
        <w:spacing w:lineRule="auto" w:line="360" w:before="0" w:after="80"/>
        <w:ind w:start="360"/>
        <w:jc w:val="both"/>
        <w:rPr>
          <w:highlight w:val="none"/>
          <w:shd w:fill="auto" w:val="clear"/>
        </w:rPr>
      </w:pPr>
      <w:r>
        <w:rPr>
          <w:rFonts w:eastAsia="Arial" w:cs="Arial" w:ascii="Arial" w:hAnsi="Arial"/>
          <w:sz w:val="22"/>
          <w:szCs w:val="22"/>
          <w:shd w:fill="auto" w:val="clear"/>
        </w:rPr>
        <w:t xml:space="preserve">La formació del mòdul contribueix a aconseguir les competències </w:t>
      </w:r>
      <w:r>
        <w:rPr>
          <w:rFonts w:eastAsia="Arial" w:cs="Arial" w:ascii="Arial" w:hAnsi="Arial"/>
          <w:b/>
          <w:bCs/>
          <w:sz w:val="22"/>
          <w:szCs w:val="22"/>
          <w:shd w:fill="auto" w:val="clear"/>
        </w:rPr>
        <w:t xml:space="preserve">c), d) </w:t>
      </w:r>
      <w:r>
        <w:rPr>
          <w:rFonts w:eastAsia="Arial" w:cs="Arial" w:ascii="Arial" w:hAnsi="Arial"/>
          <w:b w:val="false"/>
          <w:bCs w:val="false"/>
          <w:sz w:val="22"/>
          <w:szCs w:val="22"/>
          <w:shd w:fill="auto" w:val="clear"/>
        </w:rPr>
        <w:t xml:space="preserve">i </w:t>
      </w:r>
      <w:r>
        <w:rPr>
          <w:rFonts w:eastAsia="Arial" w:cs="Arial" w:ascii="Arial" w:hAnsi="Arial"/>
          <w:b/>
          <w:bCs/>
          <w:sz w:val="22"/>
          <w:szCs w:val="22"/>
          <w:shd w:fill="auto" w:val="clear"/>
        </w:rPr>
        <w:t>e)</w:t>
      </w:r>
      <w:r>
        <w:rPr>
          <w:rFonts w:eastAsia="Arial" w:cs="Arial" w:ascii="Arial" w:hAnsi="Arial"/>
          <w:sz w:val="22"/>
          <w:szCs w:val="22"/>
          <w:shd w:fill="auto" w:val="clear"/>
        </w:rPr>
        <w:t xml:space="preserve"> </w:t>
      </w:r>
      <w:r>
        <w:rPr>
          <w:rFonts w:eastAsia="Arial" w:cs="Arial" w:ascii="Arial" w:hAnsi="Arial"/>
          <w:color w:themeColor="text1" w:val="000000"/>
          <w:sz w:val="22"/>
          <w:szCs w:val="22"/>
          <w:shd w:fill="auto" w:val="clear"/>
        </w:rPr>
        <w:t>del cicle. Es marquen amb negreta a les competències.</w:t>
      </w:r>
    </w:p>
    <w:p>
      <w:pPr>
        <w:pStyle w:val="Heading2"/>
        <w:numPr>
          <w:ilvl w:val="1"/>
          <w:numId w:val="2"/>
        </w:numPr>
        <w:spacing w:before="240" w:after="240"/>
        <w:rPr>
          <w:b w:val="false"/>
          <w:bCs w:val="false"/>
          <w:i w:val="false"/>
          <w:i w:val="false"/>
          <w:iCs w:val="false"/>
          <w:color w:val="ED7D31"/>
          <w:lang w:val="es-ES"/>
        </w:rPr>
      </w:pPr>
      <w:bookmarkStart w:id="41" w:name="__RefHeading___Toc3376_3429816007"/>
      <w:bookmarkStart w:id="42" w:name="_Toc194271420"/>
      <w:bookmarkEnd w:id="41"/>
      <w:r>
        <w:rPr>
          <w:b w:val="false"/>
          <w:bCs w:val="false"/>
          <w:i w:val="false"/>
          <w:iCs w:val="false"/>
          <w:color w:themeColor="accent2" w:val="ED7D31"/>
          <w:lang w:val="es-ES"/>
        </w:rPr>
        <w:t>Resultats d’aprenentatge</w:t>
      </w:r>
      <w:bookmarkEnd w:id="42"/>
    </w:p>
    <w:p>
      <w:pPr>
        <w:pStyle w:val="Normal"/>
        <w:spacing w:lineRule="auto" w:line="360" w:before="0" w:after="80"/>
        <w:jc w:val="both"/>
        <w:rPr>
          <w:rFonts w:ascii="Arial" w:hAnsi="Arial" w:eastAsia="Arial" w:cs="Arial"/>
          <w:color w:val="000000"/>
          <w:sz w:val="22"/>
          <w:szCs w:val="22"/>
        </w:rPr>
      </w:pPr>
      <w:bookmarkStart w:id="43" w:name="OLE_LINK16"/>
      <w:bookmarkStart w:id="44" w:name="OLE_LINK17"/>
      <w:bookmarkEnd w:id="43"/>
      <w:bookmarkEnd w:id="44"/>
      <w:r>
        <w:rPr>
          <w:rFonts w:eastAsia="Arial" w:cs="Arial" w:ascii="Arial" w:hAnsi="Arial"/>
          <w:color w:val="000000"/>
          <w:sz w:val="22"/>
          <w:szCs w:val="22"/>
        </w:rPr>
        <w:t>Els resultats d’aprenentatge i els seus criteris d’avaluació associats del mòdul d’ofimàtica i arxiu de documents són:</w:t>
      </w:r>
    </w:p>
    <w:p>
      <w:pPr>
        <w:pStyle w:val="Normal"/>
        <w:spacing w:lineRule="auto" w:line="360" w:before="0" w:after="80"/>
        <w:jc w:val="both"/>
        <w:rPr>
          <w:rFonts w:ascii="Arial" w:hAnsi="Arial" w:eastAsia="Arial" w:cs="Arial"/>
          <w:color w:val="000000"/>
          <w:sz w:val="22"/>
          <w:szCs w:val="22"/>
        </w:rPr>
      </w:pPr>
      <w:bookmarkStart w:id="45" w:name="OLE_LINK3"/>
      <w:bookmarkEnd w:id="45"/>
      <w:r>
        <w:rPr>
          <w:rFonts w:eastAsia="Arial" w:cs="Arial" w:ascii="Arial" w:hAnsi="Arial"/>
          <w:b/>
          <w:bCs/>
          <w:color w:themeColor="text1" w:val="000000"/>
          <w:sz w:val="22"/>
          <w:szCs w:val="22"/>
        </w:rPr>
        <w:t xml:space="preserve">RA1 - </w:t>
      </w:r>
      <w:r>
        <w:rPr>
          <w:rFonts w:eastAsia="Arial" w:cs="Arial" w:ascii="Arial" w:hAnsi="Arial"/>
          <w:b/>
          <w:bCs/>
          <w:color w:val="000000"/>
          <w:sz w:val="22"/>
          <w:szCs w:val="22"/>
        </w:rPr>
        <w:t>Selecciona els components i ferramentes per a la realització del muntatge i manteniment de sistemes microinformàtics, descrivint-los i relacionant-los amb la seua funció i aplicació en la instal·lació</w:t>
      </w:r>
      <w:r>
        <w:rPr>
          <w:rFonts w:eastAsia="Arial" w:cs="Arial" w:ascii="Arial" w:hAnsi="Arial"/>
          <w:b/>
          <w:bCs/>
          <w:color w:themeColor="text1" w:val="000000"/>
          <w:sz w:val="22"/>
          <w:szCs w:val="22"/>
        </w:rPr>
        <w:t>.</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 xml:space="preserve">S'han descrit les característiques dels elements elèctrics i electrònics utilitzats en el muntatge de sistemes. </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descrit les operacions i comprovacions prèvies a la manipulació segura de components elèctrics i/o electrònics.</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identificat els dispositius i ferramentes necessaris en la manipulació segura de sistemes electrònics.</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seleccionat les ferramentes necessàries per al procediment de muntatge, substitució o connexió de component maquinari d'un sistema microinformàtic.</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identificat funcionalment el component maquinari per a l'acoblat i/o manteniment d'un equip microinformàtic.</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descrit les característiques tècniques de cada un del component maquinari (interns i externs) utilitzats en el muntatge i/o manteniment d'un equip microinformàtic.</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localitzat els blocs funcionals en plaques bases utilitzades en els sistemes microinformàtics.</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S'han identificat els tipus de ports, badies internes i cables de connexió (de dades i elèctrics, entre altres) existents d'un equip microinformàtic.</w:t>
      </w:r>
    </w:p>
    <w:p>
      <w:pPr>
        <w:pStyle w:val="ListParagraph"/>
        <w:numPr>
          <w:ilvl w:val="0"/>
          <w:numId w:val="19"/>
        </w:numPr>
        <w:spacing w:lineRule="auto" w:line="360" w:before="0" w:after="80"/>
        <w:contextualSpacing/>
        <w:jc w:val="both"/>
        <w:rPr>
          <w:rFonts w:ascii="Arial" w:hAnsi="Arial" w:eastAsia="Arial" w:cs="Arial"/>
          <w:color w:val="000000"/>
          <w:sz w:val="22"/>
          <w:szCs w:val="22"/>
        </w:rPr>
      </w:pPr>
      <w:r>
        <w:rPr>
          <w:rFonts w:eastAsia="Arial" w:cs="Arial" w:ascii="Arial" w:hAnsi="Arial"/>
          <w:color w:val="000000"/>
          <w:sz w:val="22"/>
          <w:szCs w:val="22"/>
        </w:rPr>
        <w:t xml:space="preserve"> </w:t>
      </w:r>
      <w:r>
        <w:rPr>
          <w:rFonts w:eastAsia="Arial" w:cs="Arial" w:ascii="Arial" w:hAnsi="Arial"/>
          <w:color w:val="000000"/>
          <w:sz w:val="22"/>
          <w:szCs w:val="22"/>
        </w:rPr>
        <w:t>S'han seguit les instruccions rebudes.</w:t>
      </w:r>
    </w:p>
    <w:p>
      <w:pPr>
        <w:pStyle w:val="ListParagraph"/>
        <w:numPr>
          <w:ilvl w:val="0"/>
          <w:numId w:val="0"/>
        </w:numPr>
        <w:spacing w:lineRule="auto" w:line="360" w:before="0" w:after="80"/>
        <w:ind w:hanging="0" w:start="720"/>
        <w:contextualSpacing/>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before="0" w:after="8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RA2 - Acobla el component maquinari d'un equip microinformàtic, interpretant guies i instruccions i aplicant tècniques de muntatge.</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 comprovat cada component abans de la seua utilització, seguint les normes de seguretat establides.</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S'han interpretat les guies d'instruccions referents als procediments d'integració o acoblat, substitució i connexió del component maquinari d'un sistema microinformàtic.</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S'han reconegut en diferents plaques base cada un dels sòcols de connexió de microprocessadors i els dissipadors, entre altres.</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S'han acoblat el component maquinari intern (memòria, processador, targeta de vídeo, pila, entre altres) en la placa base del sistema microinformàtic.</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 fixat cada dispositiu o targeta en la ranura o badia corresponent, segons guies detallades d'instal·lació.</w:t>
      </w:r>
    </w:p>
    <w:p>
      <w:pPr>
        <w:pStyle w:val="ListParagraph"/>
        <w:numPr>
          <w:ilvl w:val="0"/>
          <w:numId w:val="20"/>
        </w:numPr>
        <w:spacing w:lineRule="auto" w:line="360" w:before="0" w:after="80"/>
        <w:contextualSpacing/>
        <w:jc w:val="both"/>
        <w:rPr>
          <w:rFonts w:ascii="Arial" w:hAnsi="Arial" w:eastAsia="Arial" w:cs="Arial"/>
          <w:b/>
          <w:bCs/>
          <w:color w:themeColor="text1" w:val="000000"/>
          <w:sz w:val="22"/>
          <w:szCs w:val="22"/>
        </w:rPr>
      </w:pPr>
      <w:r>
        <w:rPr>
          <w:rFonts w:eastAsia="Arial" w:cs="Arial" w:ascii="Arial" w:hAnsi="Arial"/>
          <w:color w:themeColor="text1" w:val="000000"/>
          <w:sz w:val="22"/>
          <w:szCs w:val="22"/>
        </w:rPr>
        <w:t>S'han connectat adequadament aquell component maquinari intern (disc dur, DVD, CD-ROM, entre altres) que necessiten cables de connexió per a la seua integració en el sistema microinformàtic.</w:t>
      </w:r>
    </w:p>
    <w:p>
      <w:pPr>
        <w:pStyle w:val="ListParagraph"/>
        <w:numPr>
          <w:ilvl w:val="0"/>
          <w:numId w:val="0"/>
        </w:numPr>
        <w:spacing w:lineRule="auto" w:line="360" w:before="0" w:after="80"/>
        <w:ind w:hanging="0" w:start="720"/>
        <w:contextualSpacing/>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r>
    </w:p>
    <w:p>
      <w:pPr>
        <w:pStyle w:val="Normal"/>
        <w:spacing w:lineRule="auto" w:line="360" w:before="0" w:after="80"/>
        <w:jc w:val="both"/>
        <w:rPr>
          <w:rFonts w:ascii="Arial" w:hAnsi="Arial" w:eastAsia="Arial" w:cs="Arial"/>
          <w:b/>
          <w:bCs/>
          <w:color w:themeColor="text1" w:val="000000"/>
          <w:sz w:val="22"/>
          <w:szCs w:val="22"/>
        </w:rPr>
      </w:pPr>
      <w:r>
        <w:rPr>
          <w:rFonts w:eastAsia="Arial" w:cs="Arial" w:ascii="Arial" w:hAnsi="Arial"/>
          <w:b/>
          <w:bCs/>
          <w:color w:themeColor="text1" w:val="000000"/>
          <w:sz w:val="22"/>
          <w:szCs w:val="22"/>
        </w:rPr>
        <w:t xml:space="preserve">RA5 - </w:t>
      </w:r>
      <w:r>
        <w:rPr>
          <w:rFonts w:eastAsia="Arial" w:cs="Arial" w:ascii="Arial" w:hAnsi="Arial"/>
          <w:b/>
          <w:bCs/>
          <w:color w:val="000000"/>
          <w:sz w:val="22"/>
          <w:szCs w:val="22"/>
        </w:rPr>
        <w:t>Realitza el manteniment bàsic de sistemes informàtics, suports i perifèrics, relacionant les intervencions amb els resultats que cal aconseguir.</w:t>
      </w:r>
    </w:p>
    <w:p>
      <w:pPr>
        <w:pStyle w:val="ListParagraph"/>
        <w:numPr>
          <w:ilvl w:val="0"/>
          <w:numId w:val="21"/>
        </w:numPr>
        <w:spacing w:lineRule="auto" w:line="360" w:before="0" w:after="80"/>
        <w:contextualSpacing/>
        <w:jc w:val="both"/>
        <w:rPr>
          <w:b w:val="false"/>
          <w:bCs w:val="false"/>
        </w:rPr>
      </w:pPr>
      <w:r>
        <w:rPr>
          <w:rFonts w:eastAsia="Arial" w:cs="Arial" w:ascii="Arial" w:hAnsi="Arial"/>
          <w:b w:val="false"/>
          <w:bCs w:val="false"/>
          <w:color w:val="000000"/>
          <w:sz w:val="22"/>
          <w:szCs w:val="22"/>
        </w:rPr>
        <w:t>S'ha comprovat per mitjà d'indicadors lluminosos, que els perifèrics connectats tenen alimentació elèctrica i les connexions de dades.</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descrit els elements consumibles necessaris per a ser utilitzats en els perifèrics de sistemes microinformàtics.</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utilitzat les guies tècniques detallades per a substituir elements consumibles.</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descrit les característiques dels components, dels suports i dels perifèrics per a conéixer els aspectes que afecten el seu manteniment.</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utilitzat les guies dels fabricants per a identificar els procediments de neteja de components, suports i perifèrics.</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 realitzat la neteja de components, suports i perifèrics respectant les disposicions tècniques establides pel fabricant mantenint la seua funcionalitat.</w:t>
      </w:r>
    </w:p>
    <w:p>
      <w:pPr>
        <w:pStyle w:val="ListParagraph"/>
        <w:numPr>
          <w:ilvl w:val="0"/>
          <w:numId w:val="21"/>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arreplegat els residus i elements d'un sol ús de manera adequada per a la seua eliminació o reciclatge.</w:t>
      </w:r>
    </w:p>
    <w:p>
      <w:pPr>
        <w:pStyle w:val="ListParagraph"/>
        <w:numPr>
          <w:ilvl w:val="0"/>
          <w:numId w:val="0"/>
        </w:numPr>
        <w:spacing w:lineRule="auto" w:line="360" w:before="0" w:after="80"/>
        <w:ind w:hanging="0" w:start="72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r>
    </w:p>
    <w:p>
      <w:pPr>
        <w:pStyle w:val="Normal"/>
        <w:spacing w:lineRule="auto" w:line="360" w:before="0" w:after="80"/>
        <w:jc w:val="both"/>
        <w:rPr>
          <w:rFonts w:ascii="Arial" w:hAnsi="Arial" w:eastAsia="Arial" w:cs="Arial"/>
          <w:b/>
          <w:bCs/>
          <w:color w:val="000000"/>
          <w:sz w:val="22"/>
          <w:szCs w:val="22"/>
        </w:rPr>
      </w:pPr>
      <w:r>
        <w:rPr>
          <w:rFonts w:eastAsia="Arial" w:cs="Arial" w:ascii="Arial" w:hAnsi="Arial"/>
          <w:b/>
          <w:bCs/>
          <w:color w:val="000000"/>
          <w:sz w:val="22"/>
          <w:szCs w:val="22"/>
        </w:rPr>
        <w:t>RA6 - Emmagatzema equips, perifèrics i consumibles, descrivint les condicions de conservació i etiquetatge.</w:t>
      </w:r>
    </w:p>
    <w:p>
      <w:pPr>
        <w:pStyle w:val="ListParagraph"/>
        <w:numPr>
          <w:ilvl w:val="0"/>
          <w:numId w:val="22"/>
        </w:numPr>
        <w:spacing w:lineRule="auto" w:line="360" w:before="0" w:after="80"/>
        <w:contextualSpacing/>
        <w:jc w:val="both"/>
        <w:rPr>
          <w:b w:val="false"/>
          <w:bCs w:val="false"/>
        </w:rPr>
      </w:pPr>
      <w:r>
        <w:rPr>
          <w:rFonts w:eastAsia="Arial" w:cs="Arial" w:ascii="Arial" w:hAnsi="Arial"/>
          <w:b w:val="false"/>
          <w:bCs w:val="false"/>
          <w:color w:val="000000"/>
          <w:sz w:val="22"/>
          <w:szCs w:val="22"/>
        </w:rPr>
        <w:t>S'han descrit les condicions per a manipular, transportar i emmagatzemar components i perifèrics d'un sistema microinformàtic.</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identificat els tipus d'embalatge per al transport i/o magatzematge de cada dispositiu, perifèric i consumible.</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utilitzat les ferramentes necessàries per a fer les tasques d'etiquetatge prèvies a l'embalatge i/o emmagatzematge de sistemes, perifèrics i consumibles.</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utilitzat els mitjans auxiliars adequats als elements a transportar.</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S'han aplicat les normes de seguretat en la manipulació i el transport d'elements i equips.</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 xml:space="preserve">S'ha comprovat que els components recepcionats es corresponen amb l'albarà de lliurament i que es troben en bon estat. </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S'han registrat les operacions realitzades seguint els formats establits.</w:t>
      </w:r>
    </w:p>
    <w:p>
      <w:pPr>
        <w:pStyle w:val="ListParagraph"/>
        <w:numPr>
          <w:ilvl w:val="0"/>
          <w:numId w:val="22"/>
        </w:numPr>
        <w:spacing w:lineRule="auto" w:line="360" w:before="0" w:after="80"/>
        <w:contextualSpacing/>
        <w:jc w:val="both"/>
        <w:rPr>
          <w:rFonts w:ascii="Arial" w:hAnsi="Arial" w:eastAsia="Arial" w:cs="Arial"/>
          <w:b w:val="false"/>
          <w:bCs w:val="false"/>
          <w:color w:val="000000"/>
          <w:sz w:val="22"/>
          <w:szCs w:val="22"/>
        </w:rPr>
      </w:pPr>
      <w:r>
        <w:rPr>
          <w:rFonts w:eastAsia="Arial" w:cs="Arial" w:ascii="Arial" w:hAnsi="Arial"/>
          <w:b w:val="false"/>
          <w:bCs w:val="false"/>
          <w:color w:val="000000"/>
          <w:sz w:val="22"/>
          <w:szCs w:val="22"/>
        </w:rPr>
        <w:t xml:space="preserve"> </w:t>
      </w:r>
      <w:r>
        <w:rPr>
          <w:rFonts w:eastAsia="Arial" w:cs="Arial" w:ascii="Arial" w:hAnsi="Arial"/>
          <w:b w:val="false"/>
          <w:bCs w:val="false"/>
          <w:color w:val="000000"/>
          <w:sz w:val="22"/>
          <w:szCs w:val="22"/>
        </w:rPr>
        <w:t>S'han arreplegat els elements d'un sol ús per a la seua eliminació o reciclatge.</w:t>
      </w:r>
    </w:p>
    <w:p>
      <w:pPr>
        <w:pStyle w:val="Normal"/>
        <w:spacing w:lineRule="auto" w:line="360" w:before="0" w:after="80"/>
        <w:jc w:val="both"/>
        <w:rPr>
          <w:rFonts w:ascii="Arial" w:hAnsi="Arial" w:eastAsia="Arial" w:cs="Arial"/>
          <w:b/>
          <w:bCs/>
          <w:color w:val="000000"/>
          <w:sz w:val="22"/>
          <w:szCs w:val="22"/>
        </w:rPr>
      </w:pPr>
      <w:r>
        <w:rPr>
          <w:rFonts w:eastAsia="Arial" w:cs="Arial" w:ascii="Arial" w:hAnsi="Arial"/>
          <w:b/>
          <w:bCs/>
          <w:color w:val="000000"/>
          <w:sz w:val="22"/>
          <w:szCs w:val="22"/>
        </w:rPr>
      </w:r>
      <w:bookmarkStart w:id="46" w:name="OLE_LINK3_Copia_1"/>
      <w:bookmarkStart w:id="47" w:name="OLE_LINK16_Copia_1"/>
      <w:bookmarkStart w:id="48" w:name="OLE_LINK17_Copia_1"/>
      <w:bookmarkStart w:id="49" w:name="OLE_LINK3_Copia_1"/>
      <w:bookmarkStart w:id="50" w:name="OLE_LINK16_Copia_1"/>
      <w:bookmarkStart w:id="51" w:name="OLE_LINK17_Copia_1"/>
      <w:bookmarkEnd w:id="49"/>
      <w:bookmarkEnd w:id="50"/>
      <w:bookmarkEnd w:id="51"/>
    </w:p>
    <w:p>
      <w:pPr>
        <w:pStyle w:val="Heading2"/>
        <w:numPr>
          <w:ilvl w:val="1"/>
          <w:numId w:val="2"/>
        </w:numPr>
        <w:spacing w:before="240" w:after="240"/>
        <w:rPr>
          <w:b w:val="false"/>
          <w:bCs w:val="false"/>
          <w:i w:val="false"/>
          <w:i w:val="false"/>
          <w:iCs w:val="false"/>
          <w:lang w:val="es-ES"/>
        </w:rPr>
      </w:pPr>
      <w:bookmarkStart w:id="52" w:name="__RefHeading___Toc3378_3429816007"/>
      <w:bookmarkStart w:id="53" w:name="_Toc194271421"/>
      <w:bookmarkEnd w:id="52"/>
      <w:r>
        <w:rPr>
          <w:b w:val="false"/>
          <w:bCs w:val="false"/>
          <w:i w:val="false"/>
          <w:iCs w:val="false"/>
          <w:color w:themeColor="accent2" w:val="ED7D31"/>
          <w:lang w:val="es-ES"/>
        </w:rPr>
        <w:t>Contribució dels RA a les Competències Professionals</w:t>
      </w:r>
      <w:bookmarkEnd w:id="53"/>
    </w:p>
    <w:p>
      <w:pPr>
        <w:pStyle w:val="Normal"/>
        <w:spacing w:lineRule="auto" w:line="360" w:before="0" w:after="80"/>
        <w:jc w:val="both"/>
        <w:rPr>
          <w:rFonts w:ascii="Arial" w:hAnsi="Arial" w:eastAsia="Arial" w:cs="Arial"/>
          <w:color w:val="000000"/>
          <w:sz w:val="22"/>
          <w:szCs w:val="22"/>
        </w:rPr>
      </w:pPr>
      <w:r>
        <w:rPr>
          <w:rFonts w:eastAsia="Arial" w:cs="Arial" w:ascii="Arial" w:hAnsi="Arial"/>
          <w:color w:val="000000"/>
          <w:sz w:val="22"/>
          <w:szCs w:val="22"/>
        </w:rPr>
        <w:t>En aquesta taula es descriu la relació entre els RA i les competències professionals definides al títol i on cada RA contribueix al seu assoliment.</w:t>
      </w:r>
    </w:p>
    <w:tbl>
      <w:tblPr>
        <w:tblStyle w:val="Tablaconcuadrcula"/>
        <w:tblW w:w="9355"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1115"/>
        <w:gridCol w:w="2060"/>
        <w:gridCol w:w="2060"/>
        <w:gridCol w:w="2060"/>
        <w:gridCol w:w="2060"/>
      </w:tblGrid>
      <w:tr>
        <w:trPr>
          <w:trHeight w:val="377" w:hRule="atLeast"/>
        </w:trPr>
        <w:tc>
          <w:tcPr>
            <w:tcW w:w="9355" w:type="dxa"/>
            <w:gridSpan w:val="5"/>
            <w:tcBorders/>
            <w:shd w:color="auto" w:fill="ED7D31" w:themeFill="accent2" w:val="clear"/>
            <w:vAlign w:val="center"/>
          </w:tcPr>
          <w:p>
            <w:pPr>
              <w:pStyle w:val="Textbody"/>
              <w:widowControl w:val="false"/>
              <w:spacing w:before="0" w:after="0"/>
              <w:jc w:val="center"/>
              <w:rPr>
                <w:rFonts w:ascii="Arial" w:hAnsi="Arial" w:eastAsia="Arial" w:cs="Arial"/>
                <w:b/>
                <w:bCs/>
                <w:color w:themeColor="background1" w:val="FFFFFF"/>
                <w:sz w:val="22"/>
                <w:szCs w:val="22"/>
                <w:lang w:val="es-ES"/>
              </w:rPr>
            </w:pPr>
            <w:r>
              <w:rPr>
                <w:rFonts w:eastAsia="Arial" w:cs="Arial" w:ascii="Arial" w:hAnsi="Arial"/>
                <w:b/>
                <w:bCs/>
                <w:color w:themeColor="background1" w:val="FFFFFF"/>
                <w:kern w:val="0"/>
                <w:sz w:val="22"/>
                <w:szCs w:val="22"/>
                <w:lang w:val="es-ES" w:eastAsia="es-ES" w:bidi="ar-SA"/>
              </w:rPr>
              <w:t>Mòdul: 3029</w:t>
            </w:r>
          </w:p>
        </w:tc>
      </w:tr>
      <w:tr>
        <w:trPr/>
        <w:tc>
          <w:tcPr>
            <w:tcW w:w="1115"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r>
          </w:p>
        </w:tc>
        <w:tc>
          <w:tcPr>
            <w:tcW w:w="2060"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RA1</w:t>
            </w:r>
          </w:p>
        </w:tc>
        <w:tc>
          <w:tcPr>
            <w:tcW w:w="2060"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RA2</w:t>
            </w:r>
          </w:p>
        </w:tc>
        <w:tc>
          <w:tcPr>
            <w:tcW w:w="2060"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RA5</w:t>
            </w:r>
          </w:p>
        </w:tc>
        <w:tc>
          <w:tcPr>
            <w:tcW w:w="2060"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RA6</w:t>
            </w:r>
          </w:p>
        </w:tc>
      </w:tr>
      <w:tr>
        <w:trPr/>
        <w:tc>
          <w:tcPr>
            <w:tcW w:w="1115"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d</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kern w:val="0"/>
                <w:sz w:val="22"/>
                <w:szCs w:val="22"/>
                <w:lang w:bidi="ar-SA"/>
              </w:rPr>
              <w:t>X</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kern w:val="0"/>
                <w:sz w:val="22"/>
                <w:szCs w:val="22"/>
                <w:lang w:bidi="ar-SA"/>
              </w:rPr>
              <w:t>X</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r>
      <w:tr>
        <w:trPr/>
        <w:tc>
          <w:tcPr>
            <w:tcW w:w="1115"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e</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kern w:val="0"/>
                <w:sz w:val="22"/>
                <w:szCs w:val="22"/>
                <w:lang w:bidi="ar-SA"/>
              </w:rPr>
              <w:t>X</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kern w:val="0"/>
                <w:sz w:val="22"/>
                <w:szCs w:val="22"/>
                <w:lang w:bidi="ar-SA"/>
              </w:rPr>
              <w:t>X</w:t>
            </w:r>
          </w:p>
        </w:tc>
      </w:tr>
      <w:tr>
        <w:trPr/>
        <w:tc>
          <w:tcPr>
            <w:tcW w:w="1115" w:type="dxa"/>
            <w:tcBorders/>
            <w:shd w:color="auto" w:fill="ED7D31" w:themeFill="accent2"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i</w:t>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sz w:val="22"/>
                <w:szCs w:val="22"/>
              </w:rPr>
            </w:r>
          </w:p>
        </w:tc>
        <w:tc>
          <w:tcPr>
            <w:tcW w:w="2060" w:type="dxa"/>
            <w:tcBorders/>
            <w:vAlign w:val="center"/>
          </w:tcPr>
          <w:p>
            <w:pPr>
              <w:pStyle w:val="Normal"/>
              <w:suppressAutoHyphens w:val="true"/>
              <w:spacing w:before="0" w:after="0"/>
              <w:ind w:start="-104"/>
              <w:jc w:val="center"/>
              <w:rPr>
                <w:rFonts w:ascii="Arial" w:hAnsi="Arial" w:eastAsia="Arial" w:cs="Arial"/>
                <w:color w:val="000000"/>
                <w:sz w:val="22"/>
                <w:szCs w:val="22"/>
              </w:rPr>
            </w:pPr>
            <w:r>
              <w:rPr>
                <w:rFonts w:eastAsia="Arial" w:cs="Arial" w:ascii="Arial" w:hAnsi="Arial"/>
                <w:color w:val="000000"/>
                <w:kern w:val="0"/>
                <w:sz w:val="22"/>
                <w:szCs w:val="22"/>
                <w:lang w:bidi="ar-SA"/>
              </w:rPr>
              <w:t>X</w:t>
            </w:r>
          </w:p>
        </w:tc>
      </w:tr>
    </w:tbl>
    <w:p>
      <w:pPr>
        <w:pStyle w:val="Normal"/>
        <w:ind w:start="-104"/>
        <w:jc w:val="center"/>
        <w:rPr>
          <w:rFonts w:ascii="Arial" w:hAnsi="Arial" w:eastAsia="Arial" w:cs="Arial"/>
          <w:color w:val="000000"/>
          <w:sz w:val="22"/>
          <w:szCs w:val="22"/>
        </w:rPr>
      </w:pPr>
      <w:r>
        <w:rPr>
          <w:rFonts w:eastAsia="Arial" w:cs="Arial" w:ascii="Arial" w:hAnsi="Arial"/>
          <w:color w:val="000000"/>
          <w:sz w:val="22"/>
          <w:szCs w:val="22"/>
        </w:rPr>
      </w:r>
    </w:p>
    <w:p>
      <w:pPr>
        <w:pStyle w:val="Heading2"/>
        <w:numPr>
          <w:ilvl w:val="1"/>
          <w:numId w:val="2"/>
        </w:numPr>
        <w:spacing w:before="240" w:after="240"/>
        <w:rPr>
          <w:b w:val="false"/>
          <w:bCs w:val="false"/>
          <w:i w:val="false"/>
          <w:i w:val="false"/>
          <w:iCs w:val="false"/>
          <w:lang w:val="es-ES"/>
        </w:rPr>
      </w:pPr>
      <w:bookmarkStart w:id="54" w:name="__RefHeading___Toc3380_3429816007"/>
      <w:bookmarkStart w:id="55" w:name="_Toc194271422"/>
      <w:bookmarkStart w:id="56" w:name="OLE_LINK55"/>
      <w:bookmarkEnd w:id="54"/>
      <w:bookmarkEnd w:id="56"/>
      <w:r>
        <w:rPr>
          <w:b w:val="false"/>
          <w:bCs w:val="false"/>
          <w:i w:val="false"/>
          <w:iCs w:val="false"/>
          <w:color w:themeColor="accent2" w:val="ED7D31"/>
          <w:lang w:val="es-ES"/>
        </w:rPr>
        <w:t>Qualificacions i unitats de competència incloses en el títol</w:t>
      </w:r>
      <w:bookmarkEnd w:id="55"/>
    </w:p>
    <w:p>
      <w:pPr>
        <w:pStyle w:val="Normal"/>
        <w:spacing w:lineRule="auto" w:line="360" w:before="0" w:after="113"/>
        <w:ind w:end="77"/>
        <w:jc w:val="both"/>
        <w:rPr>
          <w:rFonts w:ascii="Arial" w:hAnsi="Arial" w:cs="Arial"/>
          <w:b/>
          <w:color w:val="000000"/>
          <w:sz w:val="22"/>
          <w:szCs w:val="22"/>
          <w:lang w:val="ca-ES"/>
        </w:rPr>
      </w:pPr>
      <w:bookmarkStart w:id="57" w:name="OLE_LINK34"/>
      <w:bookmarkEnd w:id="57"/>
      <w:r>
        <w:rPr>
          <w:rFonts w:cs="Arial" w:ascii="Arial" w:hAnsi="Arial"/>
          <w:b/>
          <w:color w:val="000000"/>
          <w:sz w:val="22"/>
          <w:szCs w:val="22"/>
          <w:lang w:val="ca-ES"/>
        </w:rPr>
        <w:t>Qualificacions professionals completes:</w:t>
      </w:r>
    </w:p>
    <w:p>
      <w:pPr>
        <w:pStyle w:val="Normal"/>
        <w:widowControl w:val="false"/>
        <w:numPr>
          <w:ilvl w:val="1"/>
          <w:numId w:val="4"/>
        </w:numPr>
        <w:suppressAutoHyphens w:val="true"/>
        <w:spacing w:lineRule="auto" w:line="360" w:before="0" w:after="113"/>
        <w:ind w:hanging="360" w:start="720" w:end="77"/>
        <w:jc w:val="both"/>
        <w:rPr>
          <w:rFonts w:ascii="Arial" w:hAnsi="Arial" w:cs="Arial"/>
          <w:color w:val="000000"/>
          <w:sz w:val="22"/>
          <w:szCs w:val="22"/>
          <w:lang w:val="ca-ES"/>
        </w:rPr>
      </w:pPr>
      <w:r>
        <w:rPr>
          <w:rFonts w:cs="Arial" w:ascii="Arial" w:hAnsi="Arial"/>
          <w:color w:val="000000"/>
          <w:sz w:val="22"/>
          <w:szCs w:val="22"/>
          <w:lang w:val="ca-ES"/>
        </w:rPr>
        <w:t>Operacions auxiliars de muntatge i manteniment de sistemes microinformàtics IFC361_1 (Reial decret 1701/2007, de 14 de desembre), que comprén les següents unitats de competència:</w:t>
      </w:r>
    </w:p>
    <w:p>
      <w:pPr>
        <w:pStyle w:val="Normal"/>
        <w:widowControl w:val="false"/>
        <w:suppressAutoHyphens w:val="true"/>
        <w:spacing w:lineRule="auto" w:line="360" w:before="0" w:after="113"/>
        <w:ind w:hanging="11" w:start="1418" w:end="77"/>
        <w:jc w:val="both"/>
        <w:rPr>
          <w:rFonts w:ascii="Arial" w:hAnsi="Arial" w:cs="Arial"/>
          <w:color w:val="000000"/>
          <w:sz w:val="22"/>
          <w:szCs w:val="22"/>
          <w:lang w:val="ca-ES"/>
        </w:rPr>
      </w:pPr>
      <w:r>
        <w:rPr>
          <w:rFonts w:cs="Arial" w:ascii="Arial" w:hAnsi="Arial"/>
          <w:color w:val="000000"/>
          <w:sz w:val="22"/>
          <w:szCs w:val="22"/>
          <w:lang w:val="ca-ES"/>
        </w:rPr>
        <w:t>UC1207_1: Realitzar operacions auxiliars de muntatge d'equips microinformàtics.</w:t>
      </w:r>
    </w:p>
    <w:p>
      <w:pPr>
        <w:pStyle w:val="Normal"/>
        <w:widowControl w:val="false"/>
        <w:suppressAutoHyphens w:val="true"/>
        <w:spacing w:lineRule="auto" w:line="360" w:before="0" w:after="113"/>
        <w:ind w:hanging="11" w:start="1418" w:end="77"/>
        <w:jc w:val="both"/>
        <w:rPr>
          <w:rFonts w:ascii="Arial" w:hAnsi="Arial" w:cs="Arial"/>
          <w:color w:val="000000"/>
          <w:sz w:val="22"/>
          <w:szCs w:val="22"/>
          <w:lang w:val="ca-ES"/>
        </w:rPr>
      </w:pPr>
      <w:r>
        <w:rPr>
          <w:rFonts w:cs="Arial" w:ascii="Arial" w:hAnsi="Arial"/>
          <w:color w:val="000000"/>
          <w:sz w:val="22"/>
          <w:szCs w:val="22"/>
          <w:lang w:val="ca-ES"/>
        </w:rPr>
        <w:t>UC1208_1: Realitzar operacions auxiliars de manteniment de sistemes microinformàtics.</w:t>
      </w:r>
    </w:p>
    <w:p>
      <w:pPr>
        <w:pStyle w:val="Normal"/>
        <w:widowControl w:val="false"/>
        <w:suppressAutoHyphens w:val="true"/>
        <w:spacing w:lineRule="auto" w:line="360" w:before="0" w:after="113"/>
        <w:ind w:hanging="11" w:start="1418" w:end="77"/>
        <w:jc w:val="both"/>
        <w:rPr>
          <w:rFonts w:ascii="Arial" w:hAnsi="Arial" w:cs="Arial"/>
          <w:color w:val="000000"/>
          <w:sz w:val="22"/>
          <w:szCs w:val="22"/>
          <w:lang w:val="ca-ES"/>
        </w:rPr>
      </w:pPr>
      <w:r>
        <w:rPr>
          <w:rFonts w:cs="Arial" w:ascii="Arial" w:hAnsi="Arial"/>
          <w:color w:val="000000"/>
          <w:sz w:val="22"/>
          <w:szCs w:val="22"/>
          <w:lang w:val="ca-ES"/>
        </w:rPr>
        <w:t>UC1209_1: Realitzar operacions auxiliars amb tecnologies de la informació i la comunicació.</w:t>
      </w:r>
    </w:p>
    <w:p>
      <w:pPr>
        <w:pStyle w:val="Normal"/>
        <w:spacing w:lineRule="auto" w:line="360" w:before="0" w:after="113"/>
        <w:ind w:end="77"/>
        <w:jc w:val="both"/>
        <w:rPr>
          <w:rFonts w:ascii="Arial" w:hAnsi="Arial" w:cs="Arial"/>
          <w:b/>
          <w:color w:val="000000"/>
          <w:sz w:val="22"/>
          <w:szCs w:val="22"/>
          <w:lang w:val="ca-ES"/>
        </w:rPr>
      </w:pPr>
      <w:r>
        <w:rPr>
          <w:rFonts w:cs="Arial" w:ascii="Arial" w:hAnsi="Arial"/>
          <w:b/>
          <w:color w:val="000000"/>
          <w:sz w:val="22"/>
          <w:szCs w:val="22"/>
          <w:lang w:val="ca-ES"/>
        </w:rPr>
        <w:t>Qualificacions professionals incompletes:</w:t>
      </w:r>
    </w:p>
    <w:p>
      <w:pPr>
        <w:pStyle w:val="Normal"/>
        <w:widowControl w:val="false"/>
        <w:numPr>
          <w:ilvl w:val="1"/>
          <w:numId w:val="4"/>
        </w:numPr>
        <w:suppressAutoHyphens w:val="true"/>
        <w:spacing w:lineRule="auto" w:line="360" w:before="0" w:after="113"/>
        <w:ind w:hanging="360" w:start="720" w:end="77"/>
        <w:jc w:val="both"/>
        <w:rPr>
          <w:rFonts w:ascii="Arial" w:hAnsi="Arial" w:cs="Arial"/>
          <w:color w:val="000000"/>
          <w:sz w:val="22"/>
          <w:szCs w:val="22"/>
          <w:lang w:val="ca-ES"/>
        </w:rPr>
      </w:pPr>
      <w:r>
        <w:rPr>
          <w:rFonts w:cs="Arial" w:ascii="Arial" w:hAnsi="Arial"/>
          <w:color w:val="000000"/>
          <w:sz w:val="22"/>
          <w:szCs w:val="22"/>
          <w:lang w:val="ca-ES"/>
        </w:rPr>
        <w:t>Operacions de gravació i tractament de dades i documents ADG306_1 (Reial decret 107/2008, d'1 de febrer), que comprén les següents unitats de competència:</w:t>
      </w:r>
    </w:p>
    <w:p>
      <w:pPr>
        <w:pStyle w:val="Normal"/>
        <w:widowControl w:val="false"/>
        <w:suppressAutoHyphens w:val="true"/>
        <w:spacing w:lineRule="auto" w:line="360" w:before="0" w:after="113"/>
        <w:ind w:hanging="11" w:start="1418" w:end="77"/>
        <w:jc w:val="both"/>
        <w:rPr>
          <w:rFonts w:ascii="Arial" w:hAnsi="Arial" w:cs="Arial"/>
          <w:color w:val="000000"/>
          <w:sz w:val="22"/>
          <w:szCs w:val="22"/>
          <w:lang w:val="ca-ES"/>
        </w:rPr>
      </w:pPr>
      <w:r>
        <w:rPr>
          <w:rFonts w:cs="Arial" w:ascii="Arial" w:hAnsi="Arial"/>
          <w:color w:val="000000"/>
          <w:sz w:val="22"/>
          <w:szCs w:val="22"/>
          <w:lang w:val="ca-ES"/>
        </w:rPr>
        <w:t>UC0974_1: Realitzar operacions bàsiques de tractament de dades i textos, i confecció de documentació.</w:t>
      </w:r>
    </w:p>
    <w:p>
      <w:pPr>
        <w:pStyle w:val="Normal"/>
        <w:widowControl w:val="false"/>
        <w:suppressAutoHyphens w:val="true"/>
        <w:spacing w:lineRule="auto" w:line="360" w:before="0" w:after="113"/>
        <w:ind w:hanging="11" w:start="1418" w:end="77"/>
        <w:jc w:val="both"/>
        <w:rPr>
          <w:rFonts w:ascii="Arial" w:hAnsi="Arial" w:cs="Arial"/>
          <w:color w:val="000000"/>
          <w:sz w:val="22"/>
          <w:szCs w:val="22"/>
          <w:lang w:val="ca-ES"/>
        </w:rPr>
      </w:pPr>
      <w:r>
        <w:rPr>
          <w:rFonts w:cs="Arial" w:ascii="Arial" w:hAnsi="Arial"/>
          <w:color w:val="000000"/>
          <w:sz w:val="22"/>
          <w:szCs w:val="22"/>
          <w:lang w:val="ca-ES"/>
        </w:rPr>
        <w:t>UC0971_1: Realitzar operacions auxiliars de reproducció i arxiu en suport convencional o informàtic.</w:t>
      </w:r>
    </w:p>
    <w:p>
      <w:pPr>
        <w:pStyle w:val="Normal"/>
        <w:rPr/>
      </w:pPr>
      <w:r>
        <w:rPr/>
      </w:r>
      <w:bookmarkStart w:id="58" w:name="OLE_LINK34_Copia_1"/>
      <w:bookmarkStart w:id="59" w:name="OLE_LINK55_Copia_1"/>
      <w:bookmarkStart w:id="60" w:name="OLE_LINK34_Copia_1"/>
      <w:bookmarkStart w:id="61" w:name="OLE_LINK55_Copia_1"/>
      <w:bookmarkEnd w:id="60"/>
      <w:bookmarkEnd w:id="61"/>
      <w:r>
        <w:br w:type="page"/>
      </w:r>
    </w:p>
    <w:p>
      <w:pPr>
        <w:pStyle w:val="Heading1"/>
        <w:numPr>
          <w:ilvl w:val="0"/>
          <w:numId w:val="2"/>
        </w:numPr>
        <w:spacing w:before="0" w:after="240"/>
        <w:ind w:hanging="431" w:start="431"/>
        <w:rPr>
          <w:color w:val="ED7D31"/>
        </w:rPr>
      </w:pPr>
      <w:bookmarkStart w:id="62" w:name="__RefHeading___Toc3382_3429816007"/>
      <w:bookmarkStart w:id="63" w:name="_Toc194271423"/>
      <w:bookmarkEnd w:id="62"/>
      <w:r>
        <w:rPr>
          <w:color w:val="ED7D31"/>
        </w:rPr>
        <w:t>CONTINGUTS</w:t>
      </w:r>
      <w:bookmarkEnd w:id="63"/>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Per a la consecució del les competències anteriorment exposades ens podem basar en els continguts establerts en l'ORDRE ECD/1633/2014, de 11 de septembre</w:t>
      </w:r>
    </w:p>
    <w:p>
      <w:pPr>
        <w:pStyle w:val="Heading2"/>
        <w:numPr>
          <w:ilvl w:val="1"/>
          <w:numId w:val="2"/>
        </w:numPr>
        <w:spacing w:before="240" w:after="240"/>
        <w:ind w:hanging="578" w:start="578"/>
        <w:rPr>
          <w:b w:val="false"/>
          <w:bCs w:val="false"/>
          <w:i w:val="false"/>
          <w:i w:val="false"/>
          <w:iCs w:val="false"/>
          <w:color w:val="ED7D31"/>
          <w:lang w:val="es-ES"/>
        </w:rPr>
      </w:pPr>
      <w:bookmarkStart w:id="64" w:name="__RefHeading___Toc3384_3429816007"/>
      <w:bookmarkStart w:id="65" w:name="OLE_LINK197"/>
      <w:bookmarkStart w:id="66" w:name="OLE_LINK198"/>
      <w:bookmarkStart w:id="67" w:name="_Toc194271424"/>
      <w:bookmarkEnd w:id="64"/>
      <w:r>
        <w:rPr>
          <w:b w:val="false"/>
          <w:bCs w:val="false"/>
          <w:i w:val="false"/>
          <w:iCs w:val="false"/>
          <w:color w:themeColor="accent2" w:val="ED7D31"/>
          <w:lang w:val="es-ES"/>
        </w:rPr>
        <w:t>Continguts curriculars</w:t>
      </w:r>
      <w:bookmarkEnd w:id="65"/>
      <w:bookmarkEnd w:id="66"/>
      <w:bookmarkEnd w:id="67"/>
    </w:p>
    <w:p>
      <w:pPr>
        <w:pStyle w:val="Normal"/>
        <w:spacing w:lineRule="auto" w:line="360" w:before="0" w:after="113"/>
        <w:jc w:val="both"/>
        <w:rPr/>
      </w:pPr>
      <w:r>
        <w:rPr>
          <w:rFonts w:eastAsia="Arial" w:cs="Arial" w:ascii="Arial" w:hAnsi="Arial"/>
          <w:b/>
          <w:bCs/>
          <w:sz w:val="22"/>
          <w:szCs w:val="22"/>
        </w:rPr>
        <w:t>Selecció de components i ferramentes: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Conceptes d’intensitat, diferència de potencial (tensió), resistència; llei d’Ohm; corrent continu i altern; magnituds elèctriques; aparells de mesures de magnituds elèctriques. Relacions entre les magnituds bàsiques.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Elements bàsics: piles i bateries, polsadors, interruptors, fonts d’alimentació, resistències, condensadors, díodes, transistors, LED, entre d’altres.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Ferramentes utilitzades en els procediments de muntatge de components i perifèrics 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Unitats funcionals d’un sistema informàtic.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Components dels sistemes microinformàtics: tipus de carcasses, fonts d’alimentació, ventiladors i dissipadors de calor.</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La placa base. Tipus de plaques base. Microprocessadors, sòcols i tipus. Tipus de microprocessadors i sòcols associats. Memòries RAM, característiques i formats. Associació de memòries.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Busos i connectors de dades.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Cablatge i connectors de potència.</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Sòcols i ranures d’expansió.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Targetes d’expansió, característiques.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Tipus de targetes d’expansió: gràfica, de so, de xarxa, entre d’altres.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Tipus i elements de fixació dels components a les carcasses.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Dispositius d’emmagatzematge: discos durs, característiques i tipus; lectors/gravadors òptics i magnetoòptics, característiques i tipus. Mecànica dels discos durs.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Altres tipus de components.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Ports: paral·lel, sèrie, USB (bus en sèrie universal), Firewire (IEEE 1394), entre d’altres.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Connectors sense fil: port infraroig (estàndard IrDA), radiofreqüència (estàndards Bluetooth i ZigBee), entre d’altres.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Seguretat en l’ús de ferramentes i components elèctrics i electrònics.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Seguretat elèctrica: mesures de prevenció de riscos elèctrics; danys produïts per descàrrega elèctrica.</w:t>
      </w:r>
    </w:p>
    <w:p>
      <w:pPr>
        <w:pStyle w:val="Normal"/>
        <w:spacing w:lineRule="auto" w:line="360" w:before="0" w:after="113"/>
        <w:jc w:val="both"/>
        <w:rPr>
          <w:rFonts w:ascii="Arial" w:hAnsi="Arial" w:eastAsia="Arial" w:cs="Arial"/>
          <w:b/>
          <w:bCs/>
          <w:sz w:val="22"/>
          <w:szCs w:val="22"/>
        </w:rPr>
      </w:pPr>
      <w:r>
        <w:rPr>
          <w:rFonts w:eastAsia="Arial" w:cs="Arial" w:ascii="Arial" w:hAnsi="Arial"/>
          <w:b/>
          <w:bCs/>
          <w:sz w:val="22"/>
          <w:szCs w:val="22"/>
        </w:rPr>
        <w:t>Acoblament de components de maquinari d’un equip microinformàtic: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Manuals del fabricant.</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Interpretació de la distribució d’elements de la placa base.</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Procediments d’instal·lació i fixació de components microinformàtics a la carcassa i a la placa base.</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Perifèrics d’entrada i perifèrics d’eixida.</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Perifèrics bàsics: monitor, teclat, ratolí i impressores.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Altres perifèrics: altaveus, micròfon, escàner, dispositius multimèdia, entre d’altres.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Tècniques de muntatge, substitució i connexió de components i perifèrics microinformàtics. Les guies de muntatge.</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La seguretat en les operacions de muntatge, substitució i connexió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de components i perifèrics microinformàtics.</w:t>
      </w:r>
    </w:p>
    <w:p>
      <w:pPr>
        <w:pStyle w:val="Normal"/>
        <w:spacing w:lineRule="auto" w:line="360" w:before="0" w:after="113"/>
        <w:jc w:val="both"/>
        <w:rPr>
          <w:rFonts w:ascii="Arial" w:hAnsi="Arial" w:eastAsia="Arial" w:cs="Arial"/>
          <w:b/>
          <w:bCs/>
          <w:sz w:val="22"/>
          <w:szCs w:val="22"/>
        </w:rPr>
      </w:pPr>
      <w:r>
        <w:rPr>
          <w:rFonts w:eastAsia="Arial" w:cs="Arial" w:ascii="Arial" w:hAnsi="Arial"/>
          <w:b/>
          <w:bCs/>
          <w:sz w:val="22"/>
          <w:szCs w:val="22"/>
        </w:rPr>
        <w:t>Instal·lació de sistemes operatius: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El programari bàsic d’un sistema informàtic.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Funcions del sistema operatiu. Elements dels sistemes operatius.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Utilització del sistema operatiu.</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Sistemes operatius actuals.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Operacions amb el sistema d’arxius, directoris i permisos.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Mètodes de replicació física de particions i discos durs en sistemes microinformàtics.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Funcionalitat i objectius del procés de replicació.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Seguretat i prevenció en el procés de replicació.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Particions de discos: tipus de particions i ferramentes de gestió.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Ferramentes de creació i implantació d’imatges i rèpliques de sistemes: orígens d’informació; procediments d’implantació d’imatges i rèpliques de sistemes; procediments de verificació d’imatges i rèpliques de sistemes.</w:t>
      </w:r>
    </w:p>
    <w:p>
      <w:pPr>
        <w:pStyle w:val="Normal"/>
        <w:spacing w:lineRule="auto" w:line="360" w:before="0" w:after="113"/>
        <w:jc w:val="both"/>
        <w:rPr>
          <w:rFonts w:ascii="Arial" w:hAnsi="Arial" w:eastAsia="Arial" w:cs="Arial"/>
          <w:b/>
          <w:bCs/>
          <w:sz w:val="22"/>
          <w:szCs w:val="22"/>
        </w:rPr>
      </w:pPr>
      <w:r>
        <w:rPr>
          <w:rFonts w:eastAsia="Arial" w:cs="Arial" w:ascii="Arial" w:hAnsi="Arial"/>
          <w:b/>
          <w:bCs/>
          <w:sz w:val="22"/>
          <w:szCs w:val="22"/>
        </w:rPr>
        <w:t>Funcionalitat dels sistemes: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Tècniques de verificació de sistemes microinformàtics.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Programari de verificació.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Ferramentes de verificació i diagnòstic de sistemes microinformàtics.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Procediments de POST (Power-On Self Test).</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Ferramentes d’optimització de suports d’informació.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Connexió de dispositius perifèrics en el sistema microinformàtic.</w:t>
      </w:r>
    </w:p>
    <w:p>
      <w:pPr>
        <w:pStyle w:val="Normal"/>
        <w:spacing w:lineRule="auto" w:line="360" w:before="0" w:after="113"/>
        <w:jc w:val="both"/>
        <w:rPr>
          <w:rFonts w:ascii="Arial" w:hAnsi="Arial" w:eastAsia="Arial" w:cs="Arial"/>
          <w:b/>
          <w:bCs/>
          <w:sz w:val="22"/>
          <w:szCs w:val="22"/>
        </w:rPr>
      </w:pPr>
      <w:r>
        <w:rPr>
          <w:rFonts w:eastAsia="Arial" w:cs="Arial" w:ascii="Arial" w:hAnsi="Arial"/>
          <w:b/>
          <w:bCs/>
          <w:sz w:val="22"/>
          <w:szCs w:val="22"/>
        </w:rPr>
        <w:t>Manteniment bàsic de l’equip i perifèrics: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Tècniques auxiliars de manteniment de sistemes microinformàtics: el manteniment preventiu i periòdic.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Manteniment de les unitats d’emmagatzematge i els suports d’informació.</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Tècniques de neteja de suports i perifèrics.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Elements consumibles.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Mesures de conservació i reciclatge d’elements consumibles.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Procediments de substitució d’elements consumibles.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Seguretat en la manipulació i substitució d’elements consumibles.</w:t>
      </w:r>
    </w:p>
    <w:p>
      <w:pPr>
        <w:pStyle w:val="Normal"/>
        <w:spacing w:lineRule="auto" w:line="360" w:before="0" w:after="113"/>
        <w:jc w:val="both"/>
        <w:rPr>
          <w:rFonts w:ascii="Arial" w:hAnsi="Arial" w:eastAsia="Arial" w:cs="Arial"/>
          <w:b/>
          <w:bCs/>
          <w:sz w:val="22"/>
          <w:szCs w:val="22"/>
        </w:rPr>
      </w:pPr>
      <w:r>
        <w:rPr>
          <w:rFonts w:eastAsia="Arial" w:cs="Arial" w:ascii="Arial" w:hAnsi="Arial"/>
          <w:b/>
          <w:bCs/>
          <w:sz w:val="22"/>
          <w:szCs w:val="22"/>
        </w:rPr>
        <w:t>Emmagatzematge d’equips, perifèrics i consumibles: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Tècniques d’etiquetatge, embalatge, emmagatzematge i trasllat de sistemes i components 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Procediments i ferramentes d’etiquetatge.</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Embalatge de components i perifèrics d’un sistema microinformàtic.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Normes d’emmagatzematge, catalogació i conservació de components i perifèrics d’un sistema microinformàtic.</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Precaucions a considerar en el trasllat de sistemes microinformàtics.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t xml:space="preserve">– </w:t>
      </w:r>
      <w:r>
        <w:rPr>
          <w:rFonts w:eastAsia="Arial" w:cs="Arial" w:ascii="Arial" w:hAnsi="Arial"/>
          <w:sz w:val="22"/>
          <w:szCs w:val="22"/>
        </w:rPr>
        <w:t>Tractament, reciclatge i eliminació de residus informàtics</w:t>
      </w:r>
    </w:p>
    <w:p>
      <w:pPr>
        <w:pStyle w:val="Normal"/>
        <w:spacing w:lineRule="auto" w:line="360" w:before="0" w:after="113"/>
        <w:ind w:firstLine="360"/>
        <w:jc w:val="both"/>
        <w:rPr>
          <w:rFonts w:ascii="Arial" w:hAnsi="Arial" w:eastAsia="Arial" w:cs="Arial"/>
          <w:sz w:val="22"/>
          <w:szCs w:val="22"/>
        </w:rPr>
      </w:pPr>
      <w:r>
        <w:rPr>
          <w:rFonts w:eastAsia="Arial" w:cs="Arial" w:ascii="Arial" w:hAnsi="Arial"/>
          <w:sz w:val="22"/>
          <w:szCs w:val="22"/>
        </w:rPr>
      </w:r>
    </w:p>
    <w:p>
      <w:pPr>
        <w:pStyle w:val="Normal"/>
        <w:rPr/>
      </w:pPr>
      <w:r>
        <w:rPr/>
      </w:r>
      <w:r>
        <w:br w:type="page"/>
      </w:r>
    </w:p>
    <w:p>
      <w:pPr>
        <w:pStyle w:val="Heading2"/>
        <w:numPr>
          <w:ilvl w:val="1"/>
          <w:numId w:val="2"/>
        </w:numPr>
        <w:spacing w:before="0" w:after="240"/>
        <w:ind w:hanging="578" w:start="578"/>
        <w:rPr>
          <w:b w:val="false"/>
          <w:bCs w:val="false"/>
          <w:i w:val="false"/>
          <w:i w:val="false"/>
          <w:iCs w:val="false"/>
          <w:color w:val="ED7D31"/>
          <w:lang w:val="es-ES"/>
        </w:rPr>
      </w:pPr>
      <w:bookmarkStart w:id="68" w:name="__RefHeading___Toc3386_3429816007"/>
      <w:bookmarkStart w:id="69" w:name="_Toc194271425"/>
      <w:bookmarkStart w:id="70" w:name="OLE_LINK66"/>
      <w:bookmarkStart w:id="71" w:name="OLE_LINK201"/>
      <w:bookmarkStart w:id="72" w:name="OLE_LINK202"/>
      <w:bookmarkEnd w:id="68"/>
      <w:bookmarkEnd w:id="71"/>
      <w:bookmarkEnd w:id="72"/>
      <w:r>
        <w:rPr>
          <w:b w:val="false"/>
          <w:bCs w:val="false"/>
          <w:i w:val="false"/>
          <w:iCs w:val="false"/>
          <w:color w:themeColor="accent2" w:val="ED7D31"/>
          <w:lang w:val="es-ES"/>
        </w:rPr>
        <w:t>Esquema general i seqüenciació de les UP</w:t>
      </w:r>
      <w:bookmarkEnd w:id="69"/>
      <w:bookmarkEnd w:id="70"/>
    </w:p>
    <w:p>
      <w:pPr>
        <w:pStyle w:val="Normal"/>
        <w:spacing w:lineRule="auto" w:line="360" w:before="0" w:after="80"/>
        <w:jc w:val="both"/>
        <w:rPr>
          <w:rFonts w:ascii="Arial" w:hAnsi="Arial" w:eastAsia="Arial" w:cs="Arial"/>
          <w:color w:val="000000"/>
          <w:sz w:val="22"/>
          <w:szCs w:val="22"/>
        </w:rPr>
      </w:pPr>
      <w:r>
        <w:rPr>
          <w:rFonts w:eastAsia="Arial" w:cs="Arial" w:ascii="Arial" w:hAnsi="Arial"/>
          <w:color w:val="000000"/>
          <w:sz w:val="22"/>
          <w:szCs w:val="22"/>
        </w:rPr>
        <w:t>Aquesta taula reflecteix la seqüenciació de les Unitats de Programació (UP), amb la càrrega horària assignada (</w:t>
      </w:r>
      <w:r>
        <w:rPr>
          <w:rFonts w:eastAsia="Arial" w:cs="Arial" w:ascii="Arial" w:hAnsi="Arial"/>
          <w:b/>
          <w:bCs/>
          <w:color w:val="000000"/>
          <w:sz w:val="22"/>
          <w:szCs w:val="22"/>
          <w:shd w:fill="auto" w:val="clear"/>
        </w:rPr>
        <w:t>200 hores al centre)</w:t>
      </w:r>
      <w:r>
        <w:rPr>
          <w:rFonts w:eastAsia="Arial" w:cs="Arial" w:ascii="Arial" w:hAnsi="Arial"/>
          <w:color w:val="000000"/>
          <w:sz w:val="22"/>
          <w:szCs w:val="22"/>
          <w:shd w:fill="auto" w:val="clear"/>
        </w:rPr>
        <w:t xml:space="preserve"> i e</w:t>
      </w:r>
      <w:r>
        <w:rPr>
          <w:rFonts w:eastAsia="Arial" w:cs="Arial" w:ascii="Arial" w:hAnsi="Arial"/>
          <w:color w:val="000000"/>
          <w:sz w:val="22"/>
          <w:szCs w:val="22"/>
        </w:rPr>
        <w:t>ls processos d'avaluació corresponents. S'hi estableix la relació directa entre cada UP, els Resultats d'Aprenentatge i els Criteris d'Avaluació associats.</w:t>
      </w:r>
    </w:p>
    <w:p>
      <w:pPr>
        <w:pStyle w:val="Normal"/>
        <w:spacing w:lineRule="auto" w:line="360" w:before="0" w:after="80"/>
        <w:jc w:val="both"/>
        <w:rPr>
          <w:rFonts w:ascii="Arial" w:hAnsi="Arial" w:eastAsia="Arial" w:cs="Arial"/>
          <w:color w:val="000000"/>
          <w:sz w:val="22"/>
          <w:szCs w:val="22"/>
        </w:rPr>
      </w:pPr>
      <w:r>
        <w:rPr>
          <w:rFonts w:eastAsia="Arial" w:cs="Arial" w:ascii="Arial" w:hAnsi="Arial"/>
          <w:color w:val="000000"/>
          <w:sz w:val="22"/>
          <w:szCs w:val="22"/>
        </w:rPr>
      </w:r>
    </w:p>
    <w:tbl>
      <w:tblPr>
        <w:tblStyle w:val="Tablaconcuadrcula"/>
        <w:tblW w:w="9638" w:type="dxa"/>
        <w:jc w:val="start"/>
        <w:tblInd w:w="5" w:type="dxa"/>
        <w:tblLayout w:type="fixed"/>
        <w:tblCellMar>
          <w:top w:w="0" w:type="dxa"/>
          <w:start w:w="108" w:type="dxa"/>
          <w:bottom w:w="0" w:type="dxa"/>
          <w:end w:w="108" w:type="dxa"/>
        </w:tblCellMar>
        <w:tblLook w:firstRow="1" w:noVBand="1" w:lastRow="0" w:firstColumn="1" w:lastColumn="0" w:noHBand="0" w:val="04a0"/>
      </w:tblPr>
      <w:tblGrid>
        <w:gridCol w:w="1361"/>
        <w:gridCol w:w="1362"/>
        <w:gridCol w:w="2076"/>
        <w:gridCol w:w="2655"/>
        <w:gridCol w:w="2184"/>
      </w:tblGrid>
      <w:tr>
        <w:trPr>
          <w:trHeight w:val="444" w:hRule="atLeast"/>
        </w:trPr>
        <w:tc>
          <w:tcPr>
            <w:tcW w:w="1361" w:type="dxa"/>
            <w:tcBorders>
              <w:top w:val="single" w:sz="2" w:space="0" w:color="7F7F7F"/>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UP</w:t>
            </w:r>
          </w:p>
        </w:tc>
        <w:tc>
          <w:tcPr>
            <w:tcW w:w="1362" w:type="dxa"/>
            <w:tcBorders>
              <w:top w:val="single" w:sz="2" w:space="0" w:color="7F7F7F"/>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RA</w:t>
            </w:r>
          </w:p>
        </w:tc>
        <w:tc>
          <w:tcPr>
            <w:tcW w:w="2076" w:type="dxa"/>
            <w:tcBorders>
              <w:top w:val="single" w:sz="2" w:space="0" w:color="7F7F7F"/>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CE</w:t>
            </w:r>
          </w:p>
        </w:tc>
        <w:tc>
          <w:tcPr>
            <w:tcW w:w="2655" w:type="dxa"/>
            <w:tcBorders>
              <w:top w:val="single" w:sz="2" w:space="0" w:color="7F7F7F"/>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PES</w:t>
            </w:r>
          </w:p>
        </w:tc>
        <w:tc>
          <w:tcPr>
            <w:tcW w:w="2184" w:type="dxa"/>
            <w:tcBorders>
              <w:top w:val="single" w:sz="2" w:space="0" w:color="7F7F7F"/>
              <w:start w:val="single" w:sz="2" w:space="0" w:color="7F7F7F"/>
              <w:bottom w:val="single" w:sz="2" w:space="0" w:color="7F7F7F"/>
              <w:end w:val="single" w:sz="2" w:space="0" w:color="7F7F7F"/>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TRIM</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1</w:t>
            </w:r>
          </w:p>
        </w:tc>
        <w:tc>
          <w:tcPr>
            <w:tcW w:w="1362" w:type="dxa"/>
            <w:vMerge w:val="restart"/>
            <w:tcBorders>
              <w:top w:val="nil"/>
              <w:start w:val="single" w:sz="2" w:space="0" w:color="7F7F7F"/>
              <w:bottom w:val="single" w:sz="2" w:space="0" w:color="7F7F7F"/>
              <w:end w:val="nil"/>
            </w:tcBorders>
            <w:vAlign w:val="center"/>
          </w:tcPr>
          <w:p>
            <w:pPr>
              <w:pStyle w:val="Normal"/>
              <w:suppressAutoHyphens w:val="true"/>
              <w:jc w:val="center"/>
              <w:rPr>
                <w:rFonts w:ascii="Arial" w:hAnsi="Arial"/>
                <w:sz w:val="22"/>
                <w:szCs w:val="22"/>
              </w:rPr>
            </w:pPr>
            <w:bookmarkStart w:id="73" w:name="OLE_LINK56"/>
            <w:bookmarkEnd w:id="73"/>
            <w:r>
              <w:rPr>
                <w:rFonts w:eastAsia="Arial" w:cs="Arial" w:ascii="Arial" w:hAnsi="Arial"/>
                <w:color w:val="000000"/>
                <w:sz w:val="22"/>
                <w:szCs w:val="22"/>
              </w:rPr>
              <w:t>RA1</w:t>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highlight w:val="none"/>
                <w:shd w:fill="auto" w:val="clear"/>
              </w:rPr>
            </w:pPr>
            <w:r>
              <w:rPr>
                <w:rFonts w:eastAsia="Arial" w:cs="Arial" w:ascii="Arial" w:hAnsi="Arial"/>
                <w:color w:val="000000"/>
                <w:kern w:val="0"/>
                <w:sz w:val="22"/>
                <w:szCs w:val="22"/>
                <w:shd w:fill="auto" w:val="clear"/>
                <w:lang w:bidi="ar-SA"/>
              </w:rPr>
              <w:t>a - b -c - d</w:t>
            </w:r>
          </w:p>
        </w:tc>
        <w:tc>
          <w:tcPr>
            <w:tcW w:w="2655" w:type="dxa"/>
            <w:vMerge w:val="restart"/>
            <w:tcBorders>
              <w:top w:val="nil"/>
              <w:start w:val="single" w:sz="2" w:space="0" w:color="7F7F7F"/>
              <w:bottom w:val="single" w:sz="2" w:space="0" w:color="7F7F7F"/>
              <w:end w:val="nil"/>
            </w:tcBorders>
            <w:vAlign w:val="center"/>
          </w:tcPr>
          <w:p>
            <w:pPr>
              <w:pStyle w:val="Normal"/>
              <w:suppressAutoHyphens w:val="true"/>
              <w:jc w:val="center"/>
              <w:rPr>
                <w:rFonts w:ascii="Arial" w:hAnsi="Arial"/>
                <w:sz w:val="22"/>
                <w:szCs w:val="22"/>
              </w:rPr>
            </w:pPr>
            <w:r>
              <w:rPr>
                <w:rFonts w:eastAsia="Arial" w:cs="Arial" w:ascii="Arial" w:hAnsi="Arial"/>
                <w:color w:val="000000"/>
                <w:sz w:val="22"/>
                <w:szCs w:val="22"/>
              </w:rPr>
              <w:t>25%</w:t>
            </w:r>
          </w:p>
        </w:tc>
        <w:tc>
          <w:tcPr>
            <w:tcW w:w="2184" w:type="dxa"/>
            <w:vMerge w:val="restart"/>
            <w:tcBorders>
              <w:top w:val="nil"/>
              <w:start w:val="single" w:sz="2" w:space="0" w:color="7F7F7F"/>
              <w:bottom w:val="single" w:sz="2" w:space="0" w:color="7F7F7F"/>
              <w:end w:val="single" w:sz="2" w:space="0" w:color="7F7F7F"/>
            </w:tcBorders>
            <w:vAlign w:val="center"/>
          </w:tcPr>
          <w:p>
            <w:pPr>
              <w:pStyle w:val="Normal"/>
              <w:suppressAutoHyphens w:val="true"/>
              <w:jc w:val="center"/>
              <w:rPr>
                <w:rFonts w:ascii="Arial" w:hAnsi="Arial"/>
                <w:sz w:val="22"/>
                <w:szCs w:val="22"/>
              </w:rPr>
            </w:pPr>
            <w:r>
              <w:rPr>
                <w:rFonts w:eastAsia="Arial" w:cs="Arial" w:ascii="Arial" w:hAnsi="Arial"/>
                <w:color w:val="000000"/>
                <w:sz w:val="22"/>
                <w:szCs w:val="22"/>
              </w:rPr>
              <w:t>1r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bookmarkStart w:id="74" w:name="_Hlk194139030"/>
            <w:bookmarkEnd w:id="74"/>
            <w:r>
              <w:rPr>
                <w:rFonts w:eastAsia="Arial" w:cs="Arial" w:ascii="Arial" w:hAnsi="Arial"/>
                <w:b/>
                <w:color w:themeColor="background1" w:val="FFFFFF"/>
                <w:kern w:val="0"/>
                <w:sz w:val="22"/>
                <w:szCs w:val="22"/>
                <w:lang w:val="ca-ES" w:eastAsia="es-ES" w:bidi="ar-SA"/>
              </w:rPr>
              <w:t>2</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eastAsia="Arial" w:cs="Arial" w:ascii="Arial" w:hAnsi="Arial"/>
                <w:color w:val="000000"/>
                <w:kern w:val="0"/>
                <w:sz w:val="22"/>
                <w:szCs w:val="22"/>
                <w:lang w:bidi="ar-SA"/>
              </w:rPr>
              <w:t>e - f</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184" w:type="dxa"/>
            <w:vMerge w:val="continue"/>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bookmarkStart w:id="75" w:name="_Hlk194139030_Copia_1"/>
            <w:bookmarkEnd w:id="75"/>
            <w:r>
              <w:rPr>
                <w:rFonts w:eastAsia="Arial" w:cs="Arial" w:ascii="Arial" w:hAnsi="Arial"/>
                <w:b/>
                <w:color w:themeColor="background1" w:val="FFFFFF"/>
                <w:kern w:val="0"/>
                <w:sz w:val="22"/>
                <w:szCs w:val="22"/>
                <w:lang w:val="ca-ES" w:eastAsia="es-ES" w:bidi="ar-SA"/>
              </w:rPr>
              <w:t>3</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bookmarkStart w:id="76" w:name="OLE_LINK60"/>
            <w:r>
              <w:rPr>
                <w:rFonts w:eastAsia="Arial" w:cs="Arial" w:ascii="Arial" w:hAnsi="Arial"/>
                <w:color w:val="000000"/>
                <w:kern w:val="0"/>
                <w:sz w:val="22"/>
                <w:szCs w:val="22"/>
                <w:lang w:bidi="ar-SA"/>
              </w:rPr>
              <w:t>g</w:t>
            </w:r>
            <w:bookmarkEnd w:id="76"/>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184" w:type="dxa"/>
            <w:vMerge w:val="continue"/>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4</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eastAsia="Arial" w:cs="Arial" w:ascii="Arial" w:hAnsi="Arial"/>
                <w:color w:val="000000"/>
                <w:kern w:val="0"/>
                <w:sz w:val="22"/>
                <w:szCs w:val="22"/>
                <w:lang w:bidi="ar-SA"/>
              </w:rPr>
              <w:t>h</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c>
          <w:tcPr>
            <w:tcW w:w="2184" w:type="dxa"/>
            <w:vMerge w:val="continue"/>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sz w:val="22"/>
                <w:szCs w:val="22"/>
              </w:rPr>
            </w:pPr>
            <w:r>
              <w:rPr>
                <w:rFonts w:ascii="Arial" w:hAnsi="Arial"/>
                <w:sz w:val="22"/>
                <w:szCs w:val="22"/>
              </w:rPr>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kern w:val="0"/>
                <w:sz w:val="22"/>
                <w:szCs w:val="22"/>
                <w:lang w:val="ca-ES" w:eastAsia="es-ES" w:bidi="ar-SA"/>
              </w:rPr>
              <w:t>5</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t>h</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c>
          <w:tcPr>
            <w:tcW w:w="2184" w:type="dxa"/>
            <w:vMerge w:val="continue"/>
            <w:tcBorders>
              <w:top w:val="nil"/>
              <w:start w:val="single" w:sz="2" w:space="0" w:color="7F7F7F"/>
              <w:bottom w:val="single" w:sz="2" w:space="0" w:color="7F7F7F"/>
              <w:end w:val="single" w:sz="2" w:space="0" w:color="7F7F7F"/>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6</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t>i</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c>
          <w:tcPr>
            <w:tcW w:w="2184" w:type="dxa"/>
            <w:vMerge w:val="continue"/>
            <w:tcBorders>
              <w:top w:val="nil"/>
              <w:start w:val="single" w:sz="2" w:space="0" w:color="7F7F7F"/>
              <w:bottom w:val="single" w:sz="2" w:space="0" w:color="7F7F7F"/>
              <w:end w:val="single" w:sz="2" w:space="0" w:color="7F7F7F"/>
            </w:tcBorders>
            <w:vAlign w:val="center"/>
          </w:tcPr>
          <w:p>
            <w:pPr>
              <w:pStyle w:val="Normal"/>
              <w:suppressAutoHyphens w:val="true"/>
              <w:jc w:val="center"/>
              <w:rPr>
                <w:rFonts w:ascii="Arial" w:hAnsi="Arial" w:eastAsia="Arial" w:cs="Arial"/>
                <w:color w:val="000000"/>
                <w:sz w:val="22"/>
                <w:szCs w:val="22"/>
              </w:rPr>
            </w:pPr>
            <w:r>
              <w:rPr>
                <w:rFonts w:eastAsia="Arial" w:cs="Arial" w:ascii="Arial" w:hAnsi="Arial"/>
                <w:color w:val="000000"/>
                <w:sz w:val="22"/>
                <w:szCs w:val="22"/>
              </w:rPr>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7</w:t>
            </w:r>
          </w:p>
        </w:tc>
        <w:tc>
          <w:tcPr>
            <w:tcW w:w="1362"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RA2</w:t>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a - b - c - d - e - f</w:t>
            </w:r>
          </w:p>
        </w:tc>
        <w:tc>
          <w:tcPr>
            <w:tcW w:w="2655"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25%</w:t>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1r-2r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8</w:t>
            </w:r>
          </w:p>
        </w:tc>
        <w:tc>
          <w:tcPr>
            <w:tcW w:w="1362" w:type="dxa"/>
            <w:vMerge w:val="restart"/>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RA5</w:t>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 xml:space="preserve">a </w:t>
            </w:r>
          </w:p>
        </w:tc>
        <w:tc>
          <w:tcPr>
            <w:tcW w:w="2655" w:type="dxa"/>
            <w:vMerge w:val="restart"/>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25%</w:t>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9</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b - c - d</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10</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e - f - g</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2r-3r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11</w:t>
            </w:r>
          </w:p>
        </w:tc>
        <w:tc>
          <w:tcPr>
            <w:tcW w:w="1362" w:type="dxa"/>
            <w:vMerge w:val="restart"/>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RA6</w:t>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 xml:space="preserve">a - b - c - d </w:t>
            </w:r>
          </w:p>
        </w:tc>
        <w:tc>
          <w:tcPr>
            <w:tcW w:w="2655" w:type="dxa"/>
            <w:vMerge w:val="restart"/>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25%</w:t>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3r</w:t>
            </w:r>
          </w:p>
        </w:tc>
      </w:tr>
      <w:tr>
        <w:trPr>
          <w:trHeight w:val="408" w:hRule="atLeast"/>
        </w:trPr>
        <w:tc>
          <w:tcPr>
            <w:tcW w:w="1361" w:type="dxa"/>
            <w:tcBorders>
              <w:top w:val="nil"/>
              <w:start w:val="single" w:sz="2" w:space="0" w:color="7F7F7F"/>
              <w:bottom w:val="single" w:sz="2" w:space="0" w:color="7F7F7F"/>
              <w:end w:val="nil"/>
            </w:tcBorders>
            <w:shd w:color="auto" w:fill="ED7D31" w:val="clear"/>
            <w:vAlign w:val="center"/>
          </w:tcPr>
          <w:p>
            <w:pPr>
              <w:pStyle w:val="Textbody"/>
              <w:widowControl w:val="false"/>
              <w:spacing w:before="0" w:after="0"/>
              <w:jc w:val="center"/>
              <w:rPr>
                <w:rFonts w:ascii="Arial" w:hAnsi="Arial" w:eastAsia="Arial" w:cs="Arial"/>
                <w:b/>
                <w:color w:themeColor="background1" w:val="FFFFFF"/>
                <w:sz w:val="22"/>
                <w:szCs w:val="22"/>
              </w:rPr>
            </w:pPr>
            <w:r>
              <w:rPr>
                <w:rFonts w:eastAsia="Arial" w:cs="Arial" w:ascii="Arial" w:hAnsi="Arial"/>
                <w:b/>
                <w:color w:themeColor="background1" w:val="FFFFFF"/>
                <w:sz w:val="22"/>
                <w:szCs w:val="22"/>
              </w:rPr>
              <w:t>12</w:t>
            </w:r>
          </w:p>
        </w:tc>
        <w:tc>
          <w:tcPr>
            <w:tcW w:w="1362"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076" w:type="dxa"/>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e - f - g - h</w:t>
            </w:r>
          </w:p>
        </w:tc>
        <w:tc>
          <w:tcPr>
            <w:tcW w:w="2655" w:type="dxa"/>
            <w:vMerge w:val="continue"/>
            <w:tcBorders>
              <w:top w:val="nil"/>
              <w:start w:val="single" w:sz="2" w:space="0" w:color="7F7F7F"/>
              <w:bottom w:val="single" w:sz="2" w:space="0" w:color="7F7F7F"/>
              <w:end w:val="nil"/>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r>
          </w:p>
        </w:tc>
        <w:tc>
          <w:tcPr>
            <w:tcW w:w="2184" w:type="dxa"/>
            <w:tcBorders>
              <w:top w:val="nil"/>
              <w:start w:val="single" w:sz="2" w:space="0" w:color="7F7F7F"/>
              <w:bottom w:val="single" w:sz="2" w:space="0" w:color="7F7F7F"/>
              <w:end w:val="single" w:sz="2" w:space="0" w:color="7F7F7F"/>
            </w:tcBorders>
            <w:vAlign w:val="center"/>
          </w:tcPr>
          <w:p>
            <w:pPr>
              <w:pStyle w:val="Normal"/>
              <w:suppressAutoHyphens w:val="true"/>
              <w:spacing w:before="0" w:after="0"/>
              <w:jc w:val="center"/>
              <w:rPr>
                <w:rFonts w:ascii="Arial" w:hAnsi="Arial" w:eastAsia="Arial" w:cs="Arial"/>
                <w:color w:val="000000"/>
                <w:sz w:val="22"/>
                <w:szCs w:val="22"/>
              </w:rPr>
            </w:pPr>
            <w:r>
              <w:rPr>
                <w:rFonts w:eastAsia="Arial" w:cs="Arial" w:ascii="Arial" w:hAnsi="Arial"/>
                <w:color w:val="000000"/>
                <w:sz w:val="22"/>
                <w:szCs w:val="22"/>
              </w:rPr>
              <w:t>3r</w:t>
            </w:r>
          </w:p>
        </w:tc>
      </w:tr>
    </w:tbl>
    <w:p>
      <w:pPr>
        <w:pStyle w:val="Normal"/>
        <w:spacing w:lineRule="auto" w:line="360" w:before="0" w:after="80"/>
        <w:jc w:val="both"/>
        <w:rPr/>
      </w:pPr>
      <w:r>
        <w:rPr/>
      </w:r>
      <w:bookmarkStart w:id="77" w:name="_heading=h.dyxaghvhq8za"/>
      <w:bookmarkStart w:id="78" w:name="OLE_LINK201_Copia_1"/>
      <w:bookmarkStart w:id="79" w:name="OLE_LINK202_Copia_1"/>
      <w:bookmarkStart w:id="80" w:name="_heading=h.dyxaghvhq8za"/>
      <w:bookmarkStart w:id="81" w:name="OLE_LINK201_Copia_1"/>
      <w:bookmarkStart w:id="82" w:name="OLE_LINK202_Copia_1"/>
      <w:bookmarkEnd w:id="80"/>
      <w:bookmarkEnd w:id="81"/>
      <w:bookmarkEnd w:id="82"/>
    </w:p>
    <w:tbl>
      <w:tblPr>
        <w:tblW w:w="5000" w:type="pct"/>
        <w:jc w:val="start"/>
        <w:tblInd w:w="0" w:type="dxa"/>
        <w:tblLayout w:type="fixed"/>
        <w:tblCellMar>
          <w:top w:w="170" w:type="dxa"/>
          <w:start w:w="170" w:type="dxa"/>
          <w:bottom w:w="170" w:type="dxa"/>
          <w:end w:w="170" w:type="dxa"/>
        </w:tblCellMar>
      </w:tblPr>
      <w:tblGrid>
        <w:gridCol w:w="3571"/>
        <w:gridCol w:w="2663"/>
        <w:gridCol w:w="3404"/>
      </w:tblGrid>
      <w:tr>
        <w:trPr>
          <w:tblHeader w:val="true"/>
          <w:cantSplit w:val="true"/>
        </w:trPr>
        <w:tc>
          <w:tcPr>
            <w:tcW w:w="3571" w:type="dxa"/>
            <w:tcBorders/>
            <w:shd w:fill="ED7D31" w:val="clear"/>
          </w:tcPr>
          <w:p>
            <w:pPr>
              <w:pStyle w:val="Textbody"/>
              <w:spacing w:before="170" w:after="170"/>
              <w:jc w:val="center"/>
              <w:rPr>
                <w:rFonts w:ascii="Arial" w:hAnsi="Arial"/>
                <w:b/>
                <w:bCs/>
              </w:rPr>
            </w:pPr>
            <w:r>
              <w:rPr>
                <w:rFonts w:ascii="Arial" w:hAnsi="Arial"/>
                <w:b/>
                <w:bCs/>
              </w:rPr>
              <w:t>Resultats d’aprenentatge (RA)</w:t>
            </w:r>
          </w:p>
        </w:tc>
        <w:tc>
          <w:tcPr>
            <w:tcW w:w="2663" w:type="dxa"/>
            <w:tcBorders/>
            <w:shd w:fill="ED7D31" w:val="clear"/>
          </w:tcPr>
          <w:p>
            <w:pPr>
              <w:pStyle w:val="Textbody"/>
              <w:spacing w:before="170" w:after="170"/>
              <w:jc w:val="center"/>
              <w:rPr>
                <w:rFonts w:ascii="Arial" w:hAnsi="Arial"/>
                <w:b/>
                <w:bCs/>
              </w:rPr>
            </w:pPr>
            <w:r>
              <w:rPr>
                <w:rFonts w:ascii="Arial" w:hAnsi="Arial"/>
                <w:b/>
                <w:bCs/>
              </w:rPr>
              <w:t>Criteris d’avaluació</w:t>
            </w:r>
          </w:p>
          <w:p>
            <w:pPr>
              <w:pStyle w:val="Textbody"/>
              <w:spacing w:before="170" w:after="170"/>
              <w:jc w:val="center"/>
              <w:rPr>
                <w:rFonts w:ascii="Arial" w:hAnsi="Arial"/>
                <w:b/>
                <w:bCs/>
              </w:rPr>
            </w:pPr>
            <w:r>
              <w:rPr>
                <w:rFonts w:ascii="Arial" w:hAnsi="Arial"/>
                <w:b/>
                <w:bCs/>
              </w:rPr>
              <w:t>(CE)</w:t>
            </w:r>
          </w:p>
        </w:tc>
        <w:tc>
          <w:tcPr>
            <w:tcW w:w="3404" w:type="dxa"/>
            <w:tcBorders/>
            <w:shd w:fill="ED7D31" w:val="clear"/>
          </w:tcPr>
          <w:p>
            <w:pPr>
              <w:pStyle w:val="Textbody"/>
              <w:spacing w:before="170" w:after="170"/>
              <w:jc w:val="center"/>
              <w:rPr>
                <w:rFonts w:ascii="Arial" w:hAnsi="Arial"/>
                <w:b/>
                <w:bCs/>
              </w:rPr>
            </w:pPr>
            <w:r>
              <w:rPr>
                <w:rFonts w:ascii="Arial" w:hAnsi="Arial"/>
                <w:b/>
                <w:bCs/>
              </w:rPr>
              <w:t>Unitats de programació</w:t>
            </w:r>
          </w:p>
          <w:p>
            <w:pPr>
              <w:pStyle w:val="Textbody"/>
              <w:spacing w:before="170" w:after="170"/>
              <w:jc w:val="center"/>
              <w:rPr>
                <w:rFonts w:ascii="Arial" w:hAnsi="Arial"/>
                <w:b/>
                <w:bCs/>
              </w:rPr>
            </w:pPr>
            <w:r>
              <w:rPr>
                <w:rFonts w:ascii="Arial" w:hAnsi="Arial"/>
                <w:b/>
                <w:bCs/>
              </w:rPr>
              <w:t>(UP)</w:t>
            </w:r>
          </w:p>
        </w:tc>
      </w:tr>
      <w:tr>
        <w:trPr>
          <w:cantSplit w:val="true"/>
        </w:trPr>
        <w:tc>
          <w:tcPr>
            <w:tcW w:w="3571" w:type="dxa"/>
            <w:tcBorders/>
          </w:tcPr>
          <w:p>
            <w:pPr>
              <w:pStyle w:val="Normal"/>
              <w:numPr>
                <w:ilvl w:val="0"/>
                <w:numId w:val="24"/>
              </w:numPr>
              <w:spacing w:lineRule="auto" w:line="276" w:before="0" w:after="80"/>
              <w:jc w:val="start"/>
              <w:rPr>
                <w:lang w:val="ca-ES" w:eastAsia="es-ES_tradnl" w:bidi="ar-SA"/>
              </w:rPr>
            </w:pPr>
            <w:r>
              <w:rPr>
                <w:rFonts w:eastAsia="Arial" w:cs="Arial" w:ascii="Arial" w:hAnsi="Arial"/>
                <w:b w:val="false"/>
                <w:bCs w:val="false"/>
                <w:color w:val="000000"/>
                <w:sz w:val="22"/>
                <w:szCs w:val="22"/>
                <w:lang w:val="ca-ES" w:eastAsia="es-ES_tradnl" w:bidi="ar-SA"/>
              </w:rPr>
              <w:t>Selecciona els components i ferramentes per a la realització del muntatge i manteniment de sistemes microinformàtics, descrivint-los i relacionant-los amb la seua funció i aplicació en la instal·lació</w:t>
            </w:r>
            <w:r>
              <w:rPr>
                <w:rFonts w:eastAsia="Arial" w:cs="Arial" w:ascii="Arial" w:hAnsi="Arial"/>
                <w:b w:val="false"/>
                <w:bCs w:val="false"/>
                <w:color w:themeColor="text1" w:val="000000"/>
                <w:sz w:val="22"/>
                <w:szCs w:val="22"/>
                <w:lang w:val="ca-ES" w:eastAsia="es-ES_tradnl" w:bidi="ar-SA"/>
              </w:rPr>
              <w:t>.</w:t>
            </w:r>
          </w:p>
        </w:tc>
        <w:tc>
          <w:tcPr>
            <w:tcW w:w="2663" w:type="dxa"/>
            <w:tcBorders/>
          </w:tcPr>
          <w:p>
            <w:pPr>
              <w:pStyle w:val="Contenidodelatabla"/>
              <w:jc w:val="center"/>
              <w:textAlignment w:val="center"/>
              <w:rPr>
                <w:rFonts w:ascii="Arial" w:hAnsi="Arial"/>
                <w:sz w:val="22"/>
                <w:szCs w:val="22"/>
                <w:lang w:val="ca-ES" w:eastAsia="es-ES_tradnl" w:bidi="ar-SA"/>
              </w:rPr>
            </w:pPr>
            <w:r>
              <w:rPr>
                <w:rFonts w:ascii="Arial" w:hAnsi="Arial"/>
                <w:sz w:val="22"/>
                <w:szCs w:val="22"/>
                <w:lang w:val="ca-ES" w:eastAsia="es-ES_tradnl" w:bidi="ar-SA"/>
              </w:rPr>
              <w:t>a-i</w:t>
            </w:r>
          </w:p>
        </w:tc>
        <w:tc>
          <w:tcPr>
            <w:tcW w:w="3404" w:type="dxa"/>
            <w:tcBorders/>
          </w:tcPr>
          <w:p>
            <w:pPr>
              <w:pStyle w:val="Contenidodelatabla"/>
              <w:numPr>
                <w:ilvl w:val="0"/>
                <w:numId w:val="23"/>
              </w:numPr>
              <w:spacing w:lineRule="auto" w:line="276"/>
              <w:rPr>
                <w:rFonts w:ascii="Arial" w:hAnsi="Arial"/>
                <w:sz w:val="22"/>
                <w:szCs w:val="22"/>
                <w:lang w:val="ca-ES" w:eastAsia="es-ES_tradnl" w:bidi="ar-SA"/>
              </w:rPr>
            </w:pPr>
            <w:r>
              <w:rPr>
                <w:rFonts w:ascii="Arial" w:hAnsi="Arial"/>
                <w:sz w:val="22"/>
                <w:szCs w:val="22"/>
                <w:lang w:val="ca-ES" w:eastAsia="es-ES_tradnl" w:bidi="ar-SA"/>
              </w:rPr>
              <w:t>Unitat 1. Elements bàsics elèctrics i electrònics.</w:t>
            </w:r>
          </w:p>
          <w:p>
            <w:pPr>
              <w:pStyle w:val="Contenidodelatabla"/>
              <w:numPr>
                <w:ilvl w:val="0"/>
                <w:numId w:val="23"/>
              </w:numPr>
              <w:spacing w:lineRule="auto" w:line="276"/>
              <w:rPr>
                <w:rFonts w:ascii="Arial" w:hAnsi="Arial"/>
                <w:sz w:val="22"/>
                <w:szCs w:val="22"/>
                <w:lang w:val="ca-ES" w:eastAsia="es-ES_tradnl" w:bidi="ar-SA"/>
              </w:rPr>
            </w:pPr>
            <w:r>
              <w:rPr>
                <w:rFonts w:ascii="Arial" w:hAnsi="Arial"/>
                <w:sz w:val="22"/>
                <w:szCs w:val="22"/>
                <w:lang w:val="ca-ES" w:eastAsia="es-ES_tradnl" w:bidi="ar-SA"/>
              </w:rPr>
              <w:t>Unitat 2. Unitats funcionals d'un ordinador.</w:t>
            </w:r>
          </w:p>
          <w:p>
            <w:pPr>
              <w:pStyle w:val="Contenidodelatabla"/>
              <w:numPr>
                <w:ilvl w:val="0"/>
                <w:numId w:val="23"/>
              </w:numPr>
              <w:spacing w:lineRule="auto" w:line="276"/>
              <w:rPr>
                <w:rFonts w:ascii="Arial" w:hAnsi="Arial"/>
                <w:sz w:val="22"/>
                <w:szCs w:val="22"/>
                <w:lang w:val="ca-ES" w:eastAsia="es-ES_tradnl" w:bidi="ar-SA"/>
              </w:rPr>
            </w:pPr>
            <w:r>
              <w:rPr>
                <w:rFonts w:ascii="Arial" w:hAnsi="Arial"/>
                <w:sz w:val="22"/>
                <w:szCs w:val="22"/>
                <w:lang w:val="ca-ES" w:eastAsia="es-ES_tradnl" w:bidi="ar-SA"/>
              </w:rPr>
              <w:t>Unitat 3. La placa base.</w:t>
            </w:r>
          </w:p>
          <w:p>
            <w:pPr>
              <w:pStyle w:val="Contenidodelatabla"/>
              <w:numPr>
                <w:ilvl w:val="0"/>
                <w:numId w:val="23"/>
              </w:numPr>
              <w:spacing w:lineRule="auto" w:line="276"/>
              <w:rPr>
                <w:lang w:val="ca-ES" w:eastAsia="es-ES_tradnl" w:bidi="ar-SA"/>
              </w:rPr>
            </w:pPr>
            <w:r>
              <w:rPr>
                <w:rFonts w:ascii="Arial" w:hAnsi="Arial"/>
                <w:sz w:val="22"/>
                <w:szCs w:val="22"/>
                <w:lang w:val="ca-ES" w:eastAsia="es-ES_tradnl" w:bidi="ar-SA"/>
              </w:rPr>
              <w:t>Unitat 4. Components interns de l'ordinador.</w:t>
            </w:r>
          </w:p>
          <w:p>
            <w:pPr>
              <w:pStyle w:val="Contenidodelatabla"/>
              <w:numPr>
                <w:ilvl w:val="0"/>
                <w:numId w:val="23"/>
              </w:numPr>
              <w:spacing w:lineRule="auto" w:line="276"/>
              <w:rPr>
                <w:rFonts w:ascii="Arial" w:hAnsi="Arial"/>
                <w:sz w:val="22"/>
                <w:szCs w:val="22"/>
                <w:lang w:val="ca-ES" w:eastAsia="es-ES_tradnl" w:bidi="ar-SA"/>
              </w:rPr>
            </w:pPr>
            <w:r>
              <w:rPr>
                <w:rFonts w:ascii="Arial" w:hAnsi="Arial"/>
                <w:sz w:val="22"/>
                <w:szCs w:val="22"/>
                <w:lang w:val="ca-ES" w:eastAsia="es-ES_tradnl" w:bidi="ar-SA"/>
              </w:rPr>
              <w:t>Unitat 5. Connectors i cablejat.</w:t>
            </w:r>
          </w:p>
          <w:p>
            <w:pPr>
              <w:pStyle w:val="Contenidodelatabla"/>
              <w:numPr>
                <w:ilvl w:val="0"/>
                <w:numId w:val="23"/>
              </w:numPr>
              <w:spacing w:lineRule="auto" w:line="276"/>
              <w:rPr>
                <w:rFonts w:ascii="Arial" w:hAnsi="Arial"/>
                <w:sz w:val="22"/>
                <w:szCs w:val="22"/>
                <w:lang w:val="ca-ES" w:eastAsia="es-ES_tradnl" w:bidi="ar-SA"/>
              </w:rPr>
            </w:pPr>
            <w:r>
              <w:rPr>
                <w:rFonts w:ascii="Arial" w:hAnsi="Arial"/>
                <w:sz w:val="22"/>
                <w:szCs w:val="22"/>
                <w:lang w:val="ca-ES" w:eastAsia="es-ES_tradnl" w:bidi="ar-SA"/>
              </w:rPr>
              <w:t>Unitat 6. Muntatge de components interns.</w:t>
            </w:r>
          </w:p>
        </w:tc>
      </w:tr>
      <w:tr>
        <w:trPr>
          <w:cantSplit w:val="true"/>
        </w:trPr>
        <w:tc>
          <w:tcPr>
            <w:tcW w:w="3571" w:type="dxa"/>
            <w:tcBorders/>
          </w:tcPr>
          <w:p>
            <w:pPr>
              <w:pStyle w:val="Normal"/>
              <w:numPr>
                <w:ilvl w:val="0"/>
                <w:numId w:val="24"/>
              </w:numPr>
              <w:spacing w:lineRule="auto" w:line="276" w:before="0" w:after="80"/>
              <w:rPr/>
            </w:pPr>
            <w:r>
              <w:rPr>
                <w:rFonts w:eastAsia="Arial" w:cs="Arial" w:ascii="Arial" w:hAnsi="Arial"/>
                <w:sz w:val="22"/>
                <w:szCs w:val="22"/>
                <w:lang w:val="ca-ES" w:eastAsia="es-ES_tradnl" w:bidi="ar-SA"/>
              </w:rPr>
              <w:t>Acobla el component maquinari d'un equip microinformàtic, interpretant guies i instruccions i aplicant tècniques de muntatge.</w:t>
            </w:r>
          </w:p>
        </w:tc>
        <w:tc>
          <w:tcPr>
            <w:tcW w:w="2663" w:type="dxa"/>
            <w:tcBorders/>
          </w:tcPr>
          <w:p>
            <w:pPr>
              <w:pStyle w:val="Contenidodelatabla"/>
              <w:suppressAutoHyphens w:val="true"/>
              <w:bidi w:val="0"/>
              <w:spacing w:before="0" w:after="0"/>
              <w:jc w:val="center"/>
              <w:textAlignment w:val="center"/>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a-f</w:t>
            </w:r>
          </w:p>
        </w:tc>
        <w:tc>
          <w:tcPr>
            <w:tcW w:w="3404" w:type="dxa"/>
            <w:tcBorders/>
          </w:tcPr>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7. Muntatge de components interns.</w:t>
            </w:r>
          </w:p>
        </w:tc>
      </w:tr>
      <w:tr>
        <w:trPr>
          <w:cantSplit w:val="true"/>
        </w:trPr>
        <w:tc>
          <w:tcPr>
            <w:tcW w:w="3571" w:type="dxa"/>
            <w:tcBorders/>
          </w:tcPr>
          <w:p>
            <w:pPr>
              <w:pStyle w:val="Normal"/>
              <w:numPr>
                <w:ilvl w:val="0"/>
                <w:numId w:val="25"/>
              </w:numPr>
              <w:spacing w:lineRule="auto" w:line="276" w:before="0" w:after="80"/>
              <w:rPr/>
            </w:pPr>
            <w:r>
              <w:rPr>
                <w:rFonts w:eastAsia="Arial" w:cs="Arial" w:ascii="Arial" w:hAnsi="Arial"/>
                <w:sz w:val="22"/>
                <w:szCs w:val="22"/>
                <w:lang w:val="ca-ES"/>
              </w:rPr>
              <w:t>Realitza el manteniment bàsic de sistemes informàtics, suports i perifèrics, relacionant les intervencions amb els resultats que cal aconseguir.</w:t>
            </w:r>
          </w:p>
        </w:tc>
        <w:tc>
          <w:tcPr>
            <w:tcW w:w="2663" w:type="dxa"/>
            <w:tcBorders/>
          </w:tcPr>
          <w:p>
            <w:pPr>
              <w:pStyle w:val="Contenidodelatabla"/>
              <w:suppressAutoHyphens w:val="true"/>
              <w:bidi w:val="0"/>
              <w:spacing w:before="0" w:after="0"/>
              <w:jc w:val="center"/>
              <w:textAlignment w:val="center"/>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a-g</w:t>
            </w:r>
          </w:p>
        </w:tc>
        <w:tc>
          <w:tcPr>
            <w:tcW w:w="3404" w:type="dxa"/>
            <w:tcBorders/>
          </w:tcPr>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8. Manteniment de sistemes informàtics.</w:t>
            </w:r>
          </w:p>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9: Elements consumibles.</w:t>
            </w:r>
          </w:p>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10. Tractament de residus informàtics.</w:t>
            </w:r>
          </w:p>
        </w:tc>
      </w:tr>
      <w:tr>
        <w:trPr>
          <w:cantSplit w:val="true"/>
        </w:trPr>
        <w:tc>
          <w:tcPr>
            <w:tcW w:w="3571" w:type="dxa"/>
            <w:tcBorders/>
          </w:tcPr>
          <w:p>
            <w:pPr>
              <w:pStyle w:val="Normal"/>
              <w:numPr>
                <w:ilvl w:val="0"/>
                <w:numId w:val="25"/>
              </w:numPr>
              <w:spacing w:lineRule="auto" w:line="360" w:before="0" w:after="80"/>
              <w:jc w:val="start"/>
              <w:rPr>
                <w:b w:val="false"/>
                <w:bCs w:val="false"/>
                <w:lang w:val="ca-ES" w:eastAsia="es-ES_tradnl" w:bidi="ar-SA"/>
              </w:rPr>
            </w:pPr>
            <w:r>
              <w:rPr>
                <w:rFonts w:eastAsia="Arial" w:cs="Arial" w:ascii="Arial" w:hAnsi="Arial"/>
                <w:b w:val="false"/>
                <w:bCs w:val="false"/>
                <w:color w:val="000000"/>
                <w:sz w:val="22"/>
                <w:szCs w:val="22"/>
                <w:lang w:val="ca-ES" w:eastAsia="es-ES_tradnl" w:bidi="ar-SA"/>
              </w:rPr>
              <w:t>Emmagatzema equips, perifèrics i consumibles, descrivint les condicions de conservació i etiquetatge.</w:t>
            </w:r>
          </w:p>
        </w:tc>
        <w:tc>
          <w:tcPr>
            <w:tcW w:w="2663" w:type="dxa"/>
            <w:tcBorders/>
          </w:tcPr>
          <w:p>
            <w:pPr>
              <w:pStyle w:val="Contenidodelatabla"/>
              <w:suppressAutoHyphens w:val="true"/>
              <w:bidi w:val="0"/>
              <w:spacing w:before="0" w:after="0"/>
              <w:jc w:val="center"/>
              <w:textAlignment w:val="center"/>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a-h</w:t>
            </w:r>
          </w:p>
        </w:tc>
        <w:tc>
          <w:tcPr>
            <w:tcW w:w="3404" w:type="dxa"/>
            <w:tcBorders/>
          </w:tcPr>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11. Gestió logística.</w:t>
            </w:r>
          </w:p>
          <w:p>
            <w:pPr>
              <w:pStyle w:val="Contenidodelatabla"/>
              <w:numPr>
                <w:ilvl w:val="0"/>
                <w:numId w:val="23"/>
              </w:numPr>
              <w:suppressAutoHyphens w:val="true"/>
              <w:bidi w:val="0"/>
              <w:spacing w:lineRule="auto" w:line="276" w:before="0" w:after="0"/>
              <w:jc w:val="start"/>
              <w:rPr>
                <w:rFonts w:ascii="Arial" w:hAnsi="Arial" w:eastAsia="Times New Roman" w:cs="Times New Roman"/>
                <w:color w:val="auto"/>
                <w:kern w:val="0"/>
                <w:sz w:val="22"/>
                <w:szCs w:val="22"/>
                <w:lang w:val="ca-ES" w:eastAsia="es-ES_tradnl" w:bidi="ar-SA"/>
              </w:rPr>
            </w:pPr>
            <w:r>
              <w:rPr>
                <w:rFonts w:eastAsia="Times New Roman" w:cs="Times New Roman" w:ascii="Arial" w:hAnsi="Arial"/>
                <w:color w:val="auto"/>
                <w:kern w:val="0"/>
                <w:sz w:val="22"/>
                <w:szCs w:val="22"/>
                <w:lang w:val="ca-ES" w:eastAsia="es-ES_tradnl" w:bidi="ar-SA"/>
              </w:rPr>
              <w:t>Unitat 12. Tractament de residus informàtics.</w:t>
            </w:r>
          </w:p>
        </w:tc>
      </w:tr>
    </w:tbl>
    <w:p>
      <w:pPr>
        <w:pStyle w:val="ListParagraph"/>
        <w:widowControl w:val="false"/>
        <w:suppressAutoHyphens w:val="true"/>
        <w:spacing w:lineRule="auto" w:line="360" w:before="0" w:after="80"/>
        <w:contextualSpacing/>
        <w:jc w:val="both"/>
        <w:rPr>
          <w:lang w:val="ca-ES"/>
        </w:rPr>
      </w:pPr>
      <w:r>
        <w:rPr>
          <w:lang w:val="ca-ES"/>
        </w:rPr>
      </w:r>
      <w:r>
        <w:br w:type="page"/>
      </w:r>
    </w:p>
    <w:p>
      <w:pPr>
        <w:pStyle w:val="Heading1"/>
        <w:numPr>
          <w:ilvl w:val="0"/>
          <w:numId w:val="2"/>
        </w:numPr>
        <w:spacing w:before="0" w:after="120"/>
        <w:rPr>
          <w:color w:val="ED7D31"/>
        </w:rPr>
      </w:pPr>
      <w:bookmarkStart w:id="83" w:name="__RefHeading___Toc3388_3429816007"/>
      <w:bookmarkStart w:id="84" w:name="_Toc194271427"/>
      <w:bookmarkEnd w:id="83"/>
      <w:r>
        <w:rPr>
          <w:color w:val="ED7D31"/>
        </w:rPr>
        <w:t>METODOLOGÍA</w:t>
      </w:r>
      <w:bookmarkEnd w:id="84"/>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Les metodologies a aplicar seran les següents, d'acord amb els objectius de cada unitat didàctica:</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Classe teòrica: Introducció per part del professor dels aspectes teòrics de la unitat didàctica en qüestió, perquè després siguen aplicables a la pràctica. En tot cas serà una classe orientada a la pràctica per a evitar la pèrdua de l'interés per part de l'alumnat.</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Pràctiques individuals i col·lectives fetes en l'ordinador, i amb elements maquinari que servisquen per a afermar els conceptes teòrics.</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Realització de treballs obligatoris amb elaboració d'un informe, que potencien el treball complementari i d'ampliació de coneixements. Alguns treballs es realitzaran per grup, per a potenciar la cooperació entre els propis companys. També es pretén reforçar l'hàbit d'escriure i expressar-se correctament, pensant en una possible elaboració futura de manuals, informes i documentació.</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Realització d'activitats voluntàries d'investigació i ampliació perquè l'alumne aprofundisca en els coneixements adquirits.</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PBL (Problem Based Learning), aprenentatge basat en problemes. El professor planteja un problema que pot donar-se en una situació real, i proposa als alumnes que busquen la solució justificada i provada, incloent-hi estudi de necessitats i costos. En este cas els continguts i l'avaluació són reals i el professor és facilitador i no instructor de la solució, afavorint el treball raonat.</w:t>
      </w:r>
    </w:p>
    <w:p>
      <w:pPr>
        <w:pStyle w:val="ListParagraph"/>
        <w:numPr>
          <w:ilvl w:val="0"/>
          <w:numId w:val="5"/>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Projecció de vídeos, que desperten l'atenció de l'alumne i són capaços de crear ambients de discussió i treball.</w:t>
      </w:r>
    </w:p>
    <w:p>
      <w:pPr>
        <w:pStyle w:val="Normal"/>
        <w:rPr>
          <w:rFonts w:ascii="Arial" w:hAnsi="Arial" w:eastAsia="Arial" w:cs="Arial"/>
          <w:color w:val="000000"/>
          <w:sz w:val="22"/>
          <w:szCs w:val="22"/>
        </w:rPr>
      </w:pPr>
      <w:r>
        <w:rPr>
          <w:rFonts w:eastAsia="Arial" w:cs="Arial" w:ascii="Arial" w:hAnsi="Arial"/>
          <w:color w:val="000000"/>
          <w:sz w:val="22"/>
          <w:szCs w:val="22"/>
        </w:rPr>
      </w:r>
      <w:r>
        <w:br w:type="page"/>
      </w:r>
    </w:p>
    <w:p>
      <w:pPr>
        <w:pStyle w:val="Heading1"/>
        <w:numPr>
          <w:ilvl w:val="0"/>
          <w:numId w:val="2"/>
        </w:numPr>
        <w:spacing w:before="0" w:after="120"/>
        <w:rPr>
          <w:color w:val="ED7D31"/>
        </w:rPr>
      </w:pPr>
      <w:bookmarkStart w:id="85" w:name="__RefHeading___Toc3390_3429816007"/>
      <w:bookmarkStart w:id="86" w:name="_Toc194271428"/>
      <w:bookmarkEnd w:id="85"/>
      <w:r>
        <w:rPr>
          <w:color w:val="ED7D31"/>
        </w:rPr>
        <w:t>AVALUACIÓ DE L’APRENENTATGE</w:t>
      </w:r>
      <w:bookmarkEnd w:id="86"/>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treball diari, l’estudi del tema, realització d'exercicis i el desenvolupament dels supòsits pràctics proposats pel professorat, es considera fonamental per a poder realitzar una avaluació objectiva de l'alumnat.</w:t>
      </w:r>
    </w:p>
    <w:p>
      <w:pPr>
        <w:pStyle w:val="Normal"/>
        <w:spacing w:lineRule="auto" w:line="360" w:before="0" w:after="113"/>
        <w:jc w:val="both"/>
        <w:rPr>
          <w:rFonts w:ascii="Arial" w:hAnsi="Arial" w:eastAsia="Arial" w:cs="Arial"/>
          <w:color w:val="000000"/>
          <w:sz w:val="22"/>
          <w:szCs w:val="22"/>
        </w:rPr>
      </w:pPr>
      <w:bookmarkStart w:id="87" w:name="OLE_LINK35"/>
      <w:bookmarkStart w:id="88" w:name="OLE_LINK36"/>
      <w:r>
        <w:rPr>
          <w:rFonts w:eastAsia="Arial" w:cs="Arial" w:ascii="Arial" w:hAnsi="Arial"/>
          <w:color w:val="000000"/>
          <w:sz w:val="22"/>
          <w:szCs w:val="22"/>
        </w:rPr>
        <w:t xml:space="preserve">Aquesta ha de </w:t>
      </w:r>
      <w:bookmarkEnd w:id="87"/>
      <w:bookmarkEnd w:id="88"/>
      <w:r>
        <w:rPr>
          <w:rFonts w:eastAsia="Arial" w:cs="Arial" w:ascii="Arial" w:hAnsi="Arial"/>
          <w:color w:val="000000"/>
          <w:sz w:val="22"/>
          <w:szCs w:val="22"/>
        </w:rPr>
        <w:t>complir les següents característiques:</w:t>
      </w:r>
    </w:p>
    <w:p>
      <w:pPr>
        <w:pStyle w:val="Normal"/>
        <w:numPr>
          <w:ilvl w:val="0"/>
          <w:numId w:val="1"/>
        </w:numPr>
        <w:spacing w:lineRule="auto" w:line="360" w:before="0" w:after="113"/>
        <w:ind w:hanging="207" w:start="567"/>
        <w:jc w:val="both"/>
        <w:rPr>
          <w:rFonts w:ascii="Arial" w:hAnsi="Arial" w:eastAsia="Arial" w:cs="Arial"/>
          <w:color w:val="000000"/>
          <w:sz w:val="22"/>
          <w:szCs w:val="22"/>
        </w:rPr>
      </w:pPr>
      <w:r>
        <w:rPr>
          <w:rFonts w:eastAsia="Arial" w:cs="Arial" w:ascii="Arial" w:hAnsi="Arial"/>
          <w:b/>
          <w:color w:val="000000"/>
          <w:sz w:val="22"/>
          <w:szCs w:val="22"/>
        </w:rPr>
        <w:t>Continua</w:t>
      </w:r>
      <w:r>
        <w:rPr>
          <w:rFonts w:eastAsia="Arial" w:cs="Arial" w:ascii="Arial" w:hAnsi="Arial"/>
          <w:color w:val="000000"/>
          <w:sz w:val="22"/>
          <w:szCs w:val="22"/>
        </w:rPr>
        <w:t xml:space="preserve"> al llarg de tot el procés d'aprenentatge. Es tindrà en compte l'avaluació inicial, l'avaluació formativa i l'avaluació sumativa.</w:t>
      </w:r>
    </w:p>
    <w:p>
      <w:pPr>
        <w:pStyle w:val="Normal"/>
        <w:numPr>
          <w:ilvl w:val="0"/>
          <w:numId w:val="1"/>
        </w:numPr>
        <w:spacing w:lineRule="auto" w:line="360" w:before="0" w:after="113"/>
        <w:ind w:hanging="207" w:start="567"/>
        <w:jc w:val="both"/>
        <w:rPr>
          <w:rFonts w:ascii="Arial" w:hAnsi="Arial" w:eastAsia="Arial" w:cs="Arial"/>
          <w:color w:val="000000"/>
          <w:sz w:val="22"/>
          <w:szCs w:val="22"/>
        </w:rPr>
      </w:pPr>
      <w:r>
        <w:rPr>
          <w:rFonts w:eastAsia="Arial" w:cs="Arial" w:ascii="Arial" w:hAnsi="Arial"/>
          <w:b/>
          <w:color w:val="000000"/>
          <w:sz w:val="22"/>
          <w:szCs w:val="22"/>
        </w:rPr>
        <w:t>Integradora</w:t>
      </w:r>
      <w:r>
        <w:rPr>
          <w:rFonts w:eastAsia="Arial" w:cs="Arial" w:ascii="Arial" w:hAnsi="Arial"/>
          <w:color w:val="000000"/>
          <w:sz w:val="22"/>
          <w:szCs w:val="22"/>
        </w:rPr>
        <w:t>: no solament s'han d'avaluar els continguts, sinó també la resta de components que formen part de la formació de l'alumnat, com a actituds, destreses, comportaments, capacitat d'investigació i d'iniciativa, etc.</w:t>
      </w:r>
    </w:p>
    <w:p>
      <w:pPr>
        <w:pStyle w:val="Normal"/>
        <w:numPr>
          <w:ilvl w:val="0"/>
          <w:numId w:val="1"/>
        </w:numPr>
        <w:spacing w:lineRule="auto" w:line="360" w:before="0" w:after="113"/>
        <w:ind w:hanging="207" w:start="567"/>
        <w:jc w:val="both"/>
        <w:rPr>
          <w:rFonts w:ascii="Arial" w:hAnsi="Arial" w:eastAsia="Arial" w:cs="Arial"/>
          <w:color w:val="000000"/>
          <w:sz w:val="22"/>
          <w:szCs w:val="22"/>
        </w:rPr>
      </w:pPr>
      <w:r>
        <w:rPr>
          <w:rFonts w:eastAsia="Arial" w:cs="Arial" w:ascii="Arial" w:hAnsi="Arial"/>
          <w:b/>
          <w:color w:val="000000"/>
          <w:sz w:val="22"/>
          <w:szCs w:val="22"/>
        </w:rPr>
        <w:t>Individualitzadora</w:t>
      </w:r>
      <w:r>
        <w:rPr>
          <w:rFonts w:eastAsia="Arial" w:cs="Arial" w:ascii="Arial" w:hAnsi="Arial"/>
          <w:color w:val="000000"/>
          <w:sz w:val="22"/>
          <w:szCs w:val="22"/>
        </w:rPr>
        <w:t>: ha d'ajustar-se a les característiques personals de cada alumne/a.</w:t>
      </w:r>
    </w:p>
    <w:p>
      <w:pPr>
        <w:pStyle w:val="Normal"/>
        <w:numPr>
          <w:ilvl w:val="0"/>
          <w:numId w:val="1"/>
        </w:numPr>
        <w:spacing w:lineRule="auto" w:line="360" w:before="0" w:after="113"/>
        <w:ind w:hanging="207" w:start="567"/>
        <w:jc w:val="both"/>
        <w:rPr>
          <w:rFonts w:ascii="Arial" w:hAnsi="Arial" w:eastAsia="Arial" w:cs="Arial"/>
          <w:color w:val="000000"/>
          <w:sz w:val="22"/>
          <w:szCs w:val="22"/>
        </w:rPr>
      </w:pPr>
      <w:r>
        <w:rPr>
          <w:rFonts w:eastAsia="Arial" w:cs="Arial" w:ascii="Arial" w:hAnsi="Arial"/>
          <w:b/>
          <w:color w:val="000000"/>
          <w:sz w:val="22"/>
          <w:szCs w:val="22"/>
        </w:rPr>
        <w:t>Orientadora</w:t>
      </w:r>
      <w:r>
        <w:rPr>
          <w:rFonts w:eastAsia="Arial" w:cs="Arial" w:ascii="Arial" w:hAnsi="Arial"/>
          <w:color w:val="000000"/>
          <w:sz w:val="22"/>
          <w:szCs w:val="22"/>
        </w:rPr>
        <w:t>: ha d'informar l'alumnat del grau d´evolució aconseguit respecte als objectius del mòdul i la millor forma d'aconseguir-los.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L'Ordre de 79/2010 per la qual es regula el procés d'avaluació de l'alumnat en la Formació Professional, estableix que “l’avaluació de l’aprenentatge de l’alumnat que cursa cicles formatius es realitzarà per mòduls professionals, prenent com a referència els resultats de l’aprenentatge i els criteris d’avaluació de cada un dels mòduls professionals, així com els objectius generals del cicle formatiu”.</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Cal adoptar un enfocament integral que va més enllà de la simple adquisició de coneixements teòrics. S’ha de reconèixer la importància de desenvolupar habilitats i competències específiques que preparen als nostres estudiants per a enfrontar els desafiaments del món laboral.</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nostre procés d'avaluació per competències se centra en identificar i mesurar les habilitats clau que els estudiants necessiten per a tindre èxit. Utilitzem una varietat de mètodes d'avaluació, incloent-hi projectes pràctics, estudis de cas, simulacions i avaluacions basades en acompliment, per a avaluar el domini d'estes competències.</w:t>
      </w:r>
    </w:p>
    <w:p>
      <w:pPr>
        <w:pStyle w:val="Normal"/>
        <w:spacing w:lineRule="auto" w:line="360" w:before="0" w:after="113"/>
        <w:jc w:val="both"/>
        <w:rPr>
          <w:rFonts w:ascii="Arial" w:hAnsi="Arial" w:eastAsia="Arial" w:cs="Arial"/>
          <w:color w:val="000000"/>
          <w:sz w:val="22"/>
          <w:szCs w:val="22"/>
        </w:rPr>
      </w:pPr>
      <w:bookmarkStart w:id="89" w:name="OLE_LINK203"/>
      <w:bookmarkStart w:id="90" w:name="OLE_LINK204"/>
      <w:bookmarkEnd w:id="89"/>
      <w:bookmarkEnd w:id="90"/>
      <w:r>
        <w:rPr>
          <w:rFonts w:eastAsia="Arial" w:cs="Arial" w:ascii="Arial" w:hAnsi="Arial"/>
          <w:color w:val="000000"/>
          <w:sz w:val="22"/>
          <w:szCs w:val="22"/>
        </w:rPr>
        <w:t xml:space="preserve">Serà fonamental per a </w:t>
      </w:r>
      <w:r>
        <w:rPr>
          <w:rFonts w:eastAsia="Arial" w:cs="Arial" w:ascii="Arial" w:hAnsi="Arial"/>
          <w:sz w:val="22"/>
          <w:szCs w:val="22"/>
        </w:rPr>
        <w:t>obtenir</w:t>
      </w:r>
      <w:r>
        <w:rPr>
          <w:rFonts w:eastAsia="Arial" w:cs="Arial" w:ascii="Arial" w:hAnsi="Arial"/>
          <w:color w:val="000000"/>
          <w:sz w:val="22"/>
          <w:szCs w:val="22"/>
        </w:rPr>
        <w:t xml:space="preserve"> una qualificació positiva superar els criteris d’avaluació marcats en cadascun dels Resultats d’Aprenentatge.</w:t>
      </w:r>
    </w:p>
    <w:p>
      <w:pPr>
        <w:pStyle w:val="Heading2"/>
        <w:numPr>
          <w:ilvl w:val="1"/>
          <w:numId w:val="2"/>
        </w:numPr>
        <w:rPr>
          <w:b w:val="false"/>
          <w:bCs w:val="false"/>
          <w:i w:val="false"/>
          <w:i w:val="false"/>
          <w:iCs w:val="false"/>
          <w:color w:val="ED7D31"/>
          <w:lang w:val="es-ES"/>
        </w:rPr>
      </w:pPr>
      <w:bookmarkStart w:id="91" w:name="__RefHeading___Toc3392_3429816007"/>
      <w:bookmarkStart w:id="92" w:name="_Toc194271429"/>
      <w:bookmarkStart w:id="93" w:name="OLE_LINK205"/>
      <w:bookmarkStart w:id="94" w:name="OLE_LINK206"/>
      <w:bookmarkStart w:id="95" w:name="OLE_LINK203_Copia_1"/>
      <w:bookmarkStart w:id="96" w:name="OLE_LINK204_Copia_1"/>
      <w:bookmarkEnd w:id="91"/>
      <w:bookmarkEnd w:id="95"/>
      <w:bookmarkEnd w:id="96"/>
      <w:r>
        <w:rPr>
          <w:b w:val="false"/>
          <w:bCs w:val="false"/>
          <w:i w:val="false"/>
          <w:iCs w:val="false"/>
          <w:color w:themeColor="accent2" w:val="ED7D31"/>
          <w:lang w:val="es-ES"/>
        </w:rPr>
        <w:t>Instruments d’avaluació</w:t>
      </w:r>
      <w:bookmarkEnd w:id="92"/>
      <w:bookmarkEnd w:id="93"/>
      <w:bookmarkEnd w:id="94"/>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Els instruments d'avaluació en l'avaluació per competències serien:</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Rúbriques</w:t>
      </w:r>
      <w:r>
        <w:rPr>
          <w:rFonts w:eastAsia="Arial" w:cs="Arial" w:ascii="Arial" w:hAnsi="Arial"/>
          <w:color w:val="000000"/>
          <w:sz w:val="22"/>
          <w:szCs w:val="22"/>
        </w:rPr>
        <w:t>: Són matrius que detallen els criteris d'avaluació i els nivells de rendiment esperats en cada criteri. Permeten una avaluació més objectiva i detallada de les competències.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Llistes de d’acarament (checklists):</w:t>
      </w:r>
      <w:r>
        <w:rPr>
          <w:rFonts w:eastAsia="Arial" w:cs="Arial" w:ascii="Arial" w:hAnsi="Arial"/>
          <w:color w:val="000000"/>
          <w:sz w:val="22"/>
          <w:szCs w:val="22"/>
        </w:rPr>
        <w:t xml:space="preserve"> Aquestes llistes enumeren els comportaments o accions específiques que un individu ha de demostrar per complir amb una competència. Són útils per a l'avaluació d'habilitats tècniques o tasques específiques.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Portafolis:</w:t>
      </w:r>
      <w:r>
        <w:rPr>
          <w:rFonts w:eastAsia="Arial" w:cs="Arial" w:ascii="Arial" w:hAnsi="Arial"/>
          <w:color w:val="000000"/>
          <w:sz w:val="22"/>
          <w:szCs w:val="22"/>
        </w:rPr>
        <w:t xml:space="preserve"> Recopilen exemples del treball dels estudiants al llarg del temps, la qual cosa permet avaluar el progrés en el desenvolupament de competències a través de diferents activitats i projectes.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Observació directa:</w:t>
      </w:r>
      <w:r>
        <w:rPr>
          <w:rFonts w:eastAsia="Arial" w:cs="Arial" w:ascii="Arial" w:hAnsi="Arial"/>
          <w:color w:val="000000"/>
          <w:sz w:val="22"/>
          <w:szCs w:val="22"/>
        </w:rPr>
        <w:t xml:space="preserve"> Implica observar l'individu mentre realitza una tasca o activitat relacionada amb la competència i prendre notes sobre el seu rendiment.</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Preguntes de selecció única, assaig o práctiques</w:t>
      </w:r>
      <w:r>
        <w:rPr>
          <w:rFonts w:eastAsia="Arial" w:cs="Arial" w:ascii="Arial" w:hAnsi="Arial"/>
          <w:color w:val="000000"/>
          <w:sz w:val="22"/>
          <w:szCs w:val="22"/>
        </w:rPr>
        <w:t>: Poden estar en proves tant escrites com pràctiques, i estan dissenyes per avaluar el coneixement teòric i la capacitat per aplicar aquest coneixement en situacions concretes.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Escales d’actitud:</w:t>
      </w:r>
      <w:r>
        <w:rPr>
          <w:rFonts w:eastAsia="Arial" w:cs="Arial" w:ascii="Arial" w:hAnsi="Arial"/>
          <w:color w:val="000000"/>
          <w:sz w:val="22"/>
          <w:szCs w:val="22"/>
        </w:rPr>
        <w:t xml:space="preserve"> Permeten al professor obtenir informació sobre les competències d'un individu a través de preguntes específiques i predefinides.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Pràctiques de taller:</w:t>
      </w:r>
      <w:r>
        <w:rPr>
          <w:rFonts w:eastAsia="Arial" w:cs="Arial" w:ascii="Arial" w:hAnsi="Arial"/>
          <w:color w:val="000000"/>
          <w:sz w:val="22"/>
          <w:szCs w:val="22"/>
        </w:rPr>
        <w:t xml:space="preserve"> Reprodueixen situacions del món real en un entorn controlat per avaluar com els individus apliquen els seus coneixements i habilitats en contextos pràctics</w:t>
      </w:r>
    </w:p>
    <w:p>
      <w:pPr>
        <w:pStyle w:val="ListParagraph"/>
        <w:numPr>
          <w:ilvl w:val="0"/>
          <w:numId w:val="10"/>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Autoavaluacions i coavaluacions:</w:t>
      </w:r>
      <w:r>
        <w:rPr>
          <w:rFonts w:eastAsia="Arial" w:cs="Arial" w:ascii="Arial" w:hAnsi="Arial"/>
          <w:color w:val="000000"/>
          <w:sz w:val="22"/>
          <w:szCs w:val="22"/>
        </w:rPr>
        <w:t xml:space="preserve"> Els propis estudiants avaluen el seu rendiment en relació amb els criteris de competència establerts, o poden avaluar el rendiment dels seus companys.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L’elecció de l'instrument d'avaluació depèn de la naturalesa de les competències a avaluar, així com dels recursos disponibles i del context educatiu o laboral en què s'aplique l'avaluació. És important seleccionar instruments vàlids i fiables que proporcionen informació significativa sobre el desenvolupament de competències.</w:t>
      </w:r>
    </w:p>
    <w:p>
      <w:pPr>
        <w:pStyle w:val="Normal"/>
        <w:rPr>
          <w:rFonts w:ascii="Arial" w:hAnsi="Arial" w:eastAsia="Arial" w:cs="Arial"/>
          <w:b/>
          <w:color w:val="000000"/>
          <w:sz w:val="32"/>
          <w:szCs w:val="32"/>
        </w:rPr>
      </w:pPr>
      <w:r>
        <w:rPr>
          <w:rFonts w:eastAsia="Arial" w:cs="Arial" w:ascii="Arial" w:hAnsi="Arial"/>
          <w:b/>
          <w:color w:val="000000"/>
          <w:sz w:val="32"/>
          <w:szCs w:val="32"/>
        </w:rPr>
      </w:r>
      <w:r>
        <w:br w:type="page"/>
      </w:r>
    </w:p>
    <w:p>
      <w:pPr>
        <w:pStyle w:val="Heading1"/>
        <w:numPr>
          <w:ilvl w:val="0"/>
          <w:numId w:val="2"/>
        </w:numPr>
        <w:spacing w:before="0" w:after="120"/>
        <w:rPr>
          <w:color w:val="ED7D31"/>
        </w:rPr>
      </w:pPr>
      <w:bookmarkStart w:id="97" w:name="__RefHeading___Toc3394_3429816007"/>
      <w:bookmarkStart w:id="98" w:name="_Toc194271430"/>
      <w:bookmarkEnd w:id="97"/>
      <w:r>
        <w:rPr>
          <w:color w:val="ED7D31"/>
        </w:rPr>
        <w:t>CRITERIS DE QUALIFICACIÓ</w:t>
      </w:r>
      <w:bookmarkEnd w:id="98"/>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Els criteris de qualificació dependran del pes de cada Resultat d’Aprenentatge en la nota final del curs i del criteris d’avaluació associats a cada RA per obtindre la nota del RA.</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pes de cada RA en la nota final és el següent:</w:t>
      </w:r>
    </w:p>
    <w:tbl>
      <w:tblPr>
        <w:tblStyle w:val="Tablaconcuadrcula"/>
        <w:tblW w:w="962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8359"/>
        <w:gridCol w:w="1269"/>
      </w:tblGrid>
      <w:tr>
        <w:trPr>
          <w:trHeight w:val="510" w:hRule="atLeast"/>
        </w:trPr>
        <w:tc>
          <w:tcPr>
            <w:tcW w:w="8359" w:type="dxa"/>
            <w:tcBorders/>
            <w:shd w:color="auto" w:fill="EA7B30" w:val="clear"/>
            <w:vAlign w:val="center"/>
          </w:tcPr>
          <w:p>
            <w:pPr>
              <w:pStyle w:val="Normal"/>
              <w:suppressAutoHyphens w:val="true"/>
              <w:spacing w:before="0" w:after="0"/>
              <w:jc w:val="center"/>
              <w:rPr>
                <w:rFonts w:ascii="Arial" w:hAnsi="Arial" w:eastAsia="Arial" w:cs="Arial"/>
                <w:b/>
                <w:bCs/>
                <w:color w:themeColor="background1" w:val="FFFFFF"/>
                <w:sz w:val="22"/>
                <w:szCs w:val="22"/>
              </w:rPr>
            </w:pPr>
            <w:r>
              <w:rPr>
                <w:rFonts w:eastAsia="Arial" w:cs="Arial" w:ascii="Arial" w:hAnsi="Arial"/>
                <w:b/>
                <w:bCs/>
                <w:color w:themeColor="background1" w:val="FFFFFF"/>
                <w:kern w:val="0"/>
                <w:sz w:val="22"/>
                <w:szCs w:val="22"/>
                <w:lang w:bidi="ar-SA"/>
              </w:rPr>
              <w:t>Resultat D’Aprenentatge</w:t>
            </w:r>
          </w:p>
        </w:tc>
        <w:tc>
          <w:tcPr>
            <w:tcW w:w="1269" w:type="dxa"/>
            <w:tcBorders/>
            <w:shd w:color="auto" w:fill="EA7B30" w:val="clear"/>
            <w:vAlign w:val="center"/>
          </w:tcPr>
          <w:p>
            <w:pPr>
              <w:pStyle w:val="Normal"/>
              <w:suppressAutoHyphens w:val="true"/>
              <w:spacing w:before="0" w:after="0"/>
              <w:jc w:val="center"/>
              <w:rPr>
                <w:rFonts w:ascii="Arial" w:hAnsi="Arial" w:eastAsia="Arial" w:cs="Arial"/>
                <w:b/>
                <w:bCs/>
                <w:color w:themeColor="background1" w:val="FFFFFF"/>
                <w:sz w:val="22"/>
                <w:szCs w:val="22"/>
              </w:rPr>
            </w:pPr>
            <w:r>
              <w:rPr>
                <w:rFonts w:eastAsia="Arial" w:cs="Arial" w:ascii="Arial" w:hAnsi="Arial"/>
                <w:b/>
                <w:bCs/>
                <w:color w:themeColor="background1" w:val="FFFFFF"/>
                <w:kern w:val="0"/>
                <w:sz w:val="22"/>
                <w:szCs w:val="22"/>
                <w:lang w:bidi="ar-SA"/>
              </w:rPr>
              <w:t>Pes Nota Final</w:t>
            </w:r>
          </w:p>
        </w:tc>
      </w:tr>
      <w:tr>
        <w:trPr/>
        <w:tc>
          <w:tcPr>
            <w:tcW w:w="8359" w:type="dxa"/>
            <w:tcBorders/>
          </w:tcPr>
          <w:p>
            <w:pPr>
              <w:pStyle w:val="Normal"/>
              <w:suppressAutoHyphens w:val="true"/>
              <w:spacing w:lineRule="auto" w:line="360" w:before="0" w:after="80"/>
              <w:jc w:val="both"/>
              <w:rPr>
                <w:rFonts w:ascii="Arial" w:hAnsi="Arial" w:eastAsia="Arial" w:cs="Arial"/>
                <w:color w:val="000000"/>
                <w:sz w:val="22"/>
                <w:szCs w:val="22"/>
              </w:rPr>
            </w:pPr>
            <w:r>
              <w:rPr>
                <w:rFonts w:eastAsia="Arial" w:cs="Arial" w:ascii="Arial" w:hAnsi="Arial"/>
                <w:b/>
                <w:bCs/>
                <w:color w:themeColor="text1" w:val="000000"/>
                <w:kern w:val="0"/>
                <w:sz w:val="22"/>
                <w:szCs w:val="22"/>
                <w:lang w:bidi="ar-SA"/>
              </w:rPr>
              <w:t>RA1.</w:t>
            </w:r>
            <w:r>
              <w:rPr>
                <w:rFonts w:eastAsia="Arial" w:cs="Arial" w:ascii="Arial" w:hAnsi="Arial"/>
                <w:color w:themeColor="text1" w:val="000000"/>
                <w:kern w:val="0"/>
                <w:sz w:val="22"/>
                <w:szCs w:val="22"/>
                <w:lang w:bidi="ar-SA"/>
              </w:rPr>
              <w:t xml:space="preserve"> </w:t>
            </w:r>
            <w:r>
              <w:rPr>
                <w:rFonts w:eastAsia="Arial" w:cs="Arial" w:ascii="Arial" w:hAnsi="Arial"/>
                <w:b w:val="false"/>
                <w:bCs w:val="false"/>
                <w:color w:val="000000"/>
                <w:kern w:val="0"/>
                <w:sz w:val="22"/>
                <w:szCs w:val="22"/>
                <w:lang w:val="ca-ES" w:eastAsia="es-ES_tradnl" w:bidi="ar-SA"/>
              </w:rPr>
              <w:t>Selecciona els components i ferramentes per a la realització del muntatge i manteniment de sistemes microinformàtics, descrivint-los i relacionant-los amb la seua funció i aplicació en la instal·lació</w:t>
            </w:r>
            <w:r>
              <w:rPr>
                <w:rFonts w:eastAsia="Arial" w:cs="Arial" w:ascii="Arial" w:hAnsi="Arial"/>
                <w:b w:val="false"/>
                <w:bCs w:val="false"/>
                <w:color w:themeColor="text1" w:val="000000"/>
                <w:kern w:val="0"/>
                <w:sz w:val="22"/>
                <w:szCs w:val="22"/>
                <w:lang w:val="ca-ES" w:eastAsia="es-ES_tradnl" w:bidi="ar-SA"/>
              </w:rPr>
              <w:t>.</w:t>
            </w:r>
          </w:p>
        </w:tc>
        <w:tc>
          <w:tcPr>
            <w:tcW w:w="1269" w:type="dxa"/>
            <w:tcBorders/>
            <w:vAlign w:val="center"/>
          </w:tcPr>
          <w:p>
            <w:pPr>
              <w:pStyle w:val="Norma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themeColor="text1" w:val="000000"/>
                <w:kern w:val="0"/>
                <w:sz w:val="22"/>
                <w:szCs w:val="22"/>
                <w:lang w:bidi="ar-SA"/>
              </w:rPr>
              <w:t>25%</w:t>
            </w:r>
          </w:p>
        </w:tc>
      </w:tr>
      <w:tr>
        <w:trPr/>
        <w:tc>
          <w:tcPr>
            <w:tcW w:w="8359" w:type="dxa"/>
            <w:tcBorders/>
          </w:tcPr>
          <w:p>
            <w:pPr>
              <w:pStyle w:val="Normal"/>
              <w:suppressAutoHyphens w:val="true"/>
              <w:spacing w:lineRule="auto" w:line="360" w:before="0" w:after="0"/>
              <w:jc w:val="both"/>
              <w:rPr>
                <w:rFonts w:ascii="Arial" w:hAnsi="Arial" w:eastAsia="Arial" w:cs="Arial"/>
                <w:color w:val="000000"/>
                <w:sz w:val="22"/>
                <w:szCs w:val="22"/>
              </w:rPr>
            </w:pPr>
            <w:bookmarkStart w:id="99" w:name="OLE_LINK77"/>
            <w:bookmarkStart w:id="100" w:name="OLE_LINK78"/>
            <w:r>
              <w:rPr>
                <w:rFonts w:eastAsia="Arial" w:cs="Arial" w:ascii="Arial" w:hAnsi="Arial"/>
                <w:b/>
                <w:bCs/>
                <w:color w:themeColor="text1" w:val="000000"/>
                <w:kern w:val="0"/>
                <w:sz w:val="22"/>
                <w:szCs w:val="22"/>
                <w:lang w:bidi="ar-SA"/>
              </w:rPr>
              <w:t>RA2.</w:t>
            </w:r>
            <w:r>
              <w:rPr>
                <w:rFonts w:eastAsia="Arial" w:cs="Arial" w:ascii="Arial" w:hAnsi="Arial"/>
                <w:color w:themeColor="text1" w:val="000000"/>
                <w:kern w:val="0"/>
                <w:sz w:val="22"/>
                <w:szCs w:val="22"/>
                <w:lang w:bidi="ar-SA"/>
              </w:rPr>
              <w:t xml:space="preserve"> </w:t>
            </w:r>
            <w:bookmarkEnd w:id="99"/>
            <w:bookmarkEnd w:id="100"/>
            <w:r>
              <w:rPr>
                <w:rFonts w:eastAsia="Arial" w:cs="Arial" w:ascii="Arial" w:hAnsi="Arial"/>
                <w:color w:themeColor="text1" w:val="000000"/>
                <w:kern w:val="0"/>
                <w:sz w:val="22"/>
                <w:szCs w:val="22"/>
                <w:lang w:val="ca-ES" w:eastAsia="es-ES_tradnl" w:bidi="ar-SA"/>
              </w:rPr>
              <w:t>Acobla el component maquinari d'un equip microinformàtic, interpretant guies i instruccions i aplicant tècniques de muntatge.</w:t>
            </w:r>
          </w:p>
        </w:tc>
        <w:tc>
          <w:tcPr>
            <w:tcW w:w="1269" w:type="dxa"/>
            <w:tcBorders/>
            <w:vAlign w:val="center"/>
          </w:tcPr>
          <w:p>
            <w:pPr>
              <w:pStyle w:val="Norma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themeColor="text1" w:val="000000"/>
                <w:kern w:val="0"/>
                <w:sz w:val="22"/>
                <w:szCs w:val="22"/>
                <w:lang w:bidi="ar-SA"/>
              </w:rPr>
              <w:t>25%</w:t>
            </w:r>
          </w:p>
        </w:tc>
      </w:tr>
      <w:tr>
        <w:trPr/>
        <w:tc>
          <w:tcPr>
            <w:tcW w:w="8359" w:type="dxa"/>
            <w:tcBorders/>
          </w:tcPr>
          <w:p>
            <w:pPr>
              <w:pStyle w:val="Normal"/>
              <w:suppressAutoHyphens w:val="true"/>
              <w:spacing w:lineRule="auto" w:line="360" w:before="0" w:after="0"/>
              <w:jc w:val="both"/>
              <w:rPr>
                <w:rFonts w:ascii="Arial" w:hAnsi="Arial" w:eastAsia="Arial" w:cs="Arial"/>
                <w:color w:val="000000"/>
                <w:sz w:val="22"/>
                <w:szCs w:val="22"/>
              </w:rPr>
            </w:pPr>
            <w:bookmarkStart w:id="101" w:name="OLE_LINK101"/>
            <w:bookmarkStart w:id="102" w:name="OLE_LINK102"/>
            <w:r>
              <w:rPr>
                <w:rFonts w:eastAsia="Arial" w:cs="Arial" w:ascii="Arial" w:hAnsi="Arial"/>
                <w:b/>
                <w:bCs/>
                <w:color w:themeColor="text1" w:val="000000"/>
                <w:kern w:val="0"/>
                <w:sz w:val="22"/>
                <w:szCs w:val="22"/>
                <w:lang w:bidi="ar-SA"/>
              </w:rPr>
              <w:t>RA5.</w:t>
            </w:r>
            <w:r>
              <w:rPr>
                <w:rFonts w:eastAsia="Arial" w:cs="Arial" w:ascii="Arial" w:hAnsi="Arial"/>
                <w:color w:themeColor="text1" w:val="000000"/>
                <w:kern w:val="0"/>
                <w:sz w:val="22"/>
                <w:szCs w:val="22"/>
                <w:lang w:bidi="ar-SA"/>
              </w:rPr>
              <w:t xml:space="preserve"> </w:t>
            </w:r>
            <w:bookmarkEnd w:id="101"/>
            <w:bookmarkEnd w:id="102"/>
            <w:r>
              <w:rPr>
                <w:rFonts w:eastAsia="Arial" w:cs="Arial" w:ascii="Arial" w:hAnsi="Arial"/>
                <w:color w:themeColor="text1" w:val="000000"/>
                <w:kern w:val="0"/>
                <w:sz w:val="22"/>
                <w:szCs w:val="22"/>
                <w:lang w:val="ca-ES" w:bidi="ar-SA"/>
              </w:rPr>
              <w:t>Realitza el manteniment bàsic de sistemes informàtics, suports i perifèrics, relacionant les intervencions amb els resultats que cal aconseguir.</w:t>
            </w:r>
          </w:p>
        </w:tc>
        <w:tc>
          <w:tcPr>
            <w:tcW w:w="1269" w:type="dxa"/>
            <w:tcBorders/>
            <w:vAlign w:val="center"/>
          </w:tcPr>
          <w:p>
            <w:pPr>
              <w:pStyle w:val="Norma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themeColor="text1" w:val="000000"/>
                <w:kern w:val="0"/>
                <w:sz w:val="22"/>
                <w:szCs w:val="22"/>
                <w:lang w:bidi="ar-SA"/>
              </w:rPr>
              <w:t>25%</w:t>
            </w:r>
          </w:p>
        </w:tc>
      </w:tr>
      <w:tr>
        <w:trPr/>
        <w:tc>
          <w:tcPr>
            <w:tcW w:w="8359" w:type="dxa"/>
            <w:tcBorders/>
          </w:tcPr>
          <w:p>
            <w:pPr>
              <w:pStyle w:val="Normal"/>
              <w:suppressAutoHyphens w:val="true"/>
              <w:spacing w:lineRule="auto" w:line="360" w:before="0" w:after="0"/>
              <w:jc w:val="both"/>
              <w:rPr>
                <w:rFonts w:ascii="Arial" w:hAnsi="Arial" w:eastAsia="Arial" w:cs="Arial"/>
                <w:color w:val="000000"/>
                <w:sz w:val="22"/>
                <w:szCs w:val="22"/>
              </w:rPr>
            </w:pPr>
            <w:bookmarkStart w:id="103" w:name="OLE_LINK119"/>
            <w:bookmarkStart w:id="104" w:name="OLE_LINK120"/>
            <w:r>
              <w:rPr>
                <w:rFonts w:eastAsia="Arial" w:cs="Arial" w:ascii="Arial" w:hAnsi="Arial"/>
                <w:b/>
                <w:bCs/>
                <w:color w:themeColor="text1" w:val="000000"/>
                <w:kern w:val="0"/>
                <w:sz w:val="22"/>
                <w:szCs w:val="22"/>
                <w:lang w:bidi="ar-SA"/>
              </w:rPr>
              <w:t>RA6.</w:t>
            </w:r>
            <w:r>
              <w:rPr>
                <w:rFonts w:eastAsia="Arial" w:cs="Arial" w:ascii="Arial" w:hAnsi="Arial"/>
                <w:color w:themeColor="text1" w:val="000000"/>
                <w:kern w:val="0"/>
                <w:sz w:val="22"/>
                <w:szCs w:val="22"/>
                <w:lang w:bidi="ar-SA"/>
              </w:rPr>
              <w:t xml:space="preserve"> </w:t>
            </w:r>
            <w:bookmarkEnd w:id="103"/>
            <w:bookmarkEnd w:id="104"/>
            <w:r>
              <w:rPr>
                <w:rFonts w:eastAsia="Arial" w:cs="Arial" w:ascii="Arial" w:hAnsi="Arial"/>
                <w:b w:val="false"/>
                <w:bCs w:val="false"/>
                <w:color w:val="000000"/>
                <w:kern w:val="0"/>
                <w:sz w:val="22"/>
                <w:szCs w:val="22"/>
                <w:lang w:val="ca-ES" w:eastAsia="es-ES_tradnl" w:bidi="ar-SA"/>
              </w:rPr>
              <w:t>Emmagatzema equips, perifèrics i consumibles, descrivint les condicions de conservació i etiquetatge.</w:t>
            </w:r>
          </w:p>
        </w:tc>
        <w:tc>
          <w:tcPr>
            <w:tcW w:w="1269" w:type="dxa"/>
            <w:tcBorders/>
            <w:vAlign w:val="center"/>
          </w:tcPr>
          <w:p>
            <w:pPr>
              <w:pStyle w:val="Normal"/>
              <w:suppressAutoHyphens w:val="true"/>
              <w:spacing w:lineRule="auto" w:line="360" w:before="0" w:after="0"/>
              <w:jc w:val="center"/>
              <w:rPr>
                <w:rFonts w:ascii="Arial" w:hAnsi="Arial" w:eastAsia="Arial" w:cs="Arial"/>
                <w:b/>
                <w:bCs/>
                <w:color w:val="000000"/>
                <w:sz w:val="22"/>
                <w:szCs w:val="22"/>
              </w:rPr>
            </w:pPr>
            <w:r>
              <w:rPr>
                <w:rFonts w:eastAsia="Arial" w:cs="Arial" w:ascii="Arial" w:hAnsi="Arial"/>
                <w:b/>
                <w:bCs/>
                <w:color w:val="000000"/>
                <w:kern w:val="0"/>
                <w:sz w:val="22"/>
                <w:szCs w:val="22"/>
                <w:lang w:bidi="ar-SA"/>
              </w:rPr>
              <w:t>25%</w:t>
            </w:r>
          </w:p>
        </w:tc>
      </w:tr>
    </w:tbl>
    <w:p>
      <w:pPr>
        <w:pStyle w:val="Normal"/>
        <w:rPr/>
      </w:pPr>
      <w:r>
        <w:rPr/>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Dins de cada RA, s'han classificat els criteris d’avaluació en </w:t>
      </w:r>
      <w:r>
        <w:rPr>
          <w:rFonts w:eastAsia="Arial" w:cs="Arial" w:ascii="Arial" w:hAnsi="Arial"/>
          <w:b/>
          <w:bCs/>
          <w:color w:val="000000"/>
          <w:sz w:val="22"/>
          <w:szCs w:val="22"/>
        </w:rPr>
        <w:t>bàsics</w:t>
      </w:r>
      <w:r>
        <w:rPr>
          <w:rFonts w:eastAsia="Arial" w:cs="Arial" w:ascii="Arial" w:hAnsi="Arial"/>
          <w:color w:val="000000"/>
          <w:sz w:val="22"/>
          <w:szCs w:val="22"/>
        </w:rPr>
        <w:t xml:space="preserve">, </w:t>
      </w:r>
      <w:r>
        <w:rPr>
          <w:rFonts w:eastAsia="Arial" w:cs="Arial" w:ascii="Arial" w:hAnsi="Arial"/>
          <w:b/>
          <w:bCs/>
          <w:color w:val="000000"/>
          <w:sz w:val="22"/>
          <w:szCs w:val="22"/>
        </w:rPr>
        <w:t>intermedis</w:t>
      </w:r>
      <w:r>
        <w:rPr>
          <w:rFonts w:eastAsia="Arial" w:cs="Arial" w:ascii="Arial" w:hAnsi="Arial"/>
          <w:color w:val="000000"/>
          <w:sz w:val="22"/>
          <w:szCs w:val="22"/>
        </w:rPr>
        <w:t xml:space="preserve"> o </w:t>
      </w:r>
      <w:r>
        <w:rPr>
          <w:rFonts w:eastAsia="Arial" w:cs="Arial" w:ascii="Arial" w:hAnsi="Arial"/>
          <w:b/>
          <w:bCs/>
          <w:color w:val="000000"/>
          <w:sz w:val="22"/>
          <w:szCs w:val="22"/>
        </w:rPr>
        <w:t>avançats</w:t>
      </w:r>
      <w:r>
        <w:rPr>
          <w:rFonts w:eastAsia="Arial" w:cs="Arial" w:ascii="Arial" w:hAnsi="Arial"/>
          <w:color w:val="000000"/>
          <w:sz w:val="22"/>
          <w:szCs w:val="22"/>
        </w:rPr>
        <w:t xml:space="preserve">. Els bàsics són els més senzills, aquells dels quals l'alumnat ha de tindre les idees més clares per a superar el RA. Després tenim els intermedis, que requereixen uns coneixements previs mínims dels bàsics perquè se'ls puga donar algun sentit. Finalment, però no menys important, els avançats. L'últim escaló de coneixement dins del RA. </w:t>
      </w:r>
    </w:p>
    <w:p>
      <w:pPr>
        <w:pStyle w:val="Normal"/>
        <w:spacing w:lineRule="auto" w:line="360"/>
        <w:jc w:val="both"/>
        <w:rPr>
          <w:rFonts w:ascii="Arial" w:hAnsi="Arial" w:eastAsia="Arial" w:cs="Arial"/>
          <w:color w:themeColor="text1" w:val="000000"/>
          <w:sz w:val="22"/>
          <w:szCs w:val="22"/>
          <w:lang w:val="ca-ES"/>
        </w:rPr>
      </w:pPr>
      <w:r>
        <w:rPr>
          <w:rFonts w:eastAsia="Arial" w:cs="Arial" w:ascii="Arial" w:hAnsi="Arial"/>
          <w:color w:themeColor="text1" w:val="000000"/>
          <w:sz w:val="22"/>
          <w:szCs w:val="22"/>
          <w:lang w:val="ca-ES"/>
        </w:rPr>
        <w:t>Per a obtindre la qualificació de cada criteri, ens basarem en els instruments d'avaluació abans comentats.</w:t>
      </w:r>
    </w:p>
    <w:p>
      <w:pPr>
        <w:pStyle w:val="Normal"/>
        <w:spacing w:lineRule="auto" w:line="360"/>
        <w:jc w:val="both"/>
        <w:rPr>
          <w:rFonts w:ascii="Arial" w:hAnsi="Arial" w:eastAsia="Arial" w:cs="Arial"/>
          <w:color w:themeColor="text1" w:val="000000"/>
          <w:sz w:val="22"/>
          <w:szCs w:val="22"/>
          <w:lang w:val="ca-ES"/>
        </w:rPr>
      </w:pPr>
      <w:r>
        <w:rPr>
          <w:rFonts w:eastAsia="Arial" w:cs="Arial" w:ascii="Arial" w:hAnsi="Arial"/>
          <w:color w:themeColor="text1" w:val="000000"/>
          <w:sz w:val="22"/>
          <w:szCs w:val="22"/>
          <w:lang w:val="ca-ES"/>
        </w:rPr>
        <w:t xml:space="preserve"> </w:t>
      </w:r>
    </w:p>
    <w:p>
      <w:pPr>
        <w:pStyle w:val="Heading2"/>
        <w:numPr>
          <w:ilvl w:val="1"/>
          <w:numId w:val="2"/>
        </w:numPr>
        <w:spacing w:before="0" w:after="120"/>
        <w:rPr>
          <w:b w:val="false"/>
          <w:bCs w:val="false"/>
          <w:i w:val="false"/>
          <w:i w:val="false"/>
          <w:iCs w:val="false"/>
          <w:color w:val="ED7D31"/>
          <w:lang w:val="es-ES"/>
        </w:rPr>
      </w:pPr>
      <w:bookmarkStart w:id="105" w:name="__RefHeading___Toc3396_3429816007"/>
      <w:bookmarkStart w:id="106" w:name="_Toc194271431"/>
      <w:bookmarkStart w:id="107" w:name="OLE_LINK207"/>
      <w:bookmarkStart w:id="108" w:name="OLE_LINK208"/>
      <w:bookmarkEnd w:id="105"/>
      <w:bookmarkEnd w:id="107"/>
      <w:bookmarkEnd w:id="108"/>
      <w:r>
        <w:rPr>
          <w:b w:val="false"/>
          <w:bCs w:val="false"/>
          <w:i w:val="false"/>
          <w:iCs w:val="false"/>
          <w:color w:themeColor="accent2" w:val="ED7D31"/>
          <w:lang w:val="es-ES"/>
        </w:rPr>
        <w:t>Altres consideracions</w:t>
      </w:r>
      <w:bookmarkEnd w:id="106"/>
    </w:p>
    <w:p>
      <w:pPr>
        <w:pStyle w:val="ListParagraph"/>
        <w:numPr>
          <w:ilvl w:val="0"/>
          <w:numId w:val="8"/>
        </w:numPr>
        <w:spacing w:lineRule="auto" w:line="360"/>
        <w:jc w:val="both"/>
        <w:rPr>
          <w:rFonts w:ascii="Arial" w:hAnsi="Arial" w:eastAsia="Arial" w:cs="Arial"/>
          <w:color w:val="000000"/>
          <w:sz w:val="22"/>
          <w:szCs w:val="22"/>
        </w:rPr>
      </w:pPr>
      <w:bookmarkStart w:id="109" w:name="OLE_LINK199"/>
      <w:bookmarkStart w:id="110" w:name="OLE_LINK200"/>
      <w:bookmarkStart w:id="111" w:name="OLE_LINK207_Copia_1"/>
      <w:bookmarkStart w:id="112" w:name="OLE_LINK208_Copia_1"/>
      <w:bookmarkEnd w:id="111"/>
      <w:bookmarkEnd w:id="112"/>
      <w:r>
        <w:rPr>
          <w:rFonts w:eastAsia="Arial" w:cs="Arial" w:ascii="Arial" w:hAnsi="Arial"/>
          <w:color w:val="000000"/>
          <w:sz w:val="22"/>
          <w:szCs w:val="22"/>
        </w:rPr>
        <w:t xml:space="preserve">La nota de cada </w:t>
      </w:r>
      <w:bookmarkEnd w:id="109"/>
      <w:bookmarkEnd w:id="110"/>
      <w:r>
        <w:rPr>
          <w:rFonts w:eastAsia="Arial" w:cs="Arial" w:ascii="Arial" w:hAnsi="Arial"/>
          <w:b/>
          <w:bCs/>
          <w:color w:val="000000"/>
          <w:sz w:val="22"/>
          <w:szCs w:val="22"/>
        </w:rPr>
        <w:t>avaluació</w:t>
      </w:r>
      <w:r>
        <w:rPr>
          <w:rFonts w:eastAsia="Arial" w:cs="Arial" w:ascii="Arial" w:hAnsi="Arial"/>
          <w:color w:val="000000"/>
          <w:sz w:val="22"/>
          <w:szCs w:val="22"/>
        </w:rPr>
        <w:t xml:space="preserve"> s'obtindrà de la </w:t>
      </w:r>
      <w:r>
        <w:rPr>
          <w:rFonts w:eastAsia="Arial" w:cs="Arial" w:ascii="Arial" w:hAnsi="Arial"/>
          <w:b/>
          <w:bCs/>
          <w:color w:val="000000"/>
          <w:sz w:val="22"/>
          <w:szCs w:val="22"/>
        </w:rPr>
        <w:t>mitjana dels RA superats</w:t>
      </w:r>
      <w:r>
        <w:rPr>
          <w:rFonts w:eastAsia="Arial" w:cs="Arial" w:ascii="Arial" w:hAnsi="Arial"/>
          <w:color w:val="000000"/>
          <w:sz w:val="22"/>
          <w:szCs w:val="22"/>
        </w:rPr>
        <w:t xml:space="preserve"> en eixa avaluació.</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Per a la </w:t>
      </w:r>
      <w:r>
        <w:rPr>
          <w:rFonts w:eastAsia="Arial" w:cs="Arial" w:ascii="Arial" w:hAnsi="Arial"/>
          <w:b/>
          <w:bCs/>
          <w:color w:val="000000"/>
          <w:sz w:val="22"/>
          <w:szCs w:val="22"/>
        </w:rPr>
        <w:t>superació</w:t>
      </w:r>
      <w:r>
        <w:rPr>
          <w:rFonts w:eastAsia="Arial" w:cs="Arial" w:ascii="Arial" w:hAnsi="Arial"/>
          <w:color w:val="000000"/>
          <w:sz w:val="22"/>
          <w:szCs w:val="22"/>
        </w:rPr>
        <w:t xml:space="preserve"> d’un </w:t>
      </w:r>
      <w:r>
        <w:rPr>
          <w:rFonts w:eastAsia="Arial" w:cs="Arial" w:ascii="Arial" w:hAnsi="Arial"/>
          <w:b/>
          <w:bCs/>
          <w:color w:val="000000"/>
          <w:sz w:val="22"/>
          <w:szCs w:val="22"/>
        </w:rPr>
        <w:t>RA</w:t>
      </w:r>
      <w:r>
        <w:rPr>
          <w:rFonts w:eastAsia="Arial" w:cs="Arial" w:ascii="Arial" w:hAnsi="Arial"/>
          <w:color w:val="000000"/>
          <w:sz w:val="22"/>
          <w:szCs w:val="22"/>
        </w:rPr>
        <w:t xml:space="preserve"> s'haurà d’obtindre una </w:t>
      </w:r>
      <w:r>
        <w:rPr>
          <w:rFonts w:eastAsia="Arial" w:cs="Arial" w:ascii="Arial" w:hAnsi="Arial"/>
          <w:b/>
          <w:bCs/>
          <w:color w:val="000000"/>
          <w:sz w:val="22"/>
          <w:szCs w:val="22"/>
        </w:rPr>
        <w:t>nota superior o igual al 50%</w:t>
      </w:r>
      <w:r>
        <w:rPr>
          <w:rFonts w:eastAsia="Arial" w:cs="Arial" w:ascii="Arial" w:hAnsi="Arial"/>
          <w:color w:val="000000"/>
          <w:sz w:val="22"/>
          <w:szCs w:val="22"/>
        </w:rPr>
        <w:t xml:space="preserve"> en el global del RA.</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Cada </w:t>
      </w:r>
      <w:r>
        <w:rPr>
          <w:rFonts w:eastAsia="Arial" w:cs="Arial" w:ascii="Arial" w:hAnsi="Arial"/>
          <w:b/>
          <w:bCs/>
          <w:color w:val="000000"/>
          <w:sz w:val="22"/>
          <w:szCs w:val="22"/>
        </w:rPr>
        <w:t xml:space="preserve">criteri d’avaluació </w:t>
      </w:r>
      <w:r>
        <w:rPr>
          <w:rFonts w:eastAsia="Arial" w:cs="Arial" w:ascii="Arial" w:hAnsi="Arial"/>
          <w:color w:val="000000"/>
          <w:sz w:val="22"/>
          <w:szCs w:val="22"/>
        </w:rPr>
        <w:t xml:space="preserve">es podrà avaluar mitjançant diferents </w:t>
      </w:r>
      <w:r>
        <w:rPr>
          <w:rFonts w:eastAsia="Arial" w:cs="Arial" w:ascii="Arial" w:hAnsi="Arial"/>
          <w:b/>
          <w:bCs/>
          <w:color w:val="000000"/>
          <w:sz w:val="22"/>
          <w:szCs w:val="22"/>
        </w:rPr>
        <w:t>activitats d’avaluació</w:t>
      </w:r>
      <w:r>
        <w:rPr>
          <w:rFonts w:eastAsia="Arial" w:cs="Arial" w:ascii="Arial" w:hAnsi="Arial"/>
          <w:color w:val="000000"/>
          <w:sz w:val="22"/>
          <w:szCs w:val="22"/>
        </w:rPr>
        <w:t xml:space="preserve"> que se consideren adients a eixe criteri. És obligatori </w:t>
      </w:r>
      <w:r>
        <w:rPr>
          <w:rFonts w:eastAsia="Arial" w:cs="Arial" w:ascii="Arial" w:hAnsi="Arial"/>
          <w:b/>
          <w:bCs/>
          <w:color w:val="000000"/>
          <w:sz w:val="22"/>
          <w:szCs w:val="22"/>
        </w:rPr>
        <w:t>almenys una per a cada criteri</w:t>
      </w:r>
      <w:r>
        <w:rPr>
          <w:rFonts w:eastAsia="Arial" w:cs="Arial" w:ascii="Arial" w:hAnsi="Arial"/>
          <w:color w:val="000000"/>
          <w:sz w:val="22"/>
          <w:szCs w:val="22"/>
        </w:rPr>
        <w:t>.</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En cas que l'alumne/</w:t>
      </w:r>
      <w:r>
        <w:rPr>
          <w:rFonts w:eastAsia="Arial" w:cs="Arial" w:ascii="Arial" w:hAnsi="Arial"/>
          <w:b/>
          <w:bCs/>
          <w:color w:val="000000"/>
          <w:sz w:val="22"/>
          <w:szCs w:val="22"/>
        </w:rPr>
        <w:t>a suspenga un criteri d’avaluació</w:t>
      </w:r>
      <w:r>
        <w:rPr>
          <w:rFonts w:eastAsia="Arial" w:cs="Arial" w:ascii="Arial" w:hAnsi="Arial"/>
          <w:color w:val="000000"/>
          <w:sz w:val="22"/>
          <w:szCs w:val="22"/>
        </w:rPr>
        <w:t xml:space="preserve">, es podrà realitzar una </w:t>
      </w:r>
      <w:r>
        <w:rPr>
          <w:rFonts w:eastAsia="Arial" w:cs="Arial" w:ascii="Arial" w:hAnsi="Arial"/>
          <w:b/>
          <w:bCs/>
          <w:color w:val="000000"/>
          <w:sz w:val="22"/>
          <w:szCs w:val="22"/>
        </w:rPr>
        <w:t>recuperació</w:t>
      </w:r>
      <w:r>
        <w:rPr>
          <w:rFonts w:eastAsia="Arial" w:cs="Arial" w:ascii="Arial" w:hAnsi="Arial"/>
          <w:color w:val="000000"/>
          <w:sz w:val="22"/>
          <w:szCs w:val="22"/>
        </w:rPr>
        <w:t xml:space="preserve"> a definir pel professor/a en format i data que es traslladarà amb anterioritat a l'alumne/a.</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La </w:t>
      </w:r>
      <w:r>
        <w:rPr>
          <w:rFonts w:eastAsia="Arial" w:cs="Arial" w:ascii="Arial" w:hAnsi="Arial"/>
          <w:b/>
          <w:bCs/>
          <w:color w:val="000000"/>
          <w:sz w:val="22"/>
          <w:szCs w:val="22"/>
        </w:rPr>
        <w:t>qualificació final</w:t>
      </w:r>
      <w:r>
        <w:rPr>
          <w:rFonts w:eastAsia="Arial" w:cs="Arial" w:ascii="Arial" w:hAnsi="Arial"/>
          <w:color w:val="000000"/>
          <w:sz w:val="22"/>
          <w:szCs w:val="22"/>
        </w:rPr>
        <w:t xml:space="preserve"> del mòdul en finalitzar el curs serà la </w:t>
      </w:r>
      <w:r>
        <w:rPr>
          <w:rFonts w:eastAsia="Arial" w:cs="Arial" w:ascii="Arial" w:hAnsi="Arial"/>
          <w:b/>
          <w:bCs/>
          <w:color w:val="000000"/>
          <w:sz w:val="22"/>
          <w:szCs w:val="22"/>
        </w:rPr>
        <w:t>mitjana ponderada de cada resultat d'aprenentatge</w:t>
      </w:r>
      <w:r>
        <w:rPr>
          <w:rFonts w:eastAsia="Arial" w:cs="Arial" w:ascii="Arial" w:hAnsi="Arial"/>
          <w:color w:val="000000"/>
          <w:sz w:val="22"/>
          <w:szCs w:val="22"/>
        </w:rPr>
        <w:t xml:space="preserve">, havent d'obtindre una qualificació mínima del 50% i havent </w:t>
      </w:r>
      <w:r>
        <w:rPr>
          <w:rFonts w:eastAsia="Arial" w:cs="Arial" w:ascii="Arial" w:hAnsi="Arial"/>
          <w:b/>
          <w:bCs/>
          <w:color w:val="000000"/>
          <w:sz w:val="22"/>
          <w:szCs w:val="22"/>
        </w:rPr>
        <w:t>superat obligatòriament tots els RA</w:t>
      </w:r>
      <w:r>
        <w:rPr>
          <w:rFonts w:eastAsia="Arial" w:cs="Arial" w:ascii="Arial" w:hAnsi="Arial"/>
          <w:color w:val="000000"/>
          <w:sz w:val="22"/>
          <w:szCs w:val="22"/>
        </w:rPr>
        <w:t>.</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Per a les diferents </w:t>
      </w:r>
      <w:r>
        <w:rPr>
          <w:rFonts w:eastAsia="Arial" w:cs="Arial" w:ascii="Arial" w:hAnsi="Arial"/>
          <w:b/>
          <w:bCs/>
          <w:color w:val="000000"/>
          <w:sz w:val="22"/>
          <w:szCs w:val="22"/>
        </w:rPr>
        <w:t>absències</w:t>
      </w:r>
      <w:r>
        <w:rPr>
          <w:rFonts w:eastAsia="Arial" w:cs="Arial" w:ascii="Arial" w:hAnsi="Arial"/>
          <w:color w:val="000000"/>
          <w:sz w:val="22"/>
          <w:szCs w:val="22"/>
        </w:rPr>
        <w:t xml:space="preserve">, si coincideix amb un instrument d’avaluació corresponent a un criteri, s’haurà sempre de </w:t>
      </w:r>
      <w:r>
        <w:rPr>
          <w:rFonts w:eastAsia="Arial" w:cs="Arial" w:ascii="Arial" w:hAnsi="Arial"/>
          <w:b/>
          <w:bCs/>
          <w:color w:val="000000"/>
          <w:sz w:val="22"/>
          <w:szCs w:val="22"/>
        </w:rPr>
        <w:t>justificar</w:t>
      </w:r>
      <w:r>
        <w:rPr>
          <w:rFonts w:eastAsia="Arial" w:cs="Arial" w:ascii="Arial" w:hAnsi="Arial"/>
          <w:color w:val="000000"/>
          <w:sz w:val="22"/>
          <w:szCs w:val="22"/>
        </w:rPr>
        <w:t xml:space="preserve"> per poder recuperar-lo.</w:t>
      </w:r>
    </w:p>
    <w:p>
      <w:pPr>
        <w:pStyle w:val="ListParagraph"/>
        <w:numPr>
          <w:ilvl w:val="0"/>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D'altra banda, per a tindre dret </w:t>
      </w:r>
      <w:r>
        <w:rPr>
          <w:rFonts w:eastAsia="Arial" w:cs="Arial" w:ascii="Arial" w:hAnsi="Arial"/>
          <w:b/>
          <w:bCs/>
          <w:color w:val="000000"/>
          <w:sz w:val="22"/>
          <w:szCs w:val="22"/>
        </w:rPr>
        <w:t>a l'avaluació contínua</w:t>
      </w:r>
      <w:r>
        <w:rPr>
          <w:rFonts w:eastAsia="Arial" w:cs="Arial" w:ascii="Arial" w:hAnsi="Arial"/>
          <w:color w:val="000000"/>
          <w:sz w:val="22"/>
          <w:szCs w:val="22"/>
        </w:rPr>
        <w:t xml:space="preserve">, l'alumne/a no haurà de tindre més d'un </w:t>
      </w:r>
      <w:r>
        <w:rPr>
          <w:rFonts w:eastAsia="Arial" w:cs="Arial" w:ascii="Arial" w:hAnsi="Arial"/>
          <w:b/>
          <w:bCs/>
          <w:color w:val="000000"/>
          <w:sz w:val="22"/>
          <w:szCs w:val="22"/>
        </w:rPr>
        <w:t>15% de faltes d'assistència injustificades</w:t>
      </w:r>
      <w:r>
        <w:rPr>
          <w:rFonts w:eastAsia="Arial" w:cs="Arial" w:ascii="Arial" w:hAnsi="Arial"/>
          <w:color w:val="000000"/>
          <w:sz w:val="22"/>
          <w:szCs w:val="22"/>
        </w:rPr>
        <w:t xml:space="preserve">. Si l'alumne/a perd l'avaluació contínua, pot examinar-se en la convocatòria ordinària, la qual consistirà en una prova que inclourà </w:t>
      </w:r>
      <w:r>
        <w:rPr>
          <w:rFonts w:eastAsia="Arial" w:cs="Arial" w:ascii="Arial" w:hAnsi="Arial"/>
          <w:b/>
          <w:bCs/>
          <w:color w:val="000000"/>
          <w:sz w:val="22"/>
          <w:szCs w:val="22"/>
        </w:rPr>
        <w:t>TOTS els RA</w:t>
      </w:r>
      <w:r>
        <w:rPr>
          <w:rFonts w:eastAsia="Arial" w:cs="Arial" w:ascii="Arial" w:hAnsi="Arial"/>
          <w:color w:val="000000"/>
          <w:sz w:val="22"/>
          <w:szCs w:val="22"/>
        </w:rPr>
        <w:t xml:space="preserve"> del mòdul.</w:t>
      </w:r>
    </w:p>
    <w:p>
      <w:pPr>
        <w:pStyle w:val="Heading2"/>
        <w:numPr>
          <w:ilvl w:val="1"/>
          <w:numId w:val="2"/>
        </w:numPr>
        <w:rPr>
          <w:b w:val="false"/>
          <w:bCs w:val="false"/>
          <w:i w:val="false"/>
          <w:i w:val="false"/>
          <w:iCs w:val="false"/>
          <w:color w:val="ED7D31"/>
          <w:lang w:val="es-ES"/>
        </w:rPr>
      </w:pPr>
      <w:bookmarkStart w:id="113" w:name="__RefHeading___Toc3398_3429816007"/>
      <w:bookmarkStart w:id="114" w:name="_Toc194271432"/>
      <w:bookmarkEnd w:id="113"/>
      <w:r>
        <w:rPr>
          <w:b w:val="false"/>
          <w:bCs w:val="false"/>
          <w:i w:val="false"/>
          <w:iCs w:val="false"/>
          <w:color w:themeColor="accent2" w:val="ED7D31"/>
          <w:lang w:val="es-ES"/>
        </w:rPr>
        <w:t>Pla de recuperació</w:t>
      </w:r>
      <w:bookmarkEnd w:id="114"/>
    </w:p>
    <w:p>
      <w:pPr>
        <w:pStyle w:val="ListParagraph"/>
        <w:numPr>
          <w:ilvl w:val="0"/>
          <w:numId w:val="9"/>
        </w:numPr>
        <w:spacing w:lineRule="auto" w:line="360"/>
        <w:jc w:val="both"/>
        <w:rPr>
          <w:rFonts w:ascii="Arial" w:hAnsi="Arial" w:eastAsia="Arial" w:cs="Arial"/>
          <w:color w:val="000000"/>
          <w:sz w:val="22"/>
          <w:szCs w:val="22"/>
        </w:rPr>
      </w:pPr>
      <w:r>
        <w:rPr>
          <w:rFonts w:eastAsia="Arial" w:cs="Arial" w:ascii="Arial" w:hAnsi="Arial"/>
          <w:color w:val="000000"/>
          <w:sz w:val="22"/>
          <w:szCs w:val="22"/>
        </w:rPr>
        <w:t>Convocatòria ordinària:</w:t>
      </w:r>
    </w:p>
    <w:p>
      <w:pPr>
        <w:pStyle w:val="ListParagraph"/>
        <w:numPr>
          <w:ilvl w:val="1"/>
          <w:numId w:val="9"/>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En cas que l'alumne/a suspenga algun </w:t>
      </w:r>
      <w:r>
        <w:rPr>
          <w:rFonts w:eastAsia="Arial" w:cs="Arial" w:ascii="Arial" w:hAnsi="Arial"/>
          <w:b/>
          <w:bCs/>
          <w:color w:val="000000"/>
          <w:sz w:val="22"/>
          <w:szCs w:val="22"/>
        </w:rPr>
        <w:t>RA</w:t>
      </w:r>
      <w:r>
        <w:rPr>
          <w:rFonts w:eastAsia="Arial" w:cs="Arial" w:ascii="Arial" w:hAnsi="Arial"/>
          <w:color w:val="000000"/>
          <w:sz w:val="22"/>
          <w:szCs w:val="22"/>
        </w:rPr>
        <w:t xml:space="preserve">, podrà realitzar una prova de recuperació que inclourà els </w:t>
      </w:r>
      <w:r>
        <w:rPr>
          <w:rFonts w:eastAsia="Arial" w:cs="Arial" w:ascii="Arial" w:hAnsi="Arial"/>
          <w:b/>
          <w:bCs/>
          <w:color w:val="000000"/>
          <w:sz w:val="22"/>
          <w:szCs w:val="22"/>
        </w:rPr>
        <w:t>criteris d'avaluació no superats</w:t>
      </w:r>
      <w:r>
        <w:rPr>
          <w:rFonts w:eastAsia="Arial" w:cs="Arial" w:ascii="Arial" w:hAnsi="Arial"/>
          <w:color w:val="000000"/>
          <w:sz w:val="22"/>
          <w:szCs w:val="22"/>
        </w:rPr>
        <w:t xml:space="preserve"> en eixe RA. </w:t>
      </w:r>
    </w:p>
    <w:p>
      <w:pPr>
        <w:pStyle w:val="ListParagraph"/>
        <w:numPr>
          <w:ilvl w:val="1"/>
          <w:numId w:val="9"/>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Si l'alumne ha perdut l'avaluació contínua, en este cas haurà d'examinar-se de </w:t>
      </w:r>
      <w:r>
        <w:rPr>
          <w:rFonts w:eastAsia="Arial" w:cs="Arial" w:ascii="Arial" w:hAnsi="Arial"/>
          <w:b/>
          <w:bCs/>
          <w:color w:val="000000"/>
          <w:sz w:val="22"/>
          <w:szCs w:val="22"/>
        </w:rPr>
        <w:t>TOTS</w:t>
      </w:r>
      <w:r>
        <w:rPr>
          <w:rFonts w:eastAsia="Arial" w:cs="Arial" w:ascii="Arial" w:hAnsi="Arial"/>
          <w:color w:val="000000"/>
          <w:sz w:val="22"/>
          <w:szCs w:val="22"/>
        </w:rPr>
        <w:t xml:space="preserve"> els RA del mòdul.</w:t>
      </w:r>
    </w:p>
    <w:p>
      <w:pPr>
        <w:pStyle w:val="ListParagraph"/>
        <w:numPr>
          <w:ilvl w:val="0"/>
          <w:numId w:val="9"/>
        </w:numPr>
        <w:spacing w:lineRule="auto" w:line="360"/>
        <w:jc w:val="both"/>
        <w:rPr>
          <w:rFonts w:ascii="Arial" w:hAnsi="Arial" w:eastAsia="Arial" w:cs="Arial"/>
          <w:color w:val="000000"/>
          <w:sz w:val="22"/>
          <w:szCs w:val="22"/>
        </w:rPr>
      </w:pPr>
      <w:r>
        <w:rPr>
          <w:rFonts w:eastAsia="Arial" w:cs="Arial" w:ascii="Arial" w:hAnsi="Arial"/>
          <w:color w:val="000000"/>
          <w:sz w:val="22"/>
          <w:szCs w:val="22"/>
        </w:rPr>
        <w:t>Convocatòria extraordinària:</w:t>
      </w:r>
    </w:p>
    <w:p>
      <w:pPr>
        <w:pStyle w:val="Normal"/>
        <w:numPr>
          <w:ilvl w:val="1"/>
          <w:numId w:val="8"/>
        </w:numPr>
        <w:spacing w:lineRule="auto" w:line="360"/>
        <w:jc w:val="both"/>
        <w:rPr>
          <w:rFonts w:ascii="Arial" w:hAnsi="Arial" w:eastAsia="Arial" w:cs="Arial"/>
          <w:color w:val="000000"/>
          <w:sz w:val="22"/>
          <w:szCs w:val="22"/>
        </w:rPr>
      </w:pPr>
      <w:r>
        <w:rPr>
          <w:rFonts w:eastAsia="Arial" w:cs="Arial" w:ascii="Arial" w:hAnsi="Arial"/>
          <w:color w:val="000000"/>
          <w:sz w:val="22"/>
          <w:szCs w:val="22"/>
        </w:rPr>
        <w:t xml:space="preserve">En cas que l'alumne/a </w:t>
      </w:r>
      <w:r>
        <w:rPr>
          <w:rFonts w:eastAsia="Arial" w:cs="Arial" w:ascii="Arial" w:hAnsi="Arial"/>
          <w:b/>
          <w:bCs/>
          <w:color w:val="000000"/>
          <w:sz w:val="22"/>
          <w:szCs w:val="22"/>
        </w:rPr>
        <w:t>suspenga el mòdul en la convocatòria ordinària</w:t>
      </w:r>
      <w:r>
        <w:rPr>
          <w:rFonts w:eastAsia="Arial" w:cs="Arial" w:ascii="Arial" w:hAnsi="Arial"/>
          <w:color w:val="000000"/>
          <w:sz w:val="22"/>
          <w:szCs w:val="22"/>
        </w:rPr>
        <w:t xml:space="preserve">, disposarà de la convocatòria extraordinària, la qual consistirà en una prova que inclourà </w:t>
      </w:r>
      <w:r>
        <w:rPr>
          <w:rFonts w:eastAsia="Arial" w:cs="Arial" w:ascii="Arial" w:hAnsi="Arial"/>
          <w:b/>
          <w:bCs/>
          <w:color w:val="000000"/>
          <w:sz w:val="22"/>
          <w:szCs w:val="22"/>
        </w:rPr>
        <w:t>TOTS els RA no superats</w:t>
      </w:r>
      <w:r>
        <w:rPr>
          <w:rFonts w:eastAsia="Arial" w:cs="Arial" w:ascii="Arial" w:hAnsi="Arial"/>
          <w:color w:val="000000"/>
          <w:sz w:val="22"/>
          <w:szCs w:val="22"/>
        </w:rPr>
        <w:t xml:space="preserve"> del mòdul.</w:t>
      </w:r>
    </w:p>
    <w:p>
      <w:pPr>
        <w:pStyle w:val="Normal"/>
        <w:spacing w:lineRule="auto" w:line="360"/>
        <w:jc w:val="both"/>
        <w:rPr>
          <w:rFonts w:ascii="Arial" w:hAnsi="Arial" w:eastAsia="Arial" w:cs="Arial"/>
          <w:color w:val="000000"/>
          <w:sz w:val="22"/>
          <w:szCs w:val="22"/>
        </w:rPr>
      </w:pPr>
      <w:r>
        <w:rPr>
          <w:rFonts w:eastAsia="Arial" w:cs="Arial" w:ascii="Arial" w:hAnsi="Arial"/>
          <w:color w:val="000000"/>
          <w:sz w:val="22"/>
          <w:szCs w:val="22"/>
        </w:rPr>
      </w:r>
    </w:p>
    <w:p>
      <w:pPr>
        <w:pStyle w:val="Normal"/>
        <w:spacing w:lineRule="auto" w:line="360"/>
        <w:jc w:val="both"/>
        <w:rPr>
          <w:rFonts w:ascii="Arial" w:hAnsi="Arial" w:eastAsia="Arial" w:cs="Arial"/>
          <w:color w:val="000000"/>
          <w:sz w:val="22"/>
          <w:szCs w:val="22"/>
        </w:rPr>
      </w:pPr>
      <w:r>
        <w:rPr>
          <w:rFonts w:eastAsia="Arial" w:cs="Arial" w:ascii="Arial" w:hAnsi="Arial"/>
          <w:color w:val="000000"/>
          <w:sz w:val="22"/>
          <w:szCs w:val="22"/>
        </w:rPr>
      </w:r>
    </w:p>
    <w:p>
      <w:pPr>
        <w:pStyle w:val="Normal"/>
        <w:rPr/>
      </w:pPr>
      <w:r>
        <w:rPr/>
      </w:r>
      <w:r>
        <w:br w:type="page"/>
      </w:r>
    </w:p>
    <w:p>
      <w:pPr>
        <w:pStyle w:val="Heading1"/>
        <w:numPr>
          <w:ilvl w:val="0"/>
          <w:numId w:val="2"/>
        </w:numPr>
        <w:spacing w:before="0" w:after="120"/>
        <w:rPr>
          <w:color w:val="ED7D31"/>
        </w:rPr>
      </w:pPr>
      <w:bookmarkStart w:id="115" w:name="__RefHeading___Toc3400_3429816007"/>
      <w:bookmarkStart w:id="116" w:name="_Toc194271433"/>
      <w:bookmarkEnd w:id="115"/>
      <w:r>
        <w:rPr>
          <w:color w:val="ED7D31"/>
        </w:rPr>
        <w:t>MESURES D’ATENCIÓ A LA DIVERSITAT I INCLUSIÓ</w:t>
      </w:r>
      <w:bookmarkEnd w:id="116"/>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Al nostre centre podem trobar alumnat amb Necessitats Educatives Específiques (NEE) que ha d’obtindre un respostar educativa adeqüada. Els principis generals d'atenció a la diversitat, basats en l'escola inclusiva que planteja el nostre Sistema Educatiu proposen l’adquisició de diferents respostes educatives, atenent la seua diversitat i actuant educativament sobre la base dels principis descrits seguidament:</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Ensenyament adaptatiu per a abordar tant les necessitats dels qui requerixen més suport com d'aquells amb habilitats excepcionals.</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Dissenyar activitats que puguen ser adaptades per a diferents nivells de dificultat, responent a les característiques individuals de cada estudiant.</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Ajustar el currículum segons el progrés d'aprenentatge de cada estudiant, mantenint flexibilitat.</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Aplicar enfocaments pedagògics variats segons el ritme d'aprenentatge de cada estudiant.</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Fomentar la flexibilitat en l'agrupació d'estudiants i en les activitats grupals.</w:t>
      </w:r>
    </w:p>
    <w:p>
      <w:pPr>
        <w:pStyle w:val="ListParagraph"/>
        <w:numPr>
          <w:ilvl w:val="0"/>
          <w:numId w:val="13"/>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Coordinar amb professionals de suport per a assegurar respostes educatives efectives que satisfacen les necessitats individuals dels estudiants.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La normativa que regula aquesta atenció és la següent:</w:t>
      </w:r>
    </w:p>
    <w:p>
      <w:pPr>
        <w:pStyle w:val="ListParagraph"/>
        <w:numPr>
          <w:ilvl w:val="0"/>
          <w:numId w:val="11"/>
        </w:numPr>
        <w:spacing w:lineRule="auto" w:line="360"/>
        <w:jc w:val="both"/>
        <w:rPr>
          <w:rFonts w:ascii="Arial" w:hAnsi="Arial" w:eastAsia="Arial" w:cs="Arial"/>
          <w:color w:val="000000"/>
          <w:sz w:val="22"/>
          <w:szCs w:val="22"/>
        </w:rPr>
      </w:pPr>
      <w:bookmarkStart w:id="117" w:name="OLE_LINK223"/>
      <w:bookmarkStart w:id="118" w:name="OLE_LINK224"/>
      <w:r>
        <w:rPr>
          <w:rFonts w:eastAsia="Arial" w:cs="Arial" w:ascii="Arial" w:hAnsi="Arial"/>
          <w:b/>
          <w:bCs/>
          <w:color w:val="000000"/>
          <w:sz w:val="22"/>
          <w:szCs w:val="22"/>
        </w:rPr>
        <w:t>Llei Orgànica 2/2006 (LOE).</w:t>
      </w:r>
    </w:p>
    <w:p>
      <w:pPr>
        <w:pStyle w:val="ListParagraph"/>
        <w:numPr>
          <w:ilvl w:val="0"/>
          <w:numId w:val="11"/>
        </w:numPr>
        <w:spacing w:lineRule="auto" w:line="360"/>
        <w:jc w:val="both"/>
        <w:rPr>
          <w:rFonts w:ascii="Arial" w:hAnsi="Arial" w:eastAsia="Arial" w:cs="Arial"/>
          <w:color w:val="000000"/>
          <w:sz w:val="22"/>
          <w:szCs w:val="22"/>
        </w:rPr>
      </w:pPr>
      <w:r>
        <w:rPr>
          <w:rFonts w:eastAsia="Arial" w:cs="Arial" w:ascii="Arial" w:hAnsi="Arial"/>
          <w:b/>
          <w:bCs/>
          <w:color w:val="000000"/>
          <w:sz w:val="22"/>
          <w:szCs w:val="22"/>
        </w:rPr>
        <w:t>Llei Orgànica 3/2020 (LOMLOE),</w:t>
      </w:r>
      <w:r>
        <w:rPr>
          <w:rFonts w:eastAsia="Arial" w:cs="Arial" w:ascii="Arial" w:hAnsi="Arial"/>
          <w:color w:val="000000"/>
          <w:sz w:val="22"/>
          <w:szCs w:val="22"/>
        </w:rPr>
        <w:t xml:space="preserve"> concretament, en el Títol II "Equitat en l'educació", en el seu capítol I, que fa referència a "L'alumnat amb necessitat específica de suport educatiu".</w:t>
      </w:r>
    </w:p>
    <w:p>
      <w:pPr>
        <w:pStyle w:val="ListParagraph"/>
        <w:numPr>
          <w:ilvl w:val="0"/>
          <w:numId w:val="11"/>
        </w:numPr>
        <w:spacing w:lineRule="auto" w:line="360"/>
        <w:jc w:val="both"/>
        <w:rPr>
          <w:rFonts w:ascii="Arial" w:hAnsi="Arial" w:eastAsia="Arial" w:cs="Arial"/>
          <w:color w:val="000000"/>
          <w:sz w:val="22"/>
          <w:szCs w:val="22"/>
        </w:rPr>
      </w:pPr>
      <w:r>
        <w:rPr>
          <w:rFonts w:eastAsia="Arial" w:cs="Arial" w:ascii="Arial" w:hAnsi="Arial"/>
          <w:b/>
          <w:bCs/>
          <w:color w:val="000000"/>
          <w:sz w:val="22"/>
          <w:szCs w:val="22"/>
        </w:rPr>
        <w:t>Decret 104/2018,</w:t>
      </w:r>
      <w:r>
        <w:rPr>
          <w:rFonts w:eastAsia="Arial" w:cs="Arial" w:ascii="Arial" w:hAnsi="Arial"/>
          <w:color w:val="000000"/>
          <w:sz w:val="22"/>
          <w:szCs w:val="22"/>
        </w:rPr>
        <w:t xml:space="preserve"> que descriu els 4 nivells de resposta educativa per a la inclusió, exposats a continuació.</w:t>
      </w:r>
    </w:p>
    <w:p>
      <w:pPr>
        <w:pStyle w:val="ListParagraph"/>
        <w:numPr>
          <w:ilvl w:val="0"/>
          <w:numId w:val="11"/>
        </w:numPr>
        <w:spacing w:lineRule="auto" w:line="360"/>
        <w:jc w:val="both"/>
        <w:rPr>
          <w:rFonts w:ascii="Arial" w:hAnsi="Arial" w:eastAsia="Arial" w:cs="Arial"/>
          <w:color w:val="000000"/>
          <w:sz w:val="22"/>
          <w:szCs w:val="22"/>
        </w:rPr>
      </w:pPr>
      <w:r>
        <w:rPr>
          <w:rFonts w:eastAsia="Arial" w:cs="Arial" w:ascii="Arial" w:hAnsi="Arial"/>
          <w:b/>
          <w:bCs/>
          <w:color w:val="000000"/>
          <w:sz w:val="22"/>
          <w:szCs w:val="22"/>
        </w:rPr>
        <w:t>Ordre 20/2019,</w:t>
      </w:r>
      <w:r>
        <w:rPr>
          <w:rFonts w:eastAsia="Arial" w:cs="Arial" w:ascii="Arial" w:hAnsi="Arial"/>
          <w:color w:val="000000"/>
          <w:sz w:val="22"/>
          <w:szCs w:val="22"/>
        </w:rPr>
        <w:t xml:space="preserve"> que regula l'organització de la resposta educativa per a la inclusió de l'alumnat. Aquesta normativa </w:t>
      </w:r>
      <w:bookmarkEnd w:id="117"/>
      <w:bookmarkEnd w:id="118"/>
      <w:r>
        <w:rPr>
          <w:rFonts w:eastAsia="Arial" w:cs="Arial" w:ascii="Arial" w:hAnsi="Arial"/>
          <w:color w:val="000000"/>
          <w:sz w:val="22"/>
          <w:szCs w:val="22"/>
        </w:rPr>
        <w:t>indica que, quan es matricula alumnat amb NEE, el departament professional analitza quins mòduls són adequats de realitzar, en base a les capacitats i a una avaluació sociopsicopedagògica. Segons l'Article 23, hi ha la possibilitat que l'alumnat amb NEE titule, en igualtat de condicions, sense haver cursat tots els mòduls del cicle formatiu, sempre que adquirisca totes les competències del cicle. Per tant, és important recolzar-se en el departament d'orientació, per a adoptar les adaptacions curriculars adequades i atendre correctament les necessitats de l'alumnat.</w:t>
      </w:r>
    </w:p>
    <w:p>
      <w:pPr>
        <w:pStyle w:val="Normal"/>
        <w:spacing w:lineRule="auto" w:line="360" w:before="120" w:after="113"/>
        <w:jc w:val="both"/>
        <w:rPr>
          <w:rFonts w:ascii="Arial" w:hAnsi="Arial" w:eastAsia="Arial" w:cs="Arial"/>
          <w:color w:val="000000"/>
          <w:sz w:val="22"/>
          <w:szCs w:val="22"/>
        </w:rPr>
      </w:pPr>
      <w:r>
        <w:rPr>
          <w:rFonts w:eastAsia="Arial" w:cs="Arial" w:ascii="Arial" w:hAnsi="Arial"/>
          <w:color w:val="000000"/>
          <w:sz w:val="22"/>
          <w:szCs w:val="22"/>
        </w:rPr>
        <w:t>Respecte als nivells de resposta educativa, en la Formació Professional, és convenient centrar-se en els nivells I, II i III.</w:t>
      </w:r>
    </w:p>
    <w:p>
      <w:pPr>
        <w:pStyle w:val="Normal"/>
        <w:spacing w:lineRule="auto" w:line="360" w:before="120" w:after="113"/>
        <w:jc w:val="both"/>
        <w:rPr>
          <w:rFonts w:ascii="Arial" w:hAnsi="Arial" w:eastAsia="Arial" w:cs="Arial"/>
          <w:color w:val="000000"/>
          <w:sz w:val="22"/>
          <w:szCs w:val="22"/>
        </w:rPr>
      </w:pPr>
      <w:r>
        <w:rPr>
          <w:rFonts w:eastAsia="Arial" w:cs="Arial" w:ascii="Arial" w:hAnsi="Arial"/>
          <w:color w:val="000000"/>
          <w:sz w:val="22"/>
          <w:szCs w:val="22"/>
        </w:rPr>
        <w:t xml:space="preserve">El </w:t>
      </w:r>
      <w:r>
        <w:rPr>
          <w:rFonts w:eastAsia="Arial" w:cs="Arial" w:ascii="Arial" w:hAnsi="Arial"/>
          <w:b/>
          <w:bCs/>
          <w:color w:val="000000"/>
          <w:sz w:val="22"/>
          <w:szCs w:val="22"/>
        </w:rPr>
        <w:t>nivell I</w:t>
      </w:r>
      <w:r>
        <w:rPr>
          <w:rFonts w:eastAsia="Arial" w:cs="Arial" w:ascii="Arial" w:hAnsi="Arial"/>
          <w:color w:val="000000"/>
          <w:sz w:val="22"/>
          <w:szCs w:val="22"/>
        </w:rPr>
        <w:t xml:space="preserve"> es dirigeix a tota la comunitat educativa i relacions del centre amb l'entorn socio-comunitari. Les mesures adoptades impliquen processos de planificació i organització dels suports, i es troben plasmades en el PEC i en el Pla d'Actuació per a la millora (PAM).</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El </w:t>
      </w:r>
      <w:r>
        <w:rPr>
          <w:rFonts w:eastAsia="Arial" w:cs="Arial" w:ascii="Arial" w:hAnsi="Arial"/>
          <w:b/>
          <w:bCs/>
          <w:color w:val="000000"/>
          <w:sz w:val="22"/>
          <w:szCs w:val="22"/>
        </w:rPr>
        <w:t>nivell II</w:t>
      </w:r>
      <w:r>
        <w:rPr>
          <w:rFonts w:eastAsia="Arial" w:cs="Arial" w:ascii="Arial" w:hAnsi="Arial"/>
          <w:color w:val="000000"/>
          <w:sz w:val="22"/>
          <w:szCs w:val="22"/>
        </w:rPr>
        <w:t xml:space="preserve"> es centra en tot l'alumnat d'un grup classe. Les mesures suggerides per a aquest nivell s'utilitzen per a donar resposta a la diversitat de tot l'alumnat i prevenir dificultats d'aprenentatge, mitjançant l'elaboració d'una programació didàctica, activitats d'ampliació i reforç i actuacions transversals enfocades a aquest fi, descrites en les unitats didàctiques, Pla d'Acció Tutorial (PAT), Pla d'Igualtat i Convivència (PIC), que es troben dins del PEC, i concretats en el PAM.</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El </w:t>
      </w:r>
      <w:r>
        <w:rPr>
          <w:rFonts w:eastAsia="Arial" w:cs="Arial" w:ascii="Arial" w:hAnsi="Arial"/>
          <w:b/>
          <w:bCs/>
          <w:color w:val="000000"/>
          <w:sz w:val="22"/>
          <w:szCs w:val="22"/>
        </w:rPr>
        <w:t>nivell III</w:t>
      </w:r>
      <w:r>
        <w:rPr>
          <w:rFonts w:eastAsia="Arial" w:cs="Arial" w:ascii="Arial" w:hAnsi="Arial"/>
          <w:color w:val="000000"/>
          <w:sz w:val="22"/>
          <w:szCs w:val="22"/>
        </w:rPr>
        <w:t xml:space="preserve"> s'orienta a l'alumnat que requereix una resposta diferenciada, individualment o en grup. Algunes de les seues mesures són l'elaboració d'activitats de reforç o adaptacions d'accés al currículum simples, suport personalitzat o mesures de suport en contextos externs al centre educatiu, exposades en el Pla d'Atenció a la Diversitat (PAD), PAT i PIC, especificats en el PEC i PAM.</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El </w:t>
      </w:r>
      <w:r>
        <w:rPr>
          <w:rFonts w:eastAsia="Arial" w:cs="Arial" w:ascii="Arial" w:hAnsi="Arial"/>
          <w:b/>
          <w:bCs/>
          <w:color w:val="000000"/>
          <w:sz w:val="22"/>
          <w:szCs w:val="22"/>
        </w:rPr>
        <w:t>nivell IV</w:t>
      </w:r>
      <w:r>
        <w:rPr>
          <w:rFonts w:eastAsia="Arial" w:cs="Arial" w:ascii="Arial" w:hAnsi="Arial"/>
          <w:color w:val="000000"/>
          <w:sz w:val="22"/>
          <w:szCs w:val="22"/>
        </w:rPr>
        <w:t xml:space="preserve"> està dirigit a l'alumnat que requereix una resposta personalitzada i individualitzada. Les seues mesures es basen en adaptacions curriculars significatives mitjançant programes específics, flexibilització de l'escolarització, pròrrogues de permanència extraordinària per a l'alumnat amb NEE i determinació de la modalitat d'escolarització, descrits en el Pla d'Actuació Personalitzat (PAP).</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Aquestes adaptacions curriculars es poden categoritzar de la següent manera:</w:t>
      </w:r>
    </w:p>
    <w:p>
      <w:pPr>
        <w:pStyle w:val="ListParagraph"/>
        <w:numPr>
          <w:ilvl w:val="0"/>
          <w:numId w:val="12"/>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Adaptacions curriculars no significatives:</w:t>
      </w:r>
      <w:r>
        <w:rPr>
          <w:rFonts w:eastAsia="Arial" w:cs="Arial" w:ascii="Arial" w:hAnsi="Arial"/>
          <w:color w:val="000000"/>
          <w:sz w:val="22"/>
          <w:szCs w:val="22"/>
        </w:rPr>
        <w:t xml:space="preserve"> Es porten a terme per a un alumne o alumna en particular o per a un grup, encara que es preserven els mateixos continguts i objectius que té la resta de l'alumnat. Aquesta adaptació pot ser un canvi de metodologia o realitzar les activitats o avaluació d'una manera diferent, ja que aquestes mesures van destinades a l'alumnat amb NEE lleus.</w:t>
      </w:r>
    </w:p>
    <w:p>
      <w:pPr>
        <w:pStyle w:val="ListParagraph"/>
        <w:numPr>
          <w:ilvl w:val="0"/>
          <w:numId w:val="12"/>
        </w:numPr>
        <w:spacing w:lineRule="auto" w:line="360" w:before="0" w:after="113"/>
        <w:contextualSpacing/>
        <w:jc w:val="both"/>
        <w:rPr>
          <w:rFonts w:ascii="Arial" w:hAnsi="Arial" w:eastAsia="Arial" w:cs="Arial"/>
          <w:color w:val="000000"/>
          <w:sz w:val="22"/>
          <w:szCs w:val="22"/>
        </w:rPr>
      </w:pPr>
      <w:r>
        <w:rPr>
          <w:rFonts w:eastAsia="Arial" w:cs="Arial" w:ascii="Arial" w:hAnsi="Arial"/>
          <w:b/>
          <w:bCs/>
          <w:color w:val="000000"/>
          <w:sz w:val="22"/>
          <w:szCs w:val="22"/>
        </w:rPr>
        <w:t>Adaptacions curriculars significatives:</w:t>
      </w:r>
      <w:r>
        <w:rPr>
          <w:rFonts w:eastAsia="Arial" w:cs="Arial" w:ascii="Arial" w:hAnsi="Arial"/>
          <w:color w:val="000000"/>
          <w:sz w:val="22"/>
          <w:szCs w:val="22"/>
        </w:rPr>
        <w:t xml:space="preserve"> S'efectuen per a l'alumnat amb NEE greus i implica la modificació de competències, objectius, continguts o criteris d'avaluació, encara que aquestes adaptacions no s'apliquen en FP.</w:t>
      </w:r>
    </w:p>
    <w:p>
      <w:pPr>
        <w:pStyle w:val="Normal"/>
        <w:spacing w:lineRule="auto" w:line="360"/>
        <w:jc w:val="both"/>
        <w:rPr/>
      </w:pPr>
      <w:r>
        <w:rPr/>
      </w:r>
      <w:r>
        <w:br w:type="page"/>
      </w:r>
    </w:p>
    <w:p>
      <w:pPr>
        <w:pStyle w:val="Heading1"/>
        <w:numPr>
          <w:ilvl w:val="0"/>
          <w:numId w:val="2"/>
        </w:numPr>
        <w:spacing w:before="0" w:after="120"/>
        <w:rPr>
          <w:color w:val="ED7D31"/>
        </w:rPr>
      </w:pPr>
      <w:bookmarkStart w:id="119" w:name="__RefHeading___Toc3402_3429816007"/>
      <w:bookmarkStart w:id="120" w:name="_Toc194271434"/>
      <w:bookmarkEnd w:id="119"/>
      <w:r>
        <w:rPr>
          <w:color w:val="ED7D31"/>
        </w:rPr>
        <w:t>RECURSOS DIDÀCTICS</w:t>
      </w:r>
      <w:bookmarkEnd w:id="120"/>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Aula d’Informàtica:</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PC o portàtils connectats en xarxa. L'aula haurà de disposar d'almenys del suficient nombre d'ordinadors de sobretaula o portàtils per a que cada alumne</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lang w:val="ca-ES" w:eastAsia="es-ES_tradnl" w:bidi="ar-SA"/>
        </w:rPr>
        <w:t>Pissarra</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bookmarkStart w:id="121" w:name="OLE_LINK6"/>
      <w:r>
        <w:rPr>
          <w:rFonts w:eastAsia="Arial" w:cs="Arial" w:ascii="Arial" w:hAnsi="Arial"/>
          <w:color w:val="000000"/>
          <w:sz w:val="22"/>
          <w:szCs w:val="22"/>
        </w:rPr>
        <w:t xml:space="preserve">Materials </w:t>
      </w:r>
      <w:bookmarkEnd w:id="121"/>
      <w:r>
        <w:rPr>
          <w:rFonts w:eastAsia="Arial" w:cs="Arial" w:ascii="Arial" w:hAnsi="Arial"/>
          <w:color w:val="000000"/>
          <w:sz w:val="22"/>
          <w:szCs w:val="22"/>
        </w:rPr>
        <w:t>en la plataforma Aules.</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Compte Microsoft 365 i aplicacions de la suite.</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Aplicacions: navegadors, utilitats de gestió de discos, etc.</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Recursos maquinari: plaques base, processadors, dissipadors, memòries, discos durs, targetes gràfiques, targetes de xarxa, targetes de so, torres, monitors, portàtils, perifèrics diversos…</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Canó o pantalla per a mostrar l'eixida de l'ordinador del professor als alumnes.</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Ordinador-servidor connectat al canó.</w:t>
      </w:r>
    </w:p>
    <w:p>
      <w:pPr>
        <w:pStyle w:val="Normal"/>
        <w:numPr>
          <w:ilvl w:val="0"/>
          <w:numId w:val="3"/>
        </w:numPr>
        <w:spacing w:lineRule="auto" w:line="360" w:before="0" w:after="113"/>
        <w:ind w:hanging="207" w:start="567"/>
        <w:jc w:val="both"/>
        <w:rPr>
          <w:rFonts w:ascii="Arial" w:hAnsi="Arial" w:eastAsia="Arial" w:cs="Arial"/>
          <w:color w:val="000000"/>
          <w:sz w:val="22"/>
          <w:szCs w:val="22"/>
        </w:rPr>
      </w:pPr>
      <w:r>
        <w:rPr>
          <w:rFonts w:eastAsia="Arial" w:cs="Arial" w:ascii="Arial" w:hAnsi="Arial"/>
          <w:color w:val="000000"/>
          <w:sz w:val="22"/>
          <w:szCs w:val="22"/>
        </w:rPr>
        <w:t>Connexió a Internet.</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Bibliografia:</w:t>
      </w:r>
    </w:p>
    <w:p>
      <w:pPr>
        <w:pStyle w:val="ListParagraph"/>
        <w:numPr>
          <w:ilvl w:val="0"/>
          <w:numId w:val="6"/>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Documentació entregada pel professorat en format electrònic als alumnes en la plataforma AULES.</w:t>
      </w:r>
    </w:p>
    <w:p>
      <w:pPr>
        <w:pStyle w:val="ListParagraph"/>
        <w:numPr>
          <w:ilvl w:val="0"/>
          <w:numId w:val="6"/>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Bibliografia de referència tècnica</w:t>
      </w:r>
    </w:p>
    <w:p>
      <w:pPr>
        <w:pStyle w:val="ListParagraph"/>
        <w:numPr>
          <w:ilvl w:val="0"/>
          <w:numId w:val="6"/>
        </w:numPr>
        <w:spacing w:lineRule="auto" w:line="360" w:before="0" w:after="113"/>
        <w:contextualSpacing/>
        <w:jc w:val="both"/>
        <w:rPr>
          <w:rFonts w:ascii="Arial" w:hAnsi="Arial" w:eastAsia="Arial" w:cs="Arial"/>
          <w:color w:val="000000"/>
          <w:sz w:val="22"/>
          <w:szCs w:val="22"/>
        </w:rPr>
      </w:pPr>
      <w:r>
        <w:rPr>
          <w:rFonts w:eastAsia="Arial" w:cs="Arial" w:ascii="Arial" w:hAnsi="Arial"/>
          <w:color w:val="000000"/>
          <w:sz w:val="22"/>
          <w:szCs w:val="22"/>
        </w:rPr>
        <w:t>Adreces Web de referència tècnica i de fòrums especialitzats.</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r>
    </w:p>
    <w:p>
      <w:pPr>
        <w:pStyle w:val="Normal"/>
        <w:rPr>
          <w:rFonts w:ascii="Arial" w:hAnsi="Arial" w:eastAsia="Droid Sans"/>
          <w:b/>
          <w:bCs/>
          <w:color w:val="ED7D31"/>
          <w:sz w:val="32"/>
          <w:szCs w:val="32"/>
        </w:rPr>
      </w:pPr>
      <w:r>
        <w:rPr>
          <w:rFonts w:eastAsia="Droid Sans" w:ascii="Arial" w:hAnsi="Arial"/>
          <w:b/>
          <w:bCs/>
          <w:color w:val="ED7D31"/>
          <w:sz w:val="32"/>
          <w:szCs w:val="32"/>
        </w:rPr>
      </w:r>
      <w:r>
        <w:br w:type="page"/>
      </w:r>
    </w:p>
    <w:p>
      <w:pPr>
        <w:pStyle w:val="Heading1"/>
        <w:numPr>
          <w:ilvl w:val="0"/>
          <w:numId w:val="2"/>
        </w:numPr>
        <w:spacing w:before="0" w:after="120"/>
        <w:rPr>
          <w:color w:val="ED7D31"/>
        </w:rPr>
      </w:pPr>
      <w:bookmarkStart w:id="122" w:name="__RefHeading___Toc3404_3429816007"/>
      <w:bookmarkStart w:id="123" w:name="_Toc194271435"/>
      <w:bookmarkStart w:id="124" w:name="OLE_LINK11"/>
      <w:bookmarkEnd w:id="122"/>
      <w:r>
        <w:rPr>
          <w:color w:val="ED7D31"/>
        </w:rPr>
        <w:t>PLANIFICACIÓ DELS ESPAIS I DELS EQUIPAMENTS</w:t>
      </w:r>
      <w:bookmarkEnd w:id="123"/>
      <w:bookmarkEnd w:id="124"/>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El desenvolupament de</w:t>
      </w:r>
      <w:r>
        <w:rPr>
          <w:rFonts w:eastAsia="Arial" w:cs="Arial" w:ascii="Arial" w:hAnsi="Arial"/>
          <w:color w:val="000000"/>
          <w:sz w:val="22"/>
          <w:szCs w:val="22"/>
          <w:lang w:val="ca-ES" w:eastAsia="es-ES_tradnl" w:bidi="ar-SA"/>
        </w:rPr>
        <w:t>l mòdul ‘</w:t>
      </w:r>
      <w:r>
        <w:rPr>
          <w:rFonts w:eastAsia="Arial" w:cs="Arial" w:ascii="Arial" w:hAnsi="Arial"/>
          <w:b/>
          <w:bCs/>
          <w:color w:val="000000"/>
          <w:kern w:val="0"/>
          <w:sz w:val="22"/>
          <w:szCs w:val="22"/>
          <w:lang w:val="ca-ES" w:eastAsia="es-ES_tradnl" w:bidi="ar-SA"/>
        </w:rPr>
        <w:t xml:space="preserve">Muntatge i manteniment de sistemes i components informàtics’ </w:t>
      </w:r>
      <w:r>
        <w:rPr>
          <w:rFonts w:eastAsia="Arial" w:cs="Arial" w:ascii="Arial" w:hAnsi="Arial"/>
          <w:color w:val="000000"/>
          <w:sz w:val="22"/>
          <w:szCs w:val="22"/>
          <w:lang w:val="ca-ES" w:eastAsia="es-ES_tradnl" w:bidi="ar-SA"/>
        </w:rPr>
        <w:t>es realitzarà principalment en l’aula d’informàtica habitual del cicle, però també es contempla l’ús d’altres espais com l’aula ATECA per a activitats concretes de caràcter innovador o col·laboratiu, de l’aula de tecnologia per a pràctiques de muntatge de sistemes informàtics i el magatzem de l’institut per a tasques de logística i gestió de residus informàtics.</w:t>
      </w:r>
    </w:p>
    <w:p>
      <w:pPr>
        <w:pStyle w:val="Normal"/>
        <w:spacing w:lineRule="auto" w:line="360" w:before="0" w:after="113"/>
        <w:jc w:val="both"/>
        <w:rPr>
          <w:rFonts w:ascii="Arial" w:hAnsi="Arial" w:eastAsia="Arial" w:cs="Arial"/>
          <w:b/>
          <w:bCs/>
          <w:color w:val="000000"/>
          <w:sz w:val="22"/>
          <w:szCs w:val="22"/>
        </w:rPr>
      </w:pPr>
      <w:r>
        <w:rPr>
          <w:rFonts w:eastAsia="Arial" w:cs="Arial" w:ascii="Arial" w:hAnsi="Arial"/>
          <w:b/>
          <w:bCs/>
          <w:color w:val="000000"/>
          <w:sz w:val="22"/>
          <w:szCs w:val="22"/>
        </w:rPr>
        <w:t>Espais</w:t>
      </w:r>
    </w:p>
    <w:p>
      <w:pPr>
        <w:pStyle w:val="Normal"/>
        <w:numPr>
          <w:ilvl w:val="0"/>
          <w:numId w:val="15"/>
        </w:numPr>
        <w:spacing w:lineRule="auto" w:line="360" w:before="0" w:after="113"/>
        <w:jc w:val="both"/>
        <w:rPr>
          <w:lang w:val="ca-ES" w:eastAsia="es-ES_tradnl" w:bidi="ar-SA"/>
        </w:rPr>
      </w:pPr>
      <w:r>
        <w:rPr>
          <w:rFonts w:eastAsia="Arial" w:cs="Arial" w:ascii="Arial" w:hAnsi="Arial"/>
          <w:b/>
          <w:bCs/>
          <w:color w:val="000000"/>
          <w:sz w:val="22"/>
          <w:szCs w:val="22"/>
          <w:lang w:val="ca-ES" w:eastAsia="es-ES_tradnl" w:bidi="ar-SA"/>
        </w:rPr>
        <w:t>Aula ordinària del curs d’FPB</w:t>
      </w:r>
      <w:r>
        <w:rPr>
          <w:rFonts w:eastAsia="Arial" w:cs="Arial" w:ascii="Arial" w:hAnsi="Arial"/>
          <w:color w:val="000000"/>
          <w:sz w:val="22"/>
          <w:szCs w:val="22"/>
          <w:lang w:val="ca-ES" w:eastAsia="es-ES_tradnl" w:bidi="ar-SA"/>
        </w:rPr>
        <w:t>: espai principal on es desenvolupen les classes ordinàries. Disposa d’un ordinador per alumne, projector, pissarra digital, accés a Internet i el programari necessari per al desenvolupament web. Aquesta aula permet realitzar sessions tant teòriques com pràctiques en un entorn còmode i funcional.</w:t>
      </w:r>
    </w:p>
    <w:p>
      <w:pPr>
        <w:pStyle w:val="Normal"/>
        <w:numPr>
          <w:ilvl w:val="0"/>
          <w:numId w:val="15"/>
        </w:numPr>
        <w:spacing w:lineRule="auto" w:line="360" w:before="0" w:after="113"/>
        <w:jc w:val="both"/>
        <w:rPr>
          <w:lang w:val="ca-ES" w:eastAsia="es-ES_tradnl" w:bidi="ar-SA"/>
        </w:rPr>
      </w:pPr>
      <w:r>
        <w:rPr>
          <w:rFonts w:eastAsia="Arial" w:cs="Arial" w:ascii="Arial" w:hAnsi="Arial"/>
          <w:b/>
          <w:bCs/>
          <w:color w:val="000000"/>
          <w:sz w:val="22"/>
          <w:szCs w:val="22"/>
          <w:lang w:val="ca-ES" w:eastAsia="es-ES_tradnl" w:bidi="ar-SA"/>
        </w:rPr>
        <w:t>Aula ATECA (Aules de Tecnologia Aplicada)</w:t>
      </w:r>
      <w:r>
        <w:rPr>
          <w:rFonts w:eastAsia="Arial" w:cs="Arial" w:ascii="Arial" w:hAnsi="Arial"/>
          <w:color w:val="000000"/>
          <w:sz w:val="22"/>
          <w:szCs w:val="22"/>
          <w:lang w:val="ca-ES" w:eastAsia="es-ES_tradnl" w:bidi="ar-SA"/>
        </w:rPr>
        <w:t>: aquest espai es destinarà a activitats que fomenten la innovació, el treball en equip i el desenvolupament de projectes interdisciplinaris. L’alumnat podrà fer ús de recursos avançats com pantalles tàctils, zones de coworking, sistemes de presentació digital i, si escau, eines per al prototipat i la visualització de productes digitals.</w:t>
      </w:r>
    </w:p>
    <w:p>
      <w:pPr>
        <w:pStyle w:val="Normal"/>
        <w:numPr>
          <w:ilvl w:val="0"/>
          <w:numId w:val="15"/>
        </w:numPr>
        <w:spacing w:lineRule="auto" w:line="360" w:before="0" w:after="113"/>
        <w:jc w:val="both"/>
        <w:rPr>
          <w:rFonts w:ascii="Arial" w:hAnsi="Arial" w:eastAsia="Arial" w:cs="Arial"/>
          <w:color w:val="000000"/>
          <w:sz w:val="22"/>
          <w:szCs w:val="22"/>
          <w:lang w:val="ca-ES" w:eastAsia="es-ES_tradnl" w:bidi="ar-SA"/>
        </w:rPr>
      </w:pPr>
      <w:r>
        <w:rPr>
          <w:rFonts w:eastAsia="Arial" w:cs="Arial" w:ascii="Arial" w:hAnsi="Arial"/>
          <w:b/>
          <w:bCs/>
          <w:color w:val="000000"/>
          <w:sz w:val="22"/>
          <w:szCs w:val="22"/>
          <w:lang w:val="ca-ES" w:eastAsia="es-ES_tradnl" w:bidi="ar-SA"/>
        </w:rPr>
        <w:t>Aula taller de tecnologia:</w:t>
      </w:r>
      <w:r>
        <w:rPr>
          <w:rFonts w:eastAsia="Arial" w:cs="Arial" w:ascii="Arial" w:hAnsi="Arial"/>
          <w:color w:val="000000"/>
          <w:sz w:val="22"/>
          <w:szCs w:val="22"/>
          <w:lang w:val="ca-ES" w:eastAsia="es-ES_tradnl" w:bidi="ar-SA"/>
        </w:rPr>
        <w:t xml:space="preserve"> aquest espai s’utilitzarà per a tasques de muntatge i manteniment de sistems informatics.</w:t>
      </w:r>
    </w:p>
    <w:p>
      <w:pPr>
        <w:pStyle w:val="Normal"/>
        <w:numPr>
          <w:ilvl w:val="0"/>
          <w:numId w:val="15"/>
        </w:numPr>
        <w:spacing w:lineRule="auto" w:line="360" w:before="0" w:after="113"/>
        <w:jc w:val="both"/>
        <w:rPr>
          <w:rFonts w:ascii="Arial" w:hAnsi="Arial" w:eastAsia="Arial" w:cs="Arial"/>
          <w:color w:val="000000"/>
          <w:sz w:val="22"/>
          <w:szCs w:val="22"/>
          <w:lang w:val="ca-ES" w:eastAsia="es-ES_tradnl" w:bidi="ar-SA"/>
        </w:rPr>
      </w:pPr>
      <w:r>
        <w:rPr>
          <w:rFonts w:eastAsia="Arial" w:cs="Arial" w:ascii="Arial" w:hAnsi="Arial"/>
          <w:b/>
          <w:bCs/>
          <w:color w:val="000000"/>
          <w:sz w:val="22"/>
          <w:szCs w:val="22"/>
          <w:lang w:val="ca-ES" w:eastAsia="es-ES_tradnl" w:bidi="ar-SA"/>
        </w:rPr>
        <w:t>Magatzem de l’institut:</w:t>
      </w:r>
      <w:r>
        <w:rPr>
          <w:rFonts w:eastAsia="Arial" w:cs="Arial" w:ascii="Arial" w:hAnsi="Arial"/>
          <w:color w:val="000000"/>
          <w:sz w:val="22"/>
          <w:szCs w:val="22"/>
          <w:lang w:val="ca-ES" w:eastAsia="es-ES_tradnl" w:bidi="ar-SA"/>
        </w:rPr>
        <w:t xml:space="preserve"> Tasques d’ordenació, logística i gestió de residus. </w:t>
      </w:r>
    </w:p>
    <w:p>
      <w:pPr>
        <w:pStyle w:val="Normal"/>
        <w:spacing w:lineRule="auto" w:line="360" w:before="0" w:after="113"/>
        <w:jc w:val="both"/>
        <w:rPr>
          <w:rFonts w:ascii="Arial" w:hAnsi="Arial" w:eastAsia="Arial" w:cs="Arial"/>
          <w:b/>
          <w:bCs/>
          <w:color w:val="000000"/>
          <w:sz w:val="22"/>
          <w:szCs w:val="22"/>
        </w:rPr>
      </w:pPr>
      <w:r>
        <w:rPr>
          <w:rFonts w:eastAsia="Arial" w:cs="Arial" w:ascii="Arial" w:hAnsi="Arial"/>
          <w:b/>
          <w:bCs/>
          <w:color w:val="000000"/>
          <w:sz w:val="22"/>
          <w:szCs w:val="22"/>
        </w:rPr>
        <w:t>Equipaments</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Ordinadors amb sistema dual (Windows i Linux), connexió a Internet.</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Suite Microsoft 365 per a la gestió de documents, comunicació i col·laboració.</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Plataforma educativa Aules per al seguiment del mòdul, lliurament de tasques i comunicació amb l’alumnat.</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Projector i pissarra digital interactiva.</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Recursos de la biblioteca digital i física del c</w:t>
      </w:r>
      <w:r>
        <w:rPr>
          <w:rFonts w:eastAsia="Arial" w:cs="Arial" w:ascii="Arial" w:hAnsi="Arial"/>
          <w:color w:val="000000"/>
          <w:sz w:val="22"/>
          <w:szCs w:val="22"/>
          <w:lang w:val="ca-ES" w:eastAsia="es-ES_tradnl" w:bidi="ar-SA"/>
        </w:rPr>
        <w:t>entre.</w:t>
      </w:r>
    </w:p>
    <w:p>
      <w:pPr>
        <w:pStyle w:val="Normal"/>
        <w:numPr>
          <w:ilvl w:val="0"/>
          <w:numId w:val="16"/>
        </w:numPr>
        <w:spacing w:lineRule="auto" w:line="360" w:before="0" w:after="113"/>
        <w:jc w:val="both"/>
        <w:rPr>
          <w:rFonts w:ascii="Arial" w:hAnsi="Arial" w:eastAsia="Arial" w:cs="Arial"/>
          <w:color w:val="000000"/>
          <w:sz w:val="22"/>
          <w:szCs w:val="22"/>
          <w:lang w:val="ca-ES" w:eastAsia="es-ES_tradnl" w:bidi="ar-SA"/>
        </w:rPr>
      </w:pPr>
      <w:r>
        <w:rPr>
          <w:rFonts w:eastAsia="Arial" w:cs="Arial" w:ascii="Arial" w:hAnsi="Arial"/>
          <w:color w:val="000000"/>
          <w:sz w:val="22"/>
          <w:szCs w:val="22"/>
          <w:lang w:val="ca-ES" w:eastAsia="es-ES_tradnl" w:bidi="ar-SA"/>
        </w:rPr>
        <w:t>Eines relacionades amb el muntatge i manteniment d’ordinadors.</w:t>
      </w:r>
    </w:p>
    <w:p>
      <w:pPr>
        <w:pStyle w:val="Normal"/>
        <w:numPr>
          <w:ilvl w:val="0"/>
          <w:numId w:val="16"/>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Ordinadors cobai per a tasques de </w:t>
      </w:r>
      <w:r>
        <w:rPr>
          <w:rFonts w:eastAsia="Arial" w:cs="Arial" w:ascii="Arial" w:hAnsi="Arial"/>
          <w:color w:val="000000"/>
          <w:sz w:val="22"/>
          <w:szCs w:val="22"/>
          <w:lang w:val="ca-ES" w:eastAsia="es-ES_tradnl" w:bidi="ar-SA"/>
        </w:rPr>
        <w:t xml:space="preserve">muntatge i manteniment. </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Aquest plantejament assegura que l’alumnat dispose d’un entorn flexible, actualitzat i adaptat a les exigències del sector professional, i que fomente l’aprenentatge significatiu a través de metodologies actives i col·laboratives.</w:t>
      </w:r>
    </w:p>
    <w:p>
      <w:pPr>
        <w:pStyle w:val="Normal"/>
        <w:rPr>
          <w:rFonts w:ascii="Arial" w:hAnsi="Arial" w:eastAsia="Droid Sans"/>
          <w:b/>
          <w:bCs/>
          <w:color w:val="ED7D31"/>
          <w:sz w:val="32"/>
          <w:szCs w:val="32"/>
        </w:rPr>
      </w:pPr>
      <w:r>
        <w:rPr>
          <w:rFonts w:eastAsia="Droid Sans" w:ascii="Arial" w:hAnsi="Arial"/>
          <w:b/>
          <w:bCs/>
          <w:color w:val="ED7D31"/>
          <w:sz w:val="32"/>
          <w:szCs w:val="32"/>
        </w:rPr>
      </w:r>
      <w:r>
        <w:br w:type="page"/>
      </w:r>
    </w:p>
    <w:p>
      <w:pPr>
        <w:pStyle w:val="Heading1"/>
        <w:numPr>
          <w:ilvl w:val="0"/>
          <w:numId w:val="2"/>
        </w:numPr>
        <w:spacing w:before="0" w:after="120"/>
        <w:rPr>
          <w:color w:val="ED7D31"/>
        </w:rPr>
      </w:pPr>
      <w:bookmarkStart w:id="125" w:name="__RefHeading___Toc3406_3429816007"/>
      <w:bookmarkStart w:id="126" w:name="_Toc194271436"/>
      <w:bookmarkEnd w:id="125"/>
      <w:r>
        <w:rPr>
          <w:color w:val="ED7D31"/>
        </w:rPr>
        <w:t>ACTIVITATS COMPLEMENTÀRIES I EXTRAESCOLARS</w:t>
      </w:r>
      <w:bookmarkEnd w:id="126"/>
    </w:p>
    <w:p>
      <w:pPr>
        <w:pStyle w:val="Normal"/>
        <w:spacing w:lineRule="auto" w:line="360" w:before="0" w:after="113"/>
        <w:jc w:val="both"/>
        <w:rPr>
          <w:rFonts w:ascii="Arial" w:hAnsi="Arial" w:eastAsia="Arial" w:cs="Arial"/>
          <w:color w:val="000000"/>
          <w:sz w:val="22"/>
          <w:szCs w:val="22"/>
          <w:lang w:val="ca-ES"/>
        </w:rPr>
      </w:pPr>
      <w:r>
        <w:rPr>
          <w:rFonts w:eastAsia="Arial" w:cs="Arial" w:ascii="Arial" w:hAnsi="Arial"/>
          <w:color w:val="000000"/>
          <w:sz w:val="22"/>
          <w:szCs w:val="22"/>
          <w:lang w:val="ca-ES"/>
        </w:rPr>
        <w:t>Amb l'objectiu d'enriquir l'experiència formativa, es proposen les següents activitats complementàries:</w:t>
      </w:r>
    </w:p>
    <w:p>
      <w:pPr>
        <w:pStyle w:val="Normal"/>
        <w:numPr>
          <w:ilvl w:val="0"/>
          <w:numId w:val="14"/>
        </w:numPr>
        <w:spacing w:lineRule="auto" w:line="360" w:before="0" w:after="113"/>
        <w:jc w:val="both"/>
        <w:rPr>
          <w:rFonts w:ascii="Arial" w:hAnsi="Arial" w:eastAsia="Arial" w:cs="Arial"/>
          <w:color w:val="000000"/>
          <w:sz w:val="22"/>
          <w:szCs w:val="22"/>
          <w:lang w:val="ca-ES"/>
        </w:rPr>
      </w:pPr>
      <w:r>
        <w:rPr>
          <w:rFonts w:eastAsia="Arial" w:cs="Arial" w:ascii="Arial" w:hAnsi="Arial"/>
          <w:color w:val="000000"/>
          <w:sz w:val="22"/>
          <w:szCs w:val="22"/>
          <w:lang w:val="ca-ES"/>
        </w:rPr>
        <w:t xml:space="preserve">Participació en activitats i projectes del centre relacionades amb temàtiques d’interes per a l’alumnat del cicle. </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r>
    </w:p>
    <w:p>
      <w:pPr>
        <w:pStyle w:val="Heading1"/>
        <w:numPr>
          <w:ilvl w:val="0"/>
          <w:numId w:val="2"/>
        </w:numPr>
        <w:spacing w:before="0" w:after="120"/>
        <w:rPr>
          <w:color w:val="ED7D31"/>
        </w:rPr>
      </w:pPr>
      <w:bookmarkStart w:id="127" w:name="__RefHeading___Toc3408_3429816007"/>
      <w:bookmarkStart w:id="128" w:name="_Toc194271437"/>
      <w:bookmarkEnd w:id="127"/>
      <w:r>
        <w:rPr>
          <w:color w:val="ED7D31"/>
        </w:rPr>
        <w:t>AVALUACIÓ DE LA PRÁCTICA DOCENT</w:t>
      </w:r>
      <w:bookmarkEnd w:id="128"/>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 xml:space="preserve">L’avaluació de la pràctica docent en el mòdul </w:t>
      </w:r>
      <w:r>
        <w:rPr>
          <w:rFonts w:eastAsia="Arial" w:cs="Arial" w:ascii="Arial" w:hAnsi="Arial"/>
          <w:color w:val="000000"/>
          <w:sz w:val="22"/>
          <w:szCs w:val="22"/>
          <w:lang w:val="ca-ES" w:eastAsia="es-ES_tradnl" w:bidi="ar-SA"/>
        </w:rPr>
        <w:t>‘</w:t>
      </w:r>
      <w:r>
        <w:rPr>
          <w:rFonts w:eastAsia="Arial" w:cs="Arial" w:ascii="Arial" w:hAnsi="Arial"/>
          <w:b/>
          <w:bCs/>
          <w:color w:val="000000"/>
          <w:kern w:val="0"/>
          <w:sz w:val="22"/>
          <w:szCs w:val="22"/>
          <w:lang w:val="ca-ES" w:eastAsia="es-ES_tradnl" w:bidi="ar-SA"/>
        </w:rPr>
        <w:t xml:space="preserve">Muntatge i manteniment de sistemes i components informàtics’ </w:t>
      </w:r>
      <w:r>
        <w:rPr>
          <w:rFonts w:eastAsia="Arial" w:cs="Arial" w:ascii="Arial" w:hAnsi="Arial"/>
          <w:color w:val="000000"/>
          <w:sz w:val="22"/>
          <w:szCs w:val="22"/>
        </w:rPr>
        <w:t>té com a finalitat principal la millora contínua de la qualitat educativa i l’adaptació constant del procés d’ensenyament-aprenentatge a les necessitats reals de l’alumnat i del sector professional.</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Aquesta avaluació es durà a terme de manera sistemàtica i planificada, i es fonamenta en els principis d’autoreflexió, participació de la comunitat educativa i revisió crítica de les metodologies utilitzades.</w:t>
      </w:r>
    </w:p>
    <w:p>
      <w:pPr>
        <w:pStyle w:val="Normal"/>
        <w:spacing w:lineRule="auto" w:line="360" w:before="0" w:after="113"/>
        <w:jc w:val="both"/>
        <w:rPr>
          <w:rFonts w:ascii="Arial" w:hAnsi="Arial" w:eastAsia="Arial" w:cs="Arial"/>
          <w:b/>
          <w:bCs/>
          <w:color w:val="000000"/>
          <w:sz w:val="22"/>
          <w:szCs w:val="22"/>
        </w:rPr>
      </w:pPr>
      <w:r>
        <w:rPr>
          <w:rFonts w:eastAsia="Arial" w:cs="Arial" w:ascii="Arial" w:hAnsi="Arial"/>
          <w:b/>
          <w:bCs/>
          <w:color w:val="000000"/>
          <w:sz w:val="22"/>
          <w:szCs w:val="22"/>
        </w:rPr>
        <w:t>Eixos d’avaluació</w:t>
      </w:r>
    </w:p>
    <w:p>
      <w:pPr>
        <w:pStyle w:val="Normal"/>
        <w:numPr>
          <w:ilvl w:val="0"/>
          <w:numId w:val="17"/>
        </w:numPr>
        <w:spacing w:lineRule="auto" w:line="360" w:before="0" w:after="113"/>
        <w:jc w:val="both"/>
        <w:rPr>
          <w:rFonts w:ascii="Arial" w:hAnsi="Arial" w:eastAsia="Arial" w:cs="Arial"/>
          <w:color w:val="000000"/>
          <w:sz w:val="22"/>
          <w:szCs w:val="22"/>
        </w:rPr>
      </w:pPr>
      <w:r>
        <w:rPr>
          <w:rFonts w:eastAsia="Arial" w:cs="Arial" w:ascii="Arial" w:hAnsi="Arial"/>
          <w:b/>
          <w:bCs/>
          <w:color w:val="000000"/>
          <w:sz w:val="22"/>
          <w:szCs w:val="22"/>
        </w:rPr>
        <w:t>Autoavaluació del docent</w:t>
      </w:r>
      <w:r>
        <w:rPr>
          <w:rFonts w:eastAsia="Arial" w:cs="Arial" w:ascii="Arial" w:hAnsi="Arial"/>
          <w:color w:val="000000"/>
          <w:sz w:val="22"/>
          <w:szCs w:val="22"/>
        </w:rPr>
        <w:t>: s’analitzarà l’eficàcia de les activitats planificades, la gestió del temps, la motivació generada en l’alumnat i la idoneïtat de les metodologies utilitzades. Es tindrà en compte el grau d’assoliment dels resultats d’aprenentatge i la resposta dels estudiants a les activitats proposades.</w:t>
      </w:r>
    </w:p>
    <w:p>
      <w:pPr>
        <w:pStyle w:val="Normal"/>
        <w:numPr>
          <w:ilvl w:val="0"/>
          <w:numId w:val="17"/>
        </w:numPr>
        <w:spacing w:lineRule="auto" w:line="360" w:before="0" w:after="113"/>
        <w:jc w:val="both"/>
        <w:rPr>
          <w:rFonts w:ascii="Arial" w:hAnsi="Arial" w:eastAsia="Arial" w:cs="Arial"/>
          <w:color w:val="000000"/>
          <w:sz w:val="22"/>
          <w:szCs w:val="22"/>
        </w:rPr>
      </w:pPr>
      <w:r>
        <w:rPr>
          <w:rFonts w:eastAsia="Arial" w:cs="Arial" w:ascii="Arial" w:hAnsi="Arial"/>
          <w:b/>
          <w:bCs/>
          <w:color w:val="000000"/>
          <w:sz w:val="22"/>
          <w:szCs w:val="22"/>
        </w:rPr>
        <w:t>Anàlisi dels resultats acadèmics</w:t>
      </w:r>
      <w:r>
        <w:rPr>
          <w:rFonts w:eastAsia="Arial" w:cs="Arial" w:ascii="Arial" w:hAnsi="Arial"/>
          <w:color w:val="000000"/>
          <w:sz w:val="22"/>
          <w:szCs w:val="22"/>
        </w:rPr>
        <w:t>: revisió dels informes de seguiment de l’alumnat, percentatge de superació dels RA i evolució de les qualificacions. Aquesta anàlisi ajudarà a identificar punts forts i àrees de millora en la seqüenciació de continguts o en l’enfocament metodològic.</w:t>
      </w:r>
    </w:p>
    <w:p>
      <w:pPr>
        <w:pStyle w:val="Normal"/>
        <w:numPr>
          <w:ilvl w:val="0"/>
          <w:numId w:val="17"/>
        </w:numPr>
        <w:spacing w:lineRule="auto" w:line="360" w:before="0" w:after="113"/>
        <w:jc w:val="both"/>
        <w:rPr>
          <w:rFonts w:ascii="Arial" w:hAnsi="Arial" w:eastAsia="Arial" w:cs="Arial"/>
          <w:color w:val="000000"/>
          <w:sz w:val="22"/>
          <w:szCs w:val="22"/>
        </w:rPr>
      </w:pPr>
      <w:r>
        <w:rPr>
          <w:rFonts w:eastAsia="Arial" w:cs="Arial" w:ascii="Arial" w:hAnsi="Arial"/>
          <w:b/>
          <w:bCs/>
          <w:color w:val="000000"/>
          <w:sz w:val="22"/>
          <w:szCs w:val="22"/>
        </w:rPr>
        <w:t>Valoració de l’alumnat</w:t>
      </w:r>
      <w:r>
        <w:rPr>
          <w:rFonts w:eastAsia="Arial" w:cs="Arial" w:ascii="Arial" w:hAnsi="Arial"/>
          <w:color w:val="000000"/>
          <w:sz w:val="22"/>
          <w:szCs w:val="22"/>
        </w:rPr>
        <w:t>: es recollirà l’opinió de l’alumnat mitjançant enquestes de satisfacció anònimes i altres instruments de feedback. S’analitzarà la seua percepció sobre la claredat de les explicacions, utilitat dels materials, dificultat de les activitats, aplicació pràctica del contingut i el nivell de suport rebut.</w:t>
      </w:r>
    </w:p>
    <w:p>
      <w:pPr>
        <w:pStyle w:val="Normal"/>
        <w:numPr>
          <w:ilvl w:val="0"/>
          <w:numId w:val="17"/>
        </w:numPr>
        <w:spacing w:lineRule="auto" w:line="360" w:before="0" w:after="113"/>
        <w:jc w:val="both"/>
        <w:rPr>
          <w:rFonts w:ascii="Arial" w:hAnsi="Arial" w:eastAsia="Arial" w:cs="Arial"/>
          <w:color w:val="000000"/>
          <w:sz w:val="22"/>
          <w:szCs w:val="22"/>
        </w:rPr>
      </w:pPr>
      <w:r>
        <w:rPr>
          <w:rFonts w:eastAsia="Arial" w:cs="Arial" w:ascii="Arial" w:hAnsi="Arial"/>
          <w:b/>
          <w:bCs/>
          <w:color w:val="000000"/>
          <w:sz w:val="22"/>
          <w:szCs w:val="22"/>
        </w:rPr>
        <w:t>Observació col·legiada i coordinació docent</w:t>
      </w:r>
      <w:r>
        <w:rPr>
          <w:rFonts w:eastAsia="Arial" w:cs="Arial" w:ascii="Arial" w:hAnsi="Arial"/>
          <w:color w:val="000000"/>
          <w:sz w:val="22"/>
          <w:szCs w:val="22"/>
        </w:rPr>
        <w:t>: es fomentarà l’intercanvi de pràctiques dins del departament d’informàtica. Mitjançant reunions de coordinació es compartiran recursos, s’avaluaran estratègies metodològiques i s’analitzaran els resultats de l’alumnat de forma conjunta.</w:t>
      </w:r>
    </w:p>
    <w:p>
      <w:pPr>
        <w:pStyle w:val="Normal"/>
        <w:numPr>
          <w:ilvl w:val="0"/>
          <w:numId w:val="17"/>
        </w:numPr>
        <w:spacing w:lineRule="auto" w:line="360" w:before="0" w:after="113"/>
        <w:jc w:val="both"/>
        <w:rPr>
          <w:rFonts w:ascii="Arial" w:hAnsi="Arial" w:eastAsia="Arial" w:cs="Arial"/>
          <w:color w:val="000000"/>
          <w:sz w:val="22"/>
          <w:szCs w:val="22"/>
        </w:rPr>
      </w:pPr>
      <w:r>
        <w:rPr>
          <w:rFonts w:eastAsia="Arial" w:cs="Arial" w:ascii="Arial" w:hAnsi="Arial"/>
          <w:b/>
          <w:bCs/>
          <w:color w:val="000000"/>
          <w:sz w:val="22"/>
          <w:szCs w:val="22"/>
        </w:rPr>
        <w:t>Coherència amb les competències professionals</w:t>
      </w:r>
      <w:r>
        <w:rPr>
          <w:rFonts w:eastAsia="Arial" w:cs="Arial" w:ascii="Arial" w:hAnsi="Arial"/>
          <w:color w:val="000000"/>
          <w:sz w:val="22"/>
          <w:szCs w:val="22"/>
        </w:rPr>
        <w:t>: es revisarà periòdicament la connexió entre les activitats del mòdul i les competències definides en el currículum del cicle, així com la seua aplicabilitat en contextos reals de treball.</w:t>
      </w:r>
    </w:p>
    <w:p>
      <w:pPr>
        <w:pStyle w:val="Normal"/>
        <w:spacing w:lineRule="auto" w:line="360" w:before="0" w:after="113"/>
        <w:jc w:val="both"/>
        <w:rPr>
          <w:rFonts w:ascii="Arial" w:hAnsi="Arial" w:eastAsia="Arial" w:cs="Arial"/>
          <w:b/>
          <w:bCs/>
          <w:color w:val="000000"/>
          <w:sz w:val="22"/>
          <w:szCs w:val="22"/>
        </w:rPr>
      </w:pPr>
      <w:r>
        <w:rPr>
          <w:rFonts w:eastAsia="Arial" w:cs="Arial" w:ascii="Arial" w:hAnsi="Arial"/>
          <w:b/>
          <w:bCs/>
          <w:color w:val="000000"/>
          <w:sz w:val="22"/>
          <w:szCs w:val="22"/>
        </w:rPr>
        <w:t>Accions de millora</w:t>
      </w:r>
    </w:p>
    <w:p>
      <w:pPr>
        <w:pStyle w:val="Normal"/>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Com a resultat de l’avaluació, es plantejaran ajustos per al curs següent que poden incloure:</w:t>
      </w:r>
    </w:p>
    <w:p>
      <w:pPr>
        <w:pStyle w:val="Normal"/>
        <w:numPr>
          <w:ilvl w:val="0"/>
          <w:numId w:val="18"/>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Reestructuració o reordenació de les unitats de programació.</w:t>
      </w:r>
    </w:p>
    <w:p>
      <w:pPr>
        <w:pStyle w:val="Normal"/>
        <w:numPr>
          <w:ilvl w:val="0"/>
          <w:numId w:val="18"/>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Incorporació de noves eines, metodologies o recursos TIC.</w:t>
      </w:r>
    </w:p>
    <w:p>
      <w:pPr>
        <w:pStyle w:val="Normal"/>
        <w:numPr>
          <w:ilvl w:val="0"/>
          <w:numId w:val="18"/>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Disseny de pràctiques més contextualitzades o projectes reals.</w:t>
      </w:r>
    </w:p>
    <w:p>
      <w:pPr>
        <w:pStyle w:val="Normal"/>
        <w:numPr>
          <w:ilvl w:val="0"/>
          <w:numId w:val="18"/>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Increment de les activitats col·laboratives o interdisciplinàries.</w:t>
      </w:r>
    </w:p>
    <w:p>
      <w:pPr>
        <w:pStyle w:val="Normal"/>
        <w:numPr>
          <w:ilvl w:val="0"/>
          <w:numId w:val="18"/>
        </w:numPr>
        <w:spacing w:lineRule="auto" w:line="360" w:before="0" w:after="113"/>
        <w:jc w:val="both"/>
        <w:rPr>
          <w:rFonts w:ascii="Arial" w:hAnsi="Arial" w:eastAsia="Arial" w:cs="Arial"/>
          <w:color w:val="000000"/>
          <w:sz w:val="22"/>
          <w:szCs w:val="22"/>
        </w:rPr>
      </w:pPr>
      <w:r>
        <w:rPr>
          <w:rFonts w:eastAsia="Arial" w:cs="Arial" w:ascii="Arial" w:hAnsi="Arial"/>
          <w:color w:val="000000"/>
          <w:sz w:val="22"/>
          <w:szCs w:val="22"/>
        </w:rPr>
        <w:t>Revisió dels criteris de qualificació o dels instruments d’avaluació emprats.</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134" w:right="1134" w:gutter="0" w:header="142" w:top="1135"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Symbol">
    <w:charset w:val="00" w:characterSet="windows-1252"/>
    <w:family w:val="roman"/>
    <w:pitch w:val="variable"/>
  </w:font>
  <w:font w:name="OpenSymbol">
    <w:altName w:val="Arial Unicode MS"/>
    <w:charset w:val="00" w:characterSet="windows-1252"/>
    <w:family w:val="roman"/>
    <w:pitch w:val="variable"/>
  </w:font>
  <w:font w:name="DejaVu Sans">
    <w:charset w:val="00" w:characterSet="windows-1252"/>
    <w:family w:val="swiss"/>
    <w:pitch w:val="variable"/>
  </w:font>
  <w:font w:name="Liberation Sans">
    <w:altName w:val="Arial"/>
    <w:charset w:val="00" w:characterSet="windows-1252"/>
    <w:family w:val="swiss"/>
    <w:pitch w:val="variable"/>
  </w:font>
  <w:font w:name="Calibri">
    <w:charset w:val="00" w:characterSet="windows-1252"/>
    <w:family w:val="swiss"/>
    <w:pitch w:val="variable"/>
  </w:font>
  <w:font w:name="Georgia">
    <w:charset w:val="00" w:characterSet="windows-1252"/>
    <w:family w:val="roman"/>
    <w:pitch w:val="variable"/>
  </w:font>
  <w:font w:name="Century Gothic">
    <w:charset w:val="00" w:characterSet="windows-1252"/>
    <w:family w:val="swiss"/>
    <w:pitch w:val="variable"/>
  </w:font>
  <w:font w:name="Wingdings">
    <w:charset w:val="02"/>
    <w:family w:val="auto"/>
    <w:pitch w:val="variable"/>
  </w:font>
  <w:font w:name="Courier New">
    <w:charset w:val="01"/>
    <w:family w:val="modern"/>
    <w:pitch w:val="fixed"/>
  </w:font>
  <w:font w:name="Noto Sans Symbols">
    <w:charset w:val="01"/>
    <w:family w:val="swiss"/>
    <w:pitch w:val="default"/>
  </w:font>
  <w:font w:name="Wingdings 2">
    <w:charset w:val="02"/>
    <w:family w:val="roman"/>
    <w:pitch w:val="variable"/>
  </w:font>
  <w:font w:name="MT Extra">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804134700"/>
    </w:sdtPr>
    <w:sdtContent>
      <w:p>
        <w:pPr>
          <w:pStyle w:val="Footer"/>
          <w:jc w:val="end"/>
          <w:rPr>
            <w:rFonts w:ascii="Century Gothic" w:hAnsi="Century Gothic"/>
            <w:color w:themeColor="background2" w:themeShade="bf" w:val="AEAAAA"/>
            <w:sz w:val="18"/>
            <w:szCs w:val="16"/>
          </w:rPr>
        </w:pPr>
        <w:r>
          <w:rPr>
            <w:rFonts w:ascii="Century Gothic" w:hAnsi="Century Gothic"/>
            <w:color w:themeColor="background2" w:themeShade="bf" w:val="AEAAAA"/>
            <w:sz w:val="18"/>
            <w:szCs w:val="16"/>
          </w:rPr>
          <w:t xml:space="preserve">pàgina  </w:t>
        </w:r>
        <w:r>
          <w:rPr>
            <w:rFonts w:ascii="Century Gothic" w:hAnsi="Century Gothic"/>
            <w:b/>
            <w:bCs/>
            <w:color w:themeColor="background2" w:themeShade="bf" w:val="AEAAAA"/>
            <w:sz w:val="18"/>
            <w:szCs w:val="16"/>
          </w:rPr>
          <w:fldChar w:fldCharType="begin"/>
        </w:r>
        <w:r>
          <w:rPr>
            <w:sz w:val="18"/>
            <w:b/>
            <w:szCs w:val="16"/>
            <w:bCs/>
            <w:rFonts w:ascii="Century Gothic" w:hAnsi="Century Gothic"/>
            <w:color w:themeColor="background2" w:themeShade="bf" w:val="AEAAAA"/>
          </w:rPr>
          <w:instrText xml:space="preserve"> PAGE </w:instrText>
        </w:r>
        <w:r>
          <w:rPr>
            <w:sz w:val="18"/>
            <w:b/>
            <w:szCs w:val="16"/>
            <w:bCs/>
            <w:rFonts w:ascii="Century Gothic" w:hAnsi="Century Gothic"/>
            <w:color w:themeColor="background2" w:themeShade="bf" w:val="AEAAAA"/>
          </w:rPr>
          <w:fldChar w:fldCharType="separate"/>
        </w:r>
        <w:r>
          <w:rPr>
            <w:sz w:val="18"/>
            <w:b/>
            <w:szCs w:val="16"/>
            <w:bCs/>
            <w:rFonts w:ascii="Century Gothic" w:hAnsi="Century Gothic"/>
            <w:color w:themeColor="background2" w:themeShade="bf" w:val="AEAAAA"/>
          </w:rPr>
          <w:t>27</w:t>
        </w:r>
        <w:r>
          <w:rPr>
            <w:sz w:val="18"/>
            <w:b/>
            <w:szCs w:val="16"/>
            <w:bCs/>
            <w:rFonts w:ascii="Century Gothic" w:hAnsi="Century Gothic"/>
            <w:color w:themeColor="background2" w:themeShade="bf" w:val="AEAAAA"/>
          </w:rPr>
          <w:fldChar w:fldCharType="end"/>
        </w:r>
        <w:r>
          <w:rPr>
            <w:rFonts w:ascii="Century Gothic" w:hAnsi="Century Gothic"/>
            <w:color w:themeColor="background2" w:themeShade="bf" w:val="AEAAAA"/>
            <w:sz w:val="18"/>
            <w:szCs w:val="16"/>
          </w:rPr>
          <w:t xml:space="preserve">  | </w:t>
        </w:r>
        <w:r>
          <w:rPr>
            <w:rFonts w:ascii="Century Gothic" w:hAnsi="Century Gothic"/>
            <w:color w:themeColor="background2" w:themeShade="bf" w:val="AEAAAA"/>
            <w:sz w:val="18"/>
            <w:szCs w:val="16"/>
          </w:rPr>
          <w:fldChar w:fldCharType="begin"/>
        </w:r>
        <w:r>
          <w:rPr>
            <w:sz w:val="18"/>
            <w:szCs w:val="16"/>
            <w:rFonts w:ascii="Century Gothic" w:hAnsi="Century Gothic"/>
            <w:color w:themeColor="background2" w:themeShade="bf" w:val="AEAAAA"/>
          </w:rPr>
          <w:instrText xml:space="preserve"> NUMPAGES </w:instrText>
        </w:r>
        <w:r>
          <w:rPr>
            <w:sz w:val="18"/>
            <w:szCs w:val="16"/>
            <w:rFonts w:ascii="Century Gothic" w:hAnsi="Century Gothic"/>
            <w:color w:themeColor="background2" w:themeShade="bf" w:val="AEAAAA"/>
          </w:rPr>
          <w:fldChar w:fldCharType="separate"/>
        </w:r>
        <w:r>
          <w:rPr>
            <w:sz w:val="18"/>
            <w:szCs w:val="16"/>
            <w:rFonts w:ascii="Century Gothic" w:hAnsi="Century Gothic"/>
            <w:color w:themeColor="background2" w:themeShade="bf" w:val="AEAAAA"/>
          </w:rPr>
          <w:t>29</w:t>
        </w:r>
        <w:r>
          <w:rPr>
            <w:sz w:val="18"/>
            <w:szCs w:val="16"/>
            <w:rFonts w:ascii="Century Gothic" w:hAnsi="Century Gothic"/>
            <w:color w:themeColor="background2" w:themeShade="bf" w:val="AEAAAA"/>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Gallery w:val="Page Numbers (Top of Page)"/>
        <w:docPartUnique w:val="true"/>
      </w:docPartObj>
      <w:id w:val="804134700"/>
    </w:sdtPr>
    <w:sdtContent>
      <w:p>
        <w:pPr>
          <w:pStyle w:val="Footer"/>
          <w:jc w:val="end"/>
          <w:rPr>
            <w:rFonts w:ascii="Century Gothic" w:hAnsi="Century Gothic"/>
            <w:color w:themeColor="background2" w:themeShade="bf" w:val="AEAAAA"/>
            <w:sz w:val="18"/>
            <w:szCs w:val="16"/>
          </w:rPr>
        </w:pPr>
        <w:r>
          <w:rPr>
            <w:rFonts w:ascii="Century Gothic" w:hAnsi="Century Gothic"/>
            <w:color w:themeColor="background2" w:themeShade="bf" w:val="AEAAAA"/>
            <w:sz w:val="18"/>
            <w:szCs w:val="16"/>
          </w:rPr>
          <w:t xml:space="preserve">pàgina  </w:t>
        </w:r>
        <w:r>
          <w:rPr>
            <w:rFonts w:ascii="Century Gothic" w:hAnsi="Century Gothic"/>
            <w:b/>
            <w:bCs/>
            <w:color w:themeColor="background2" w:themeShade="bf" w:val="AEAAAA"/>
            <w:sz w:val="18"/>
            <w:szCs w:val="16"/>
          </w:rPr>
          <w:fldChar w:fldCharType="begin"/>
        </w:r>
        <w:r>
          <w:rPr>
            <w:sz w:val="18"/>
            <w:b/>
            <w:szCs w:val="16"/>
            <w:bCs/>
            <w:rFonts w:ascii="Century Gothic" w:hAnsi="Century Gothic"/>
            <w:color w:themeColor="background2" w:themeShade="bf" w:val="AEAAAA"/>
          </w:rPr>
          <w:instrText xml:space="preserve"> PAGE </w:instrText>
        </w:r>
        <w:r>
          <w:rPr>
            <w:sz w:val="18"/>
            <w:b/>
            <w:szCs w:val="16"/>
            <w:bCs/>
            <w:rFonts w:ascii="Century Gothic" w:hAnsi="Century Gothic"/>
            <w:color w:themeColor="background2" w:themeShade="bf" w:val="AEAAAA"/>
          </w:rPr>
          <w:fldChar w:fldCharType="separate"/>
        </w:r>
        <w:r>
          <w:rPr>
            <w:sz w:val="18"/>
            <w:b/>
            <w:szCs w:val="16"/>
            <w:bCs/>
            <w:rFonts w:ascii="Century Gothic" w:hAnsi="Century Gothic"/>
            <w:color w:themeColor="background2" w:themeShade="bf" w:val="AEAAAA"/>
          </w:rPr>
          <w:t>27</w:t>
        </w:r>
        <w:r>
          <w:rPr>
            <w:sz w:val="18"/>
            <w:b/>
            <w:szCs w:val="16"/>
            <w:bCs/>
            <w:rFonts w:ascii="Century Gothic" w:hAnsi="Century Gothic"/>
            <w:color w:themeColor="background2" w:themeShade="bf" w:val="AEAAAA"/>
          </w:rPr>
          <w:fldChar w:fldCharType="end"/>
        </w:r>
        <w:r>
          <w:rPr>
            <w:rFonts w:ascii="Century Gothic" w:hAnsi="Century Gothic"/>
            <w:color w:themeColor="background2" w:themeShade="bf" w:val="AEAAAA"/>
            <w:sz w:val="18"/>
            <w:szCs w:val="16"/>
          </w:rPr>
          <w:t xml:space="preserve">  | </w:t>
        </w:r>
        <w:r>
          <w:rPr>
            <w:rFonts w:ascii="Century Gothic" w:hAnsi="Century Gothic"/>
            <w:color w:themeColor="background2" w:themeShade="bf" w:val="AEAAAA"/>
            <w:sz w:val="18"/>
            <w:szCs w:val="16"/>
          </w:rPr>
          <w:fldChar w:fldCharType="begin"/>
        </w:r>
        <w:r>
          <w:rPr>
            <w:sz w:val="18"/>
            <w:szCs w:val="16"/>
            <w:rFonts w:ascii="Century Gothic" w:hAnsi="Century Gothic"/>
            <w:color w:themeColor="background2" w:themeShade="bf" w:val="AEAAAA"/>
          </w:rPr>
          <w:instrText xml:space="preserve"> NUMPAGES </w:instrText>
        </w:r>
        <w:r>
          <w:rPr>
            <w:sz w:val="18"/>
            <w:szCs w:val="16"/>
            <w:rFonts w:ascii="Century Gothic" w:hAnsi="Century Gothic"/>
            <w:color w:themeColor="background2" w:themeShade="bf" w:val="AEAAAA"/>
          </w:rPr>
          <w:fldChar w:fldCharType="separate"/>
        </w:r>
        <w:r>
          <w:rPr>
            <w:sz w:val="18"/>
            <w:szCs w:val="16"/>
            <w:rFonts w:ascii="Century Gothic" w:hAnsi="Century Gothic"/>
            <w:color w:themeColor="background2" w:themeShade="bf" w:val="AEAAAA"/>
          </w:rPr>
          <w:t>29</w:t>
        </w:r>
        <w:r>
          <w:rPr>
            <w:sz w:val="18"/>
            <w:szCs w:val="16"/>
            <w:rFonts w:ascii="Century Gothic" w:hAnsi="Century Gothic"/>
            <w:color w:themeColor="background2" w:themeShade="bf" w:val="AEAAA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0"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210"/>
      <w:gridCol w:w="3210"/>
      <w:gridCol w:w="3210"/>
    </w:tblGrid>
    <w:tr>
      <w:trPr>
        <w:trHeight w:val="300" w:hRule="atLeast"/>
      </w:trPr>
      <w:tc>
        <w:tcPr>
          <w:tcW w:w="3210" w:type="dxa"/>
          <w:tcBorders/>
        </w:tcPr>
        <w:p>
          <w:pPr>
            <w:pStyle w:val="Header"/>
            <w:spacing w:before="240" w:after="120"/>
            <w:ind w:start="-115"/>
            <w:rPr/>
          </w:pPr>
          <w:r>
            <w:rPr/>
          </w:r>
        </w:p>
      </w:tc>
      <w:tc>
        <w:tcPr>
          <w:tcW w:w="3210" w:type="dxa"/>
          <w:tcBorders/>
        </w:tcPr>
        <w:p>
          <w:pPr>
            <w:pStyle w:val="Header"/>
            <w:spacing w:before="240" w:after="120"/>
            <w:jc w:val="center"/>
            <w:rPr/>
          </w:pPr>
          <w:r>
            <w:rPr/>
          </w:r>
        </w:p>
      </w:tc>
      <w:tc>
        <w:tcPr>
          <w:tcW w:w="3210" w:type="dxa"/>
          <w:tcBorders/>
        </w:tcPr>
        <w:p>
          <w:pPr>
            <w:pStyle w:val="Header"/>
            <w:spacing w:before="240" w:after="120"/>
            <w:ind w:end="-115"/>
            <w:jc w:val="end"/>
            <w:rPr/>
          </w:pPr>
          <w:r>
            <w:rPr/>
          </w:r>
        </w:p>
      </w:tc>
    </w:tr>
  </w:tbl>
  <w:p>
    <w:pPr>
      <w:pStyle w:val="Header"/>
      <w:keepNext w:val="true"/>
      <w:spacing w:before="24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0" w:type="dxa"/>
      <w:jc w:val="start"/>
      <w:tblInd w:w="0" w:type="dxa"/>
      <w:tblLayout w:type="fixed"/>
      <w:tblCellMar>
        <w:top w:w="0" w:type="dxa"/>
        <w:start w:w="108" w:type="dxa"/>
        <w:bottom w:w="0" w:type="dxa"/>
        <w:end w:w="108" w:type="dxa"/>
      </w:tblCellMar>
      <w:tblLook w:firstRow="1" w:noVBand="1" w:lastRow="0" w:firstColumn="1" w:lastColumn="0" w:noHBand="1" w:val="06a0"/>
    </w:tblPr>
    <w:tblGrid>
      <w:gridCol w:w="3210"/>
      <w:gridCol w:w="3210"/>
      <w:gridCol w:w="3210"/>
    </w:tblGrid>
    <w:tr>
      <w:trPr>
        <w:trHeight w:val="300" w:hRule="atLeast"/>
      </w:trPr>
      <w:tc>
        <w:tcPr>
          <w:tcW w:w="3210" w:type="dxa"/>
          <w:tcBorders/>
        </w:tcPr>
        <w:p>
          <w:pPr>
            <w:pStyle w:val="Header"/>
            <w:spacing w:before="240" w:after="120"/>
            <w:ind w:start="-115"/>
            <w:rPr/>
          </w:pPr>
          <w:r>
            <w:rPr/>
          </w:r>
        </w:p>
      </w:tc>
      <w:tc>
        <w:tcPr>
          <w:tcW w:w="3210" w:type="dxa"/>
          <w:tcBorders/>
        </w:tcPr>
        <w:p>
          <w:pPr>
            <w:pStyle w:val="Header"/>
            <w:spacing w:before="240" w:after="120"/>
            <w:jc w:val="center"/>
            <w:rPr/>
          </w:pPr>
          <w:r>
            <w:rPr/>
          </w:r>
        </w:p>
      </w:tc>
      <w:tc>
        <w:tcPr>
          <w:tcW w:w="3210" w:type="dxa"/>
          <w:tcBorders/>
        </w:tcPr>
        <w:p>
          <w:pPr>
            <w:pStyle w:val="Header"/>
            <w:spacing w:before="240" w:after="120"/>
            <w:ind w:end="-115"/>
            <w:jc w:val="end"/>
            <w:rPr/>
          </w:pPr>
          <w:r>
            <w:rPr/>
          </w:r>
        </w:p>
      </w:tc>
    </w:tr>
  </w:tbl>
  <w:p>
    <w:pPr>
      <w:pStyle w:val="Header"/>
      <w:keepNext w:val="true"/>
      <w:spacing w:before="24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24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left" w:pos="0" w:leader="none"/>
      </w:tabs>
      <w:spacing w:before="0" w:after="0"/>
      <w:ind w:start="-113"/>
      <w:rPr>
        <w:rFonts w:ascii="Century Gothic" w:hAnsi="Century Gothic"/>
        <w:color w:themeColor="background2" w:themeShade="bf" w:val="AEAAAA"/>
        <w:sz w:val="18"/>
        <w:szCs w:val="20"/>
      </w:rPr>
    </w:pPr>
    <w:r>
      <w:rPr>
        <w:rFonts w:ascii="Century Gothic" w:hAnsi="Century Gothic"/>
        <w:color w:themeColor="background2" w:themeShade="bf" w:val="AEAAAA"/>
        <w:sz w:val="18"/>
        <w:szCs w:val="20"/>
      </w:rPr>
    </w:r>
  </w:p>
  <w:p>
    <w:pPr>
      <w:pStyle w:val="Header"/>
      <w:spacing w:before="240" w:after="120"/>
      <w:ind w:start="-115"/>
      <w:rPr>
        <w:rFonts w:ascii="Century Gothic" w:hAnsi="Century Gothic"/>
        <w:lang w:val="es-ES"/>
      </w:rPr>
    </w:pPr>
    <w:r>
      <w:drawing>
        <wp:anchor behindDoc="1" distT="0" distB="0" distL="0" distR="0" simplePos="0" locked="0" layoutInCell="0" allowOverlap="1" relativeHeight="29">
          <wp:simplePos x="0" y="0"/>
          <wp:positionH relativeFrom="margin">
            <wp:posOffset>4820920</wp:posOffset>
          </wp:positionH>
          <wp:positionV relativeFrom="paragraph">
            <wp:posOffset>32385</wp:posOffset>
          </wp:positionV>
          <wp:extent cx="1376045" cy="361950"/>
          <wp:effectExtent l="0" t="0" r="0" b="0"/>
          <wp:wrapNone/>
          <wp:docPr id="2" name="Imagen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Icono&#10;&#10;Descripción generada automáticamente"/>
                  <pic:cNvPicPr>
                    <a:picLocks noChangeAspect="1" noChangeArrowheads="1"/>
                  </pic:cNvPicPr>
                </pic:nvPicPr>
                <pic:blipFill>
                  <a:blip r:embed="rId1">
                    <a:grayscl/>
                  </a:blip>
                  <a:stretch>
                    <a:fillRect/>
                  </a:stretch>
                </pic:blipFill>
                <pic:spPr bwMode="auto">
                  <a:xfrm>
                    <a:off x="0" y="0"/>
                    <a:ext cx="1376045" cy="361950"/>
                  </a:xfrm>
                  <a:prstGeom prst="rect">
                    <a:avLst/>
                  </a:prstGeom>
                  <a:noFill/>
                </pic:spPr>
              </pic:pic>
            </a:graphicData>
          </a:graphic>
        </wp:anchor>
      </w:drawing>
    </w:r>
    <w:r>
      <w:rPr>
        <w:rFonts w:ascii="Century Gothic" w:hAnsi="Century Gothic"/>
        <w:color w:themeColor="background2" w:themeShade="bf" w:val="AEAAAA"/>
        <w:sz w:val="18"/>
        <w:szCs w:val="18"/>
        <w:lang w:val="es-ES"/>
      </w:rPr>
      <w:t>Departament d’Informàtica</w:t>
    </w:r>
    <w:r>
      <w:rPr>
        <w:rFonts w:ascii="Century Gothic" w:hAnsi="Century Gothic"/>
        <w:lang w:val="es-ES"/>
      </w:rPr>
      <w:t xml:space="preserve">   </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720"/>
        <w:tab w:val="left" w:pos="0" w:leader="none"/>
      </w:tabs>
      <w:spacing w:before="0" w:after="0"/>
      <w:ind w:start="-113"/>
      <w:rPr>
        <w:rFonts w:ascii="Century Gothic" w:hAnsi="Century Gothic"/>
        <w:color w:themeColor="background2" w:themeShade="bf" w:val="AEAAAA"/>
        <w:sz w:val="18"/>
        <w:szCs w:val="20"/>
      </w:rPr>
    </w:pPr>
    <w:r>
      <w:rPr>
        <w:rFonts w:ascii="Century Gothic" w:hAnsi="Century Gothic"/>
        <w:color w:themeColor="background2" w:themeShade="bf" w:val="AEAAAA"/>
        <w:sz w:val="18"/>
        <w:szCs w:val="20"/>
      </w:rPr>
    </w:r>
  </w:p>
  <w:p>
    <w:pPr>
      <w:pStyle w:val="Header"/>
      <w:spacing w:before="240" w:after="120"/>
      <w:ind w:start="-115"/>
      <w:rPr>
        <w:rFonts w:ascii="Century Gothic" w:hAnsi="Century Gothic"/>
        <w:lang w:val="es-ES"/>
      </w:rPr>
    </w:pPr>
    <w:r>
      <w:drawing>
        <wp:anchor behindDoc="1" distT="0" distB="0" distL="0" distR="0" simplePos="0" locked="0" layoutInCell="0" allowOverlap="1" relativeHeight="29">
          <wp:simplePos x="0" y="0"/>
          <wp:positionH relativeFrom="margin">
            <wp:posOffset>4820920</wp:posOffset>
          </wp:positionH>
          <wp:positionV relativeFrom="paragraph">
            <wp:posOffset>32385</wp:posOffset>
          </wp:positionV>
          <wp:extent cx="1376045" cy="361950"/>
          <wp:effectExtent l="0" t="0" r="0" b="0"/>
          <wp:wrapNone/>
          <wp:docPr id="3" name="Imagen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Icono&#10;&#10;Descripción generada automáticamente"/>
                  <pic:cNvPicPr>
                    <a:picLocks noChangeAspect="1" noChangeArrowheads="1"/>
                  </pic:cNvPicPr>
                </pic:nvPicPr>
                <pic:blipFill>
                  <a:blip r:embed="rId1">
                    <a:grayscl/>
                  </a:blip>
                  <a:stretch>
                    <a:fillRect/>
                  </a:stretch>
                </pic:blipFill>
                <pic:spPr bwMode="auto">
                  <a:xfrm>
                    <a:off x="0" y="0"/>
                    <a:ext cx="1376045" cy="361950"/>
                  </a:xfrm>
                  <a:prstGeom prst="rect">
                    <a:avLst/>
                  </a:prstGeom>
                  <a:noFill/>
                </pic:spPr>
              </pic:pic>
            </a:graphicData>
          </a:graphic>
        </wp:anchor>
      </w:drawing>
    </w:r>
    <w:r>
      <w:rPr>
        <w:rFonts w:ascii="Century Gothic" w:hAnsi="Century Gothic"/>
        <w:color w:themeColor="background2" w:themeShade="bf" w:val="AEAAAA"/>
        <w:sz w:val="18"/>
        <w:szCs w:val="18"/>
        <w:lang w:val="es-ES"/>
      </w:rPr>
      <w:t>Departament d’Informàtica</w:t>
    </w:r>
    <w:r>
      <w:rPr>
        <w:rFonts w:ascii="Century Gothic" w:hAnsi="Century Gothic"/>
        <w:lang w:val="es-ES"/>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color w:val="ED7D31"/>
      </w:rPr>
    </w:lvl>
    <w:lvl w:ilvl="2">
      <w:start w:val="1"/>
      <w:numFmt w:val="decimal"/>
      <w:lvlText w:val=""/>
      <w:lvlJc w:val="start"/>
      <w:pPr>
        <w:tabs>
          <w:tab w:val="num" w:pos="0"/>
        </w:tabs>
        <w:ind w:start="0" w:hanging="0"/>
      </w:pPr>
      <w:rPr/>
    </w:lvl>
    <w:lvl w:ilvl="3">
      <w:start w:val="1"/>
      <w:numFmt w:val="decimal"/>
      <w:lvlText w:val=""/>
      <w:lvlJc w:val="start"/>
      <w:pPr>
        <w:tabs>
          <w:tab w:val="num" w:pos="0"/>
        </w:tabs>
        <w:ind w:start="0" w:hanging="0"/>
      </w:pPr>
      <w:rPr/>
    </w:lvl>
    <w:lvl w:ilvl="4">
      <w:start w:val="1"/>
      <w:numFmt w:val="decimal"/>
      <w:lvlText w:val=""/>
      <w:lvlJc w:val="start"/>
      <w:pPr>
        <w:tabs>
          <w:tab w:val="num" w:pos="0"/>
        </w:tabs>
        <w:ind w:start="0" w:hanging="0"/>
      </w:pPr>
      <w:rPr/>
    </w:lvl>
    <w:lvl w:ilvl="5">
      <w:start w:val="1"/>
      <w:numFmt w:val="decimal"/>
      <w:lvlText w:val=""/>
      <w:lvlJc w:val="start"/>
      <w:pPr>
        <w:tabs>
          <w:tab w:val="num" w:pos="0"/>
        </w:tabs>
        <w:ind w:start="0" w:hanging="0"/>
      </w:pPr>
      <w:rPr/>
    </w:lvl>
    <w:lvl w:ilvl="6">
      <w:start w:val="1"/>
      <w:numFmt w:val="decimal"/>
      <w:lvlText w:val=""/>
      <w:lvlJc w:val="start"/>
      <w:pPr>
        <w:tabs>
          <w:tab w:val="num" w:pos="0"/>
        </w:tabs>
        <w:ind w:start="0" w:hanging="0"/>
      </w:pPr>
      <w:rPr/>
    </w:lvl>
    <w:lvl w:ilvl="7">
      <w:start w:val="1"/>
      <w:numFmt w:val="decimal"/>
      <w:lvlText w:val=""/>
      <w:lvlJc w:val="start"/>
      <w:pPr>
        <w:tabs>
          <w:tab w:val="num" w:pos="0"/>
        </w:tabs>
        <w:ind w:start="0" w:hanging="0"/>
      </w:pPr>
      <w:rPr/>
    </w:lvl>
    <w:lvl w:ilvl="8">
      <w:start w:val="1"/>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1069"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low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low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2">
    <w:lvl w:ilvl="0">
      <w:start w:val="1"/>
      <w:numFmt w:val="lowerLetter"/>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3">
    <w:lvl w:ilvl="0">
      <w:start w:val="1"/>
      <w:numFmt w:val="bullet"/>
      <w:lvlText w:val=""/>
      <w:lvlJc w:val="start"/>
      <w:pPr>
        <w:tabs>
          <w:tab w:val="num" w:pos="255"/>
        </w:tabs>
        <w:ind w:start="255" w:hanging="142"/>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2" w:hAnsi="Wingdings 2" w:cs="Wingdings 2" w:hint="default"/>
      </w:rPr>
    </w:lvl>
    <w:lvl w:ilvl="3">
      <w:start w:val="1"/>
      <w:numFmt w:val="bullet"/>
      <w:lvlText w:val=""/>
      <w:lvlJc w:val="start"/>
      <w:pPr>
        <w:tabs>
          <w:tab w:val="num" w:pos="1800"/>
        </w:tabs>
        <w:ind w:start="1800" w:hanging="360"/>
      </w:pPr>
      <w:rPr>
        <w:rFonts w:ascii="MT Extra" w:hAnsi="MT Extra" w:cs="MT Extra"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decimal"/>
      <w:lvlText w:val="%1."/>
      <w:lvlJc w:val="start"/>
      <w:pPr>
        <w:tabs>
          <w:tab w:val="num" w:pos="397"/>
        </w:tabs>
        <w:ind w:start="397" w:hanging="284"/>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5"/>
      <w:numFmt w:val="decimal"/>
      <w:lvlText w:val="%1."/>
      <w:lvlJc w:val="start"/>
      <w:pPr>
        <w:tabs>
          <w:tab w:val="num" w:pos="397"/>
        </w:tabs>
        <w:ind w:start="397" w:hanging="284"/>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ca-ES"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7628f"/>
    <w:pPr>
      <w:widowControl/>
      <w:suppressAutoHyphens w:val="true"/>
      <w:bidi w:val="0"/>
      <w:spacing w:before="0" w:after="0"/>
      <w:jc w:val="start"/>
    </w:pPr>
    <w:rPr>
      <w:rFonts w:ascii="Times New Roman" w:hAnsi="Times New Roman" w:eastAsia="Times New Roman" w:cs="Times New Roman"/>
      <w:color w:val="auto"/>
      <w:kern w:val="0"/>
      <w:sz w:val="24"/>
      <w:szCs w:val="24"/>
      <w:lang w:val="es-ES" w:eastAsia="es-ES_tradnl" w:bidi="ar-SA"/>
    </w:rPr>
  </w:style>
  <w:style w:type="paragraph" w:styleId="Heading1">
    <w:name w:val="heading 1"/>
    <w:basedOn w:val="Header"/>
    <w:next w:val="Textbody"/>
    <w:link w:val="Ttulo1Car"/>
    <w:uiPriority w:val="9"/>
    <w:qFormat/>
    <w:pPr>
      <w:numPr>
        <w:ilvl w:val="0"/>
        <w:numId w:val="2"/>
      </w:numPr>
      <w:outlineLvl w:val="0"/>
    </w:pPr>
    <w:rPr>
      <w:b/>
      <w:bCs/>
      <w:sz w:val="32"/>
      <w:szCs w:val="32"/>
    </w:rPr>
  </w:style>
  <w:style w:type="paragraph" w:styleId="Heading2">
    <w:name w:val="heading 2"/>
    <w:basedOn w:val="Header"/>
    <w:next w:val="Textbody"/>
    <w:link w:val="Ttulo2Car"/>
    <w:uiPriority w:val="9"/>
    <w:unhideWhenUsed/>
    <w:qFormat/>
    <w:pPr>
      <w:numPr>
        <w:ilvl w:val="1"/>
        <w:numId w:val="2"/>
      </w:numPr>
      <w:outlineLvl w:val="1"/>
    </w:pPr>
    <w:rPr>
      <w:b/>
      <w:bCs/>
      <w:i/>
      <w:iCs/>
    </w:rPr>
  </w:style>
  <w:style w:type="paragraph" w:styleId="Heading3">
    <w:name w:val="heading 3"/>
    <w:basedOn w:val="Normal"/>
    <w:next w:val="Normal"/>
    <w:link w:val="Ttulo3Car"/>
    <w:uiPriority w:val="9"/>
    <w:semiHidden/>
    <w:unhideWhenUsed/>
    <w:qFormat/>
    <w:rsid w:val="0076768b"/>
    <w:pPr>
      <w:keepNext w:val="true"/>
      <w:keepLines/>
      <w:spacing w:before="40" w:after="0"/>
      <w:outlineLvl w:val="2"/>
    </w:pPr>
    <w:rPr>
      <w:rFonts w:ascii="Calibri Light" w:hAnsi="Calibri Light" w:eastAsia="" w:cs="Mangal" w:asciiTheme="majorHAnsi" w:eastAsiaTheme="majorEastAsia" w:hAnsiTheme="majorHAnsi"/>
      <w:color w:themeColor="accent1" w:themeShade="7f" w:val="1F4D78"/>
      <w:szCs w:val="21"/>
    </w:rPr>
  </w:style>
  <w:style w:type="paragraph" w:styleId="Heading4">
    <w:name w:val="heading 4"/>
    <w:basedOn w:val="Normal"/>
    <w:next w:val="Normal"/>
    <w:uiPriority w:val="9"/>
    <w:semiHidden/>
    <w:unhideWhenUsed/>
    <w:qFormat/>
    <w:pPr>
      <w:keepNext w:val="true"/>
      <w:keepLines/>
      <w:spacing w:before="240" w:after="4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WW8Num2z0" w:customStyle="1">
    <w:name w:val="WW8Num2z0"/>
    <w:qFormat/>
    <w:rPr>
      <w:rFonts w:ascii="Symbol" w:hAnsi="Symbol" w:cs="OpenSymbol, 'Arial Unicode MS'"/>
    </w:rPr>
  </w:style>
  <w:style w:type="character" w:styleId="WW8Num2z1" w:customStyle="1">
    <w:name w:val="WW8Num2z1"/>
    <w:qFormat/>
    <w:rPr>
      <w:rFonts w:ascii="OpenSymbol, 'Arial Unicode MS'" w:hAnsi="OpenSymbol, 'Arial Unicode MS'" w:cs="OpenSymbol, 'Arial Unicode MS'"/>
    </w:rPr>
  </w:style>
  <w:style w:type="character" w:styleId="WW8Num3z0" w:customStyle="1">
    <w:name w:val="WW8Num3z0"/>
    <w:qFormat/>
    <w:rPr>
      <w:rFonts w:ascii="Symbol" w:hAnsi="Symbol" w:cs="OpenSymbol, 'Arial Unicode MS'"/>
    </w:rPr>
  </w:style>
  <w:style w:type="character" w:styleId="WW8Num3z1" w:customStyle="1">
    <w:name w:val="WW8Num3z1"/>
    <w:qFormat/>
    <w:rPr>
      <w:rFonts w:ascii="OpenSymbol, 'Arial Unicode MS'" w:hAnsi="OpenSymbol, 'Arial Unicode MS'" w:cs="OpenSymbol, 'Arial Unicode MS'"/>
    </w:rPr>
  </w:style>
  <w:style w:type="character" w:styleId="WW8Num5z0" w:customStyle="1">
    <w:name w:val="WW8Num5z0"/>
    <w:qFormat/>
    <w:rPr>
      <w:rFonts w:ascii="Symbol" w:hAnsi="Symbol" w:cs="OpenSymbol, 'Arial Unicode MS'"/>
    </w:rPr>
  </w:style>
  <w:style w:type="character" w:styleId="WW8Num5z1" w:customStyle="1">
    <w:name w:val="WW8Num5z1"/>
    <w:qFormat/>
    <w:rPr>
      <w:rFonts w:ascii="OpenSymbol, 'Arial Unicode MS'" w:hAnsi="OpenSymbol, 'Arial Unicode MS'" w:cs="OpenSymbol, 'Arial Unicode MS'"/>
    </w:rPr>
  </w:style>
  <w:style w:type="character" w:styleId="WW8Num6z0" w:customStyle="1">
    <w:name w:val="WW8Num6z0"/>
    <w:qFormat/>
    <w:rPr>
      <w:rFonts w:ascii="Symbol" w:hAnsi="Symbol" w:cs="OpenSymbol, 'Arial Unicode MS'"/>
    </w:rPr>
  </w:style>
  <w:style w:type="character" w:styleId="WW8Num6z1" w:customStyle="1">
    <w:name w:val="WW8Num6z1"/>
    <w:qFormat/>
    <w:rPr>
      <w:rFonts w:ascii="OpenSymbol, 'Arial Unicode MS'" w:hAnsi="OpenSymbol, 'Arial Unicode MS'" w:cs="OpenSymbol, 'Arial Unicode MS'"/>
    </w:rPr>
  </w:style>
  <w:style w:type="character" w:styleId="WW8Num7z0" w:customStyle="1">
    <w:name w:val="WW8Num7z0"/>
    <w:qFormat/>
    <w:rPr>
      <w:rFonts w:ascii="Symbol" w:hAnsi="Symbol" w:cs="OpenSymbol, 'Arial Unicode MS'"/>
    </w:rPr>
  </w:style>
  <w:style w:type="character" w:styleId="WW8Num7z1" w:customStyle="1">
    <w:name w:val="WW8Num7z1"/>
    <w:qFormat/>
    <w:rPr>
      <w:rFonts w:ascii="OpenSymbol, 'Arial Unicode MS'" w:hAnsi="OpenSymbol, 'Arial Unicode MS'" w:cs="OpenSymbol, 'Arial Unicode MS'"/>
    </w:rPr>
  </w:style>
  <w:style w:type="character" w:styleId="WW8Num8z0" w:customStyle="1">
    <w:name w:val="WW8Num8z0"/>
    <w:qFormat/>
    <w:rPr>
      <w:rFonts w:ascii="Symbol" w:hAnsi="Symbol" w:cs="OpenSymbol, 'Arial Unicode MS'"/>
    </w:rPr>
  </w:style>
  <w:style w:type="character" w:styleId="WW8Num8z1" w:customStyle="1">
    <w:name w:val="WW8Num8z1"/>
    <w:qFormat/>
    <w:rPr>
      <w:rFonts w:ascii="DejaVu Sans" w:hAnsi="DejaVu Sans" w:cs="DejaVu Sans"/>
    </w:rPr>
  </w:style>
  <w:style w:type="character" w:styleId="WW8Num8z2" w:customStyle="1">
    <w:name w:val="WW8Num8z2"/>
    <w:qFormat/>
    <w:rPr>
      <w:rFonts w:ascii="OpenSymbol, 'Arial Unicode MS'" w:hAnsi="OpenSymbol, 'Arial Unicode MS'" w:cs="OpenSymbol, 'Arial Unicode MS'"/>
    </w:rPr>
  </w:style>
  <w:style w:type="character" w:styleId="WW8Num9z0" w:customStyle="1">
    <w:name w:val="WW8Num9z0"/>
    <w:qFormat/>
    <w:rPr>
      <w:rFonts w:ascii="Symbol" w:hAnsi="Symbol" w:cs="OpenSymbol, 'Arial Unicode MS'"/>
    </w:rPr>
  </w:style>
  <w:style w:type="character" w:styleId="WW8Num9z1" w:customStyle="1">
    <w:name w:val="WW8Num9z1"/>
    <w:qFormat/>
    <w:rPr>
      <w:rFonts w:ascii="OpenSymbol, 'Arial Unicode MS'" w:hAnsi="OpenSymbol, 'Arial Unicode MS'" w:cs="OpenSymbol, 'Arial Unicode MS'"/>
    </w:rPr>
  </w:style>
  <w:style w:type="character" w:styleId="WW8Num10z0" w:customStyle="1">
    <w:name w:val="WW8Num10z0"/>
    <w:qFormat/>
    <w:rPr>
      <w:rFonts w:ascii="Symbol" w:hAnsi="Symbol" w:cs="OpenSymbol, 'Arial Unicode MS'"/>
    </w:rPr>
  </w:style>
  <w:style w:type="character" w:styleId="WW8Num10z1" w:customStyle="1">
    <w:name w:val="WW8Num10z1"/>
    <w:qFormat/>
    <w:rPr>
      <w:rFonts w:ascii="OpenSymbol, 'Arial Unicode MS'" w:hAnsi="OpenSymbol, 'Arial Unicode MS'" w:cs="OpenSymbol, 'Arial Unicode MS'"/>
    </w:rPr>
  </w:style>
  <w:style w:type="character" w:styleId="WW8Num11z0" w:customStyle="1">
    <w:name w:val="WW8Num11z0"/>
    <w:qFormat/>
    <w:rPr>
      <w:rFonts w:ascii="Symbol" w:hAnsi="Symbol" w:cs="OpenSymbol, 'Arial Unicode MS'"/>
    </w:rPr>
  </w:style>
  <w:style w:type="character" w:styleId="WW8Num11z1" w:customStyle="1">
    <w:name w:val="WW8Num11z1"/>
    <w:qFormat/>
    <w:rPr>
      <w:rFonts w:ascii="OpenSymbol, 'Arial Unicode MS'" w:hAnsi="OpenSymbol, 'Arial Unicode MS'" w:cs="OpenSymbol, 'Arial Unicode MS'"/>
    </w:rPr>
  </w:style>
  <w:style w:type="character" w:styleId="WW8Num12z0" w:customStyle="1">
    <w:name w:val="WW8Num12z0"/>
    <w:qFormat/>
    <w:rPr>
      <w:rFonts w:ascii="Symbol" w:hAnsi="Symbol" w:cs="OpenSymbol, 'Arial Unicode MS'"/>
    </w:rPr>
  </w:style>
  <w:style w:type="character" w:styleId="WW8Num12z1" w:customStyle="1">
    <w:name w:val="WW8Num12z1"/>
    <w:qFormat/>
    <w:rPr>
      <w:rFonts w:ascii="OpenSymbol, 'Arial Unicode MS'" w:hAnsi="OpenSymbol, 'Arial Unicode MS'" w:cs="OpenSymbol, 'Arial Unicode MS'"/>
    </w:rPr>
  </w:style>
  <w:style w:type="character" w:styleId="WW8Num13z0" w:customStyle="1">
    <w:name w:val="WW8Num13z0"/>
    <w:qFormat/>
    <w:rPr>
      <w:rFonts w:ascii="Symbol" w:hAnsi="Symbol" w:cs="OpenSymbol, 'Arial Unicode MS'"/>
    </w:rPr>
  </w:style>
  <w:style w:type="character" w:styleId="WW8Num13z1" w:customStyle="1">
    <w:name w:val="WW8Num13z1"/>
    <w:qFormat/>
    <w:rPr>
      <w:rFonts w:ascii="OpenSymbol, 'Arial Unicode MS'" w:hAnsi="OpenSymbol, 'Arial Unicode MS'" w:cs="OpenSymbol, 'Arial Unicode MS'"/>
    </w:rPr>
  </w:style>
  <w:style w:type="character" w:styleId="WW8Num14z0" w:customStyle="1">
    <w:name w:val="WW8Num14z0"/>
    <w:qFormat/>
    <w:rPr>
      <w:rFonts w:ascii="Symbol" w:hAnsi="Symbol" w:cs="OpenSymbol, 'Arial Unicode MS'"/>
    </w:rPr>
  </w:style>
  <w:style w:type="character" w:styleId="WW8Num14z1" w:customStyle="1">
    <w:name w:val="WW8Num14z1"/>
    <w:qFormat/>
    <w:rPr>
      <w:rFonts w:ascii="OpenSymbol, 'Arial Unicode MS'" w:hAnsi="OpenSymbol, 'Arial Unicode MS'" w:cs="OpenSymbol, 'Arial Unicode MS'"/>
    </w:rPr>
  </w:style>
  <w:style w:type="character" w:styleId="Absatz-Standardschriftart" w:customStyle="1">
    <w:name w:val="Absatz-Standardschriftart"/>
    <w:qFormat/>
    <w:rPr/>
  </w:style>
  <w:style w:type="character" w:styleId="Bolosuser" w:customStyle="1">
    <w:name w:val="Bolos (user)"/>
    <w:qFormat/>
    <w:rPr>
      <w:rFonts w:ascii="OpenSymbol, 'Arial Unicode MS'" w:hAnsi="OpenSymbol, 'Arial Unicode MS'" w:eastAsia="OpenSymbol, 'Arial Unicode MS'" w:cs="OpenSymbol, 'Arial Unicode MS'"/>
    </w:rPr>
  </w:style>
  <w:style w:type="character" w:styleId="Smbolosdenumeracinuser" w:customStyle="1">
    <w:name w:val="Símbolos de numeración (user)"/>
    <w:qFormat/>
    <w:rPr/>
  </w:style>
  <w:style w:type="character" w:styleId="Internetlink" w:customStyle="1">
    <w:name w:val="Internet link"/>
    <w:qFormat/>
    <w:rPr>
      <w:color w:val="000080"/>
      <w:u w:val="single"/>
    </w:rPr>
  </w:style>
  <w:style w:type="character" w:styleId="Enlacedelndiceuser" w:customStyle="1">
    <w:name w:val="Enlace del índice (user)"/>
    <w:qFormat/>
    <w:rPr/>
  </w:style>
  <w:style w:type="character" w:styleId="Hyperlink">
    <w:name w:val="Hyperlink"/>
    <w:basedOn w:val="DefaultParagraphFont"/>
    <w:uiPriority w:val="99"/>
    <w:unhideWhenUsed/>
    <w:rsid w:val="007148cb"/>
    <w:rPr>
      <w:color w:themeColor="hyperlink" w:val="0563C1"/>
      <w:u w:val="single"/>
    </w:rPr>
  </w:style>
  <w:style w:type="character" w:styleId="TextoindependienteCar" w:customStyle="1">
    <w:name w:val="Texto independiente Car"/>
    <w:basedOn w:val="DefaultParagraphFont"/>
    <w:uiPriority w:val="1"/>
    <w:qFormat/>
    <w:rsid w:val="009b2790"/>
    <w:rPr>
      <w:rFonts w:ascii="Arial" w:hAnsi="Arial" w:eastAsia="Arial" w:cs="Arial"/>
      <w:kern w:val="0"/>
      <w:lang w:val="en-US" w:eastAsia="en-US" w:bidi="ar-SA"/>
    </w:rPr>
  </w:style>
  <w:style w:type="character" w:styleId="apple-tab-span" w:customStyle="1">
    <w:name w:val="apple-tab-span"/>
    <w:basedOn w:val="DefaultParagraphFont"/>
    <w:qFormat/>
    <w:rsid w:val="00552a16"/>
    <w:rPr/>
  </w:style>
  <w:style w:type="character" w:styleId="Ttulo3Car" w:customStyle="1">
    <w:name w:val="Título 3 Car"/>
    <w:basedOn w:val="DefaultParagraphFont"/>
    <w:uiPriority w:val="9"/>
    <w:qFormat/>
    <w:rsid w:val="0076768b"/>
    <w:rPr>
      <w:rFonts w:ascii="Calibri Light" w:hAnsi="Calibri Light" w:eastAsia="" w:cs="Mangal" w:asciiTheme="majorHAnsi" w:eastAsiaTheme="majorEastAsia" w:hAnsiTheme="majorHAnsi"/>
      <w:color w:themeColor="accent1" w:themeShade="7f" w:val="1F4D78"/>
      <w:szCs w:val="21"/>
    </w:rPr>
  </w:style>
  <w:style w:type="character" w:styleId="StandardCar" w:customStyle="1">
    <w:name w:val="Standard Car"/>
    <w:basedOn w:val="DefaultParagraphFont"/>
    <w:link w:val="Standard"/>
    <w:qFormat/>
    <w:rsid w:val="0076768b"/>
    <w:rPr>
      <w:rFonts w:ascii="Times New Roman" w:hAnsi="Times New Roman" w:eastAsia="Droid Sans"/>
    </w:rPr>
  </w:style>
  <w:style w:type="character" w:styleId="EncabezadoCar" w:customStyle="1">
    <w:name w:val="Encabezado Car"/>
    <w:basedOn w:val="StandardCar"/>
    <w:qFormat/>
    <w:rsid w:val="0076768b"/>
    <w:rPr>
      <w:rFonts w:ascii="Arial" w:hAnsi="Arial" w:eastAsia="Droid Sans"/>
      <w:sz w:val="28"/>
      <w:szCs w:val="28"/>
    </w:rPr>
  </w:style>
  <w:style w:type="character" w:styleId="Ttulo1Car" w:customStyle="1">
    <w:name w:val="Título 1 Car"/>
    <w:basedOn w:val="EncabezadoCar"/>
    <w:uiPriority w:val="9"/>
    <w:qFormat/>
    <w:rsid w:val="0076768b"/>
    <w:rPr>
      <w:rFonts w:ascii="Arial" w:hAnsi="Arial" w:eastAsia="Droid Sans"/>
      <w:b/>
      <w:bCs/>
      <w:sz w:val="32"/>
      <w:szCs w:val="32"/>
    </w:rPr>
  </w:style>
  <w:style w:type="character" w:styleId="abctitol1aCar" w:customStyle="1">
    <w:name w:val="abc_titol1_a Car"/>
    <w:basedOn w:val="Ttulo1Car"/>
    <w:link w:val="abctitol1a"/>
    <w:qFormat/>
    <w:rsid w:val="0076768b"/>
    <w:rPr>
      <w:rFonts w:ascii="Arial" w:hAnsi="Arial" w:eastAsia="Droid Sans"/>
      <w:b/>
      <w:bCs/>
      <w:sz w:val="32"/>
      <w:szCs w:val="32"/>
    </w:rPr>
  </w:style>
  <w:style w:type="character" w:styleId="abctitol11Car" w:customStyle="1">
    <w:name w:val="abc_titol1_1 Car"/>
    <w:basedOn w:val="Ttulo1Car"/>
    <w:link w:val="abctitol11"/>
    <w:qFormat/>
    <w:rsid w:val="0076768b"/>
    <w:rPr>
      <w:rFonts w:ascii="Arial" w:hAnsi="Arial" w:eastAsia="Droid Sans"/>
      <w:b/>
      <w:bCs/>
      <w:color w:themeColor="accent2" w:val="ED7D31"/>
      <w:sz w:val="36"/>
      <w:szCs w:val="32"/>
    </w:rPr>
  </w:style>
  <w:style w:type="character" w:styleId="Ttulo2Car" w:customStyle="1">
    <w:name w:val="Título 2 Car"/>
    <w:basedOn w:val="EncabezadoCar"/>
    <w:uiPriority w:val="9"/>
    <w:qFormat/>
    <w:rsid w:val="0076768b"/>
    <w:rPr>
      <w:rFonts w:ascii="Arial" w:hAnsi="Arial" w:eastAsia="Droid Sans"/>
      <w:b/>
      <w:bCs/>
      <w:i/>
      <w:iCs/>
      <w:sz w:val="28"/>
      <w:szCs w:val="28"/>
    </w:rPr>
  </w:style>
  <w:style w:type="character" w:styleId="abctitol21Car" w:customStyle="1">
    <w:name w:val="abc_titol2_1 Car"/>
    <w:basedOn w:val="Ttulo2Car"/>
    <w:link w:val="abctitol21"/>
    <w:qFormat/>
    <w:rsid w:val="0076768b"/>
    <w:rPr>
      <w:rFonts w:ascii="Arial" w:hAnsi="Arial" w:eastAsia="Droid Sans"/>
      <w:b/>
      <w:bCs/>
      <w:i w:val="false"/>
      <w:iCs/>
      <w:sz w:val="28"/>
      <w:szCs w:val="28"/>
    </w:rPr>
  </w:style>
  <w:style w:type="character" w:styleId="UnresolvedMention">
    <w:name w:val="Unresolved Mention"/>
    <w:basedOn w:val="DefaultParagraphFont"/>
    <w:uiPriority w:val="99"/>
    <w:semiHidden/>
    <w:unhideWhenUsed/>
    <w:qFormat/>
    <w:rsid w:val="002d4eb8"/>
    <w:rPr>
      <w:color w:val="605E5C"/>
      <w:shd w:fill="E1DFDD" w:val="clear"/>
    </w:rPr>
  </w:style>
  <w:style w:type="character" w:styleId="PiedepginaCar" w:customStyle="1">
    <w:name w:val="Pie de página Car"/>
    <w:basedOn w:val="DefaultParagraphFont"/>
    <w:uiPriority w:val="99"/>
    <w:qFormat/>
    <w:rsid w:val="00354f98"/>
    <w:rPr>
      <w:rFonts w:cs="Mangal"/>
      <w:szCs w:val="21"/>
    </w:rPr>
  </w:style>
  <w:style w:type="character" w:styleId="Enlacedelndice">
    <w:name w:val="Enlace del índice"/>
    <w:qFormat/>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1"/>
    <w:qFormat/>
    <w:rsid w:val="009b2790"/>
    <w:pPr>
      <w:ind w:start="1180"/>
    </w:pPr>
    <w:rPr>
      <w:rFonts w:ascii="Arial" w:hAnsi="Arial" w:eastAsia="Arial" w:cs="Arial"/>
      <w:lang w:val="en-US" w:eastAsia="en-US"/>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ndice">
    <w:name w:val="Índice"/>
    <w:basedOn w:val="Normal"/>
    <w:qFormat/>
    <w:pPr>
      <w:suppressLineNumbers/>
    </w:pPr>
    <w:rPr>
      <w:rFonts w:cs="Lucida Sans"/>
    </w:rPr>
  </w:style>
  <w:style w:type="paragraph" w:styleId="Cabeceraypie">
    <w:name w:val="Cabecera y pie"/>
    <w:basedOn w:val="Normal"/>
    <w:qFormat/>
    <w:pPr/>
    <w:rPr/>
  </w:style>
  <w:style w:type="paragraph" w:styleId="Header">
    <w:name w:val="header"/>
    <w:basedOn w:val="Standard"/>
    <w:next w:val="Textbody"/>
    <w:link w:val="EncabezadoCar"/>
    <w:pPr>
      <w:keepNext w:val="true"/>
      <w:spacing w:before="240" w:after="120"/>
    </w:pPr>
    <w:rPr>
      <w:rFonts w:ascii="Arial" w:hAnsi="Arial"/>
      <w:sz w:val="28"/>
      <w:szCs w:val="28"/>
    </w:rPr>
  </w:style>
  <w:style w:type="paragraph" w:styleId="Ttulouser" w:customStyle="1">
    <w:name w:val="Título (user)"/>
    <w:basedOn w:val="Standard"/>
    <w:next w:val="Textbody"/>
    <w:qFormat/>
    <w:pPr>
      <w:keepNext w:val="true"/>
      <w:spacing w:before="240" w:after="120"/>
    </w:pPr>
    <w:rPr>
      <w:rFonts w:ascii="Liberation Sans" w:hAnsi="Liberation Sans" w:eastAsia="Droid Sans Fallback" w:cs="FreeSans"/>
      <w:sz w:val="28"/>
      <w:szCs w:val="28"/>
    </w:rPr>
  </w:style>
  <w:style w:type="paragraph" w:styleId="ndiceuser" w:customStyle="1">
    <w:name w:val="Índice (user)"/>
    <w:basedOn w:val="Standard"/>
    <w:qFormat/>
    <w:pPr>
      <w:suppressLineNumbers/>
    </w:pPr>
    <w:rPr/>
  </w:style>
  <w:style w:type="paragraph" w:styleId="Cabeceraypieuser">
    <w:name w:val="Cabecera y pie (user)"/>
    <w:basedOn w:val="Normal"/>
    <w:qFormat/>
    <w:pPr/>
    <w:rPr/>
  </w:style>
  <w:style w:type="paragraph" w:styleId="Title">
    <w:name w:val="Title"/>
    <w:basedOn w:val="Normal"/>
    <w:next w:val="Normal"/>
    <w:uiPriority w:val="10"/>
    <w:qFormat/>
    <w:pPr>
      <w:keepNext w:val="true"/>
      <w:keepLines/>
      <w:spacing w:before="480" w:after="120"/>
    </w:pPr>
    <w:rPr>
      <w:b/>
      <w:sz w:val="72"/>
      <w:szCs w:val="72"/>
    </w:rPr>
  </w:style>
  <w:style w:type="paragraph" w:styleId="Standard" w:customStyle="1">
    <w:name w:val="Standard"/>
    <w:link w:val="StandardCar"/>
    <w:qFormat/>
    <w:pPr>
      <w:widowControl w:val="false"/>
      <w:suppressAutoHyphens w:val="true"/>
      <w:bidi w:val="0"/>
      <w:spacing w:before="0" w:after="0"/>
      <w:jc w:val="start"/>
    </w:pPr>
    <w:rPr>
      <w:rFonts w:ascii="Times New Roman" w:hAnsi="Times New Roman" w:eastAsia="Droid Sans" w:cs="Liberation Serif"/>
      <w:color w:val="auto"/>
      <w:kern w:val="0"/>
      <w:sz w:val="24"/>
      <w:szCs w:val="24"/>
      <w:lang w:val="ca-ES" w:eastAsia="es-ES" w:bidi="ar-SA"/>
    </w:rPr>
  </w:style>
  <w:style w:type="paragraph" w:styleId="Textbody" w:customStyle="1">
    <w:name w:val="Text body"/>
    <w:basedOn w:val="Standard"/>
    <w:qFormat/>
    <w:pPr>
      <w:spacing w:before="0" w:after="120"/>
    </w:pPr>
    <w:rPr/>
  </w:style>
  <w:style w:type="paragraph" w:styleId="ContentsHeading" w:customStyle="1">
    <w:name w:val="Contents Heading"/>
    <w:basedOn w:val="Header"/>
    <w:qFormat/>
    <w:pPr>
      <w:suppressLineNumbers/>
      <w:spacing w:before="0" w:after="0"/>
    </w:pPr>
    <w:rPr>
      <w:b/>
      <w:bCs/>
      <w:sz w:val="32"/>
      <w:szCs w:val="32"/>
    </w:rPr>
  </w:style>
  <w:style w:type="paragraph" w:styleId="Contents1" w:customStyle="1">
    <w:name w:val="Contents 1"/>
    <w:basedOn w:val="ndiceuser"/>
    <w:qFormat/>
    <w:pPr>
      <w:tabs>
        <w:tab w:val="clear" w:pos="720"/>
        <w:tab w:val="right" w:pos="9638" w:leader="dot"/>
      </w:tabs>
    </w:pPr>
    <w:rPr/>
  </w:style>
  <w:style w:type="paragraph" w:styleId="Contents2" w:customStyle="1">
    <w:name w:val="Contents 2"/>
    <w:basedOn w:val="ndiceuser"/>
    <w:qFormat/>
    <w:pPr>
      <w:tabs>
        <w:tab w:val="clear" w:pos="720"/>
        <w:tab w:val="right" w:pos="9638" w:leader="dot"/>
      </w:tabs>
      <w:ind w:start="283"/>
      <w:jc w:val="end"/>
    </w:pPr>
    <w:rPr/>
  </w:style>
  <w:style w:type="paragraph" w:styleId="Contenidodelatablauser" w:customStyle="1">
    <w:name w:val="Contenido de la tabla (user)"/>
    <w:basedOn w:val="Standard"/>
    <w:qFormat/>
    <w:pPr>
      <w:suppressLineNumbers/>
    </w:pPr>
    <w:rPr/>
  </w:style>
  <w:style w:type="paragraph" w:styleId="Ttulodelatablauser" w:customStyle="1">
    <w:name w:val="Título de la tabla (user)"/>
    <w:basedOn w:val="Contenidodelatablauser"/>
    <w:qFormat/>
    <w:pPr>
      <w:jc w:val="center"/>
    </w:pPr>
    <w:rPr>
      <w:b/>
      <w:bCs/>
    </w:rPr>
  </w:style>
  <w:style w:type="paragraph" w:styleId="NoSpacing">
    <w:name w:val="No Spacing"/>
    <w:qFormat/>
    <w:pPr>
      <w:widowControl/>
      <w:suppressAutoHyphens w:val="true"/>
      <w:bidi w:val="0"/>
      <w:spacing w:before="0" w:after="0"/>
      <w:jc w:val="start"/>
    </w:pPr>
    <w:rPr>
      <w:rFonts w:ascii="Calibri" w:hAnsi="Calibri" w:eastAsia="Times New Roman" w:cs="Calibri"/>
      <w:color w:val="auto"/>
      <w:kern w:val="0"/>
      <w:sz w:val="22"/>
      <w:szCs w:val="22"/>
      <w:lang w:val="ca-ES" w:eastAsia="es-ES" w:bidi="ar-SA"/>
    </w:rPr>
  </w:style>
  <w:style w:type="paragraph" w:styleId="Contents3" w:customStyle="1">
    <w:name w:val="Contents 3"/>
    <w:basedOn w:val="ndiceuser"/>
    <w:qFormat/>
    <w:pPr>
      <w:tabs>
        <w:tab w:val="clear" w:pos="720"/>
        <w:tab w:val="right" w:pos="9638" w:leader="dot"/>
      </w:tabs>
      <w:ind w:start="566"/>
    </w:pPr>
    <w:rPr/>
  </w:style>
  <w:style w:type="paragraph" w:styleId="Contents4" w:customStyle="1">
    <w:name w:val="Contents 4"/>
    <w:basedOn w:val="ndiceuser"/>
    <w:qFormat/>
    <w:pPr>
      <w:tabs>
        <w:tab w:val="clear" w:pos="720"/>
        <w:tab w:val="right" w:pos="9638" w:leader="dot"/>
      </w:tabs>
      <w:ind w:start="849"/>
    </w:pPr>
    <w:rPr/>
  </w:style>
  <w:style w:type="paragraph" w:styleId="Contents5" w:customStyle="1">
    <w:name w:val="Contents 5"/>
    <w:basedOn w:val="ndiceuser"/>
    <w:qFormat/>
    <w:pPr>
      <w:tabs>
        <w:tab w:val="clear" w:pos="720"/>
        <w:tab w:val="right" w:pos="9638" w:leader="dot"/>
      </w:tabs>
      <w:ind w:start="1132"/>
    </w:pPr>
    <w:rPr/>
  </w:style>
  <w:style w:type="paragraph" w:styleId="Contents6" w:customStyle="1">
    <w:name w:val="Contents 6"/>
    <w:basedOn w:val="ndiceuser"/>
    <w:qFormat/>
    <w:pPr>
      <w:tabs>
        <w:tab w:val="clear" w:pos="720"/>
        <w:tab w:val="right" w:pos="9638" w:leader="dot"/>
      </w:tabs>
      <w:ind w:start="1415"/>
    </w:pPr>
    <w:rPr/>
  </w:style>
  <w:style w:type="paragraph" w:styleId="Contents7" w:customStyle="1">
    <w:name w:val="Contents 7"/>
    <w:basedOn w:val="ndiceuser"/>
    <w:qFormat/>
    <w:pPr>
      <w:tabs>
        <w:tab w:val="clear" w:pos="720"/>
        <w:tab w:val="right" w:pos="9638" w:leader="dot"/>
      </w:tabs>
      <w:ind w:start="1698"/>
    </w:pPr>
    <w:rPr/>
  </w:style>
  <w:style w:type="paragraph" w:styleId="Contents8" w:customStyle="1">
    <w:name w:val="Contents 8"/>
    <w:basedOn w:val="ndiceuser"/>
    <w:qFormat/>
    <w:pPr>
      <w:tabs>
        <w:tab w:val="clear" w:pos="720"/>
        <w:tab w:val="right" w:pos="9638" w:leader="dot"/>
      </w:tabs>
      <w:ind w:start="1981"/>
    </w:pPr>
    <w:rPr/>
  </w:style>
  <w:style w:type="paragraph" w:styleId="Contents9" w:customStyle="1">
    <w:name w:val="Contents 9"/>
    <w:basedOn w:val="ndiceuser"/>
    <w:qFormat/>
    <w:pPr>
      <w:tabs>
        <w:tab w:val="clear" w:pos="720"/>
        <w:tab w:val="right" w:pos="9638" w:leader="dot"/>
      </w:tabs>
      <w:ind w:start="2264"/>
    </w:pPr>
    <w:rPr/>
  </w:style>
  <w:style w:type="paragraph" w:styleId="Sumario10user" w:customStyle="1">
    <w:name w:val="Sumario 10 (user)"/>
    <w:basedOn w:val="ndiceuser"/>
    <w:qFormat/>
    <w:pPr>
      <w:tabs>
        <w:tab w:val="clear" w:pos="720"/>
        <w:tab w:val="right" w:pos="9638" w:leader="dot"/>
      </w:tabs>
      <w:ind w:start="2547"/>
    </w:pPr>
    <w:rPr/>
  </w:style>
  <w:style w:type="paragraph" w:styleId="TOC2">
    <w:name w:val="toc 2"/>
    <w:basedOn w:val="Normal"/>
    <w:next w:val="Normal"/>
    <w:autoRedefine/>
    <w:uiPriority w:val="39"/>
    <w:unhideWhenUsed/>
    <w:rsid w:val="005e7fe1"/>
    <w:pPr>
      <w:tabs>
        <w:tab w:val="clear" w:pos="720"/>
        <w:tab w:val="left" w:pos="880" w:leader="none"/>
        <w:tab w:val="right" w:pos="9628" w:leader="dot"/>
      </w:tabs>
      <w:spacing w:before="0" w:after="100"/>
      <w:ind w:start="240"/>
    </w:pPr>
    <w:rPr>
      <w:rFonts w:ascii="Arial" w:hAnsi="Arial" w:cs="Arial"/>
      <w:bCs/>
      <w:color w:themeColor="accent2" w:themeTint="99" w:val="F4B083"/>
    </w:rPr>
  </w:style>
  <w:style w:type="paragraph" w:styleId="NormalWeb">
    <w:name w:val="Normal (Web)"/>
    <w:basedOn w:val="Normal"/>
    <w:uiPriority w:val="99"/>
    <w:semiHidden/>
    <w:unhideWhenUsed/>
    <w:qFormat/>
    <w:rsid w:val="00384194"/>
    <w:pPr>
      <w:spacing w:beforeAutospacing="1" w:afterAutospacing="1"/>
    </w:pPr>
    <w:rPr/>
  </w:style>
  <w:style w:type="paragraph" w:styleId="abctitol1a" w:customStyle="1">
    <w:name w:val="abc_titol1_a"/>
    <w:basedOn w:val="Heading1"/>
    <w:link w:val="abctitol1aCar"/>
    <w:qFormat/>
    <w:rsid w:val="0076768b"/>
    <w:pPr/>
    <w:rPr/>
  </w:style>
  <w:style w:type="paragraph" w:styleId="abctitol11" w:customStyle="1">
    <w:name w:val="abc_titol1_1"/>
    <w:basedOn w:val="Heading1"/>
    <w:link w:val="abctitol11Car"/>
    <w:qFormat/>
    <w:rsid w:val="0076768b"/>
    <w:pPr/>
    <w:rPr>
      <w:color w:themeColor="accent2" w:val="ED7D31"/>
      <w:sz w:val="36"/>
    </w:rPr>
  </w:style>
  <w:style w:type="paragraph" w:styleId="TOC1">
    <w:name w:val="toc 1"/>
    <w:basedOn w:val="Normal"/>
    <w:next w:val="Normal"/>
    <w:autoRedefine/>
    <w:uiPriority w:val="39"/>
    <w:unhideWhenUsed/>
    <w:rsid w:val="00c82216"/>
    <w:pPr>
      <w:tabs>
        <w:tab w:val="clear" w:pos="720"/>
        <w:tab w:val="left" w:pos="284" w:leader="none"/>
        <w:tab w:val="right" w:pos="9628" w:leader="dot"/>
      </w:tabs>
      <w:spacing w:before="0" w:after="100"/>
    </w:pPr>
    <w:rPr>
      <w:rFonts w:ascii="Arial" w:hAnsi="Arial" w:cs="Arial"/>
      <w:b/>
      <w:color w:themeColor="accent2" w:val="ED7D31"/>
      <w:sz w:val="28"/>
      <w:szCs w:val="21"/>
    </w:rPr>
  </w:style>
  <w:style w:type="paragraph" w:styleId="abctitol21" w:customStyle="1">
    <w:name w:val="abc_titol2_1"/>
    <w:basedOn w:val="Heading2"/>
    <w:link w:val="abctitol21Car"/>
    <w:qFormat/>
    <w:rsid w:val="0076768b"/>
    <w:pPr/>
    <w:rPr>
      <w:i w:val="false"/>
    </w:rPr>
  </w:style>
  <w:style w:type="paragraph" w:styleId="ListParagraph">
    <w:name w:val="List Paragraph"/>
    <w:basedOn w:val="Normal"/>
    <w:uiPriority w:val="34"/>
    <w:qFormat/>
    <w:rsid w:val="00bc392d"/>
    <w:pPr>
      <w:spacing w:before="0" w:after="0"/>
      <w:ind w:start="720"/>
      <w:contextualSpacing/>
    </w:pPr>
    <w:rPr>
      <w:rFonts w:cs="Mangal"/>
      <w:szCs w:val="21"/>
    </w:rPr>
  </w:style>
  <w:style w:type="paragraph" w:styleId="Footer">
    <w:name w:val="footer"/>
    <w:basedOn w:val="Normal"/>
    <w:link w:val="PiedepginaCar"/>
    <w:uiPriority w:val="99"/>
    <w:unhideWhenUsed/>
    <w:rsid w:val="00354f98"/>
    <w:pPr>
      <w:tabs>
        <w:tab w:val="clear" w:pos="720"/>
        <w:tab w:val="center" w:pos="4252" w:leader="none"/>
        <w:tab w:val="right" w:pos="8504" w:leader="none"/>
      </w:tabs>
    </w:pPr>
    <w:rPr>
      <w:rFonts w:cs="Mangal"/>
      <w:szCs w:val="21"/>
    </w:rPr>
  </w:style>
  <w:style w:type="paragraph" w:styleId="TOC3">
    <w:name w:val="toc 3"/>
    <w:basedOn w:val="Normal"/>
    <w:next w:val="Normal"/>
    <w:autoRedefine/>
    <w:uiPriority w:val="39"/>
    <w:unhideWhenUsed/>
    <w:rsid w:val="005e7fe1"/>
    <w:pPr>
      <w:spacing w:before="0" w:after="100"/>
      <w:ind w:start="480"/>
    </w:pPr>
    <w:rPr>
      <w:rFonts w:cs="Mangal"/>
      <w:szCs w:val="21"/>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numbering" w:styleId="Listaactual1" w:customStyle="1">
    <w:name w:val="Lista actual1"/>
    <w:uiPriority w:val="99"/>
    <w:qFormat/>
    <w:rsid w:val="00d93f72"/>
  </w:style>
  <w:style w:type="numbering" w:styleId="Listaactual2" w:customStyle="1">
    <w:name w:val="Lista actual2"/>
    <w:uiPriority w:val="99"/>
    <w:qFormat/>
    <w:rsid w:val="00d93f72"/>
  </w:style>
  <w:style w:type="numbering" w:styleId="Listaactual3" w:customStyle="1">
    <w:name w:val="Lista actual3"/>
    <w:uiPriority w:val="99"/>
    <w:qFormat/>
    <w:rsid w:val="00c15370"/>
  </w:style>
  <w:style w:type="numbering" w:styleId="Listaactual4" w:customStyle="1">
    <w:name w:val="Lista actual4"/>
    <w:uiPriority w:val="99"/>
    <w:qFormat/>
    <w:rsid w:val="00c15370"/>
  </w:style>
  <w:style w:type="numbering" w:styleId="Listaactual5" w:customStyle="1">
    <w:name w:val="Lista actual5"/>
    <w:uiPriority w:val="99"/>
    <w:qFormat/>
    <w:rsid w:val="00340ea3"/>
  </w:style>
  <w:style w:type="numbering" w:styleId="Listaactual6" w:customStyle="1">
    <w:name w:val="Lista actual6"/>
    <w:uiPriority w:val="99"/>
    <w:qFormat/>
    <w:rsid w:val="00340ea3"/>
  </w:style>
  <w:style w:type="numbering" w:styleId="Numeracin123">
    <w:name w:val="Numeración 123"/>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NormalTable0">
    <w:name w:val="Normal Table0"/>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15">
    <w:name w:val="15"/>
    <w:basedOn w:val="TableNormal1"/>
    <w:tblPr>
      <w:tblStyleRowBandSize w:val="1"/>
      <w:tblStyleColBandSize w:val="1"/>
      <w:tblCellMar>
        <w:left w:w="115" w:type="dxa"/>
        <w:right w:w="115" w:type="dxa"/>
      </w:tblCellMar>
    </w:tblPr>
  </w:style>
  <w:style w:type="table" w:customStyle="1" w:styleId="14">
    <w:name w:val="14"/>
    <w:basedOn w:val="TableNormal1"/>
    <w:tblPr>
      <w:tblStyleRowBandSize w:val="1"/>
      <w:tblStyleColBandSize w:val="1"/>
      <w:tblCellMar>
        <w:left w:w="115" w:type="dxa"/>
        <w:right w:w="115" w:type="dxa"/>
      </w:tblCellMar>
    </w:tblPr>
  </w:style>
  <w:style w:type="table" w:customStyle="1" w:styleId="13">
    <w:name w:val="13"/>
    <w:basedOn w:val="TableNormal1"/>
    <w:tblPr>
      <w:tblStyleRowBandSize w:val="1"/>
      <w:tblStyleColBandSize w:val="1"/>
      <w:tblCellMar>
        <w:left w:w="115" w:type="dxa"/>
        <w:right w:w="115" w:type="dxa"/>
      </w:tblCellMar>
    </w:tblPr>
  </w:style>
  <w:style w:type="table" w:customStyle="1" w:styleId="12">
    <w:name w:val="12"/>
    <w:basedOn w:val="TableNormal1"/>
    <w:tblPr>
      <w:tblStyleRowBandSize w:val="1"/>
      <w:tblStyleColBandSize w:val="1"/>
      <w:tblCellMar>
        <w:left w:w="115" w:type="dxa"/>
        <w:right w:w="115" w:type="dxa"/>
      </w:tblCellMar>
    </w:tblPr>
  </w:style>
  <w:style w:type="table" w:customStyle="1" w:styleId="11">
    <w:name w:val="11"/>
    <w:basedOn w:val="TableNormal1"/>
    <w:tblPr>
      <w:tblStyleRowBandSize w:val="1"/>
      <w:tblStyleColBandSize w:val="1"/>
      <w:tblCellMar>
        <w:left w:w="115" w:type="dxa"/>
        <w:right w:w="115" w:type="dxa"/>
      </w:tblCellMar>
    </w:tblPr>
  </w:style>
  <w:style w:type="table" w:customStyle="1" w:styleId="10">
    <w:name w:val="10"/>
    <w:basedOn w:val="TableNormal1"/>
    <w:tblPr>
      <w:tblStyleRowBandSize w:val="1"/>
      <w:tblStyleColBandSize w:val="1"/>
      <w:tblCellMar>
        <w:left w:w="115" w:type="dxa"/>
        <w:right w:w="115" w:type="dxa"/>
      </w:tblCellMar>
    </w:tblPr>
  </w:style>
  <w:style w:type="table" w:customStyle="1" w:styleId="9">
    <w:name w:val="9"/>
    <w:basedOn w:val="TableNormal1"/>
    <w:tblPr>
      <w:tblStyleRowBandSize w:val="1"/>
      <w:tblStyleColBandSize w:val="1"/>
      <w:tblCellMar>
        <w:left w:w="115" w:type="dxa"/>
        <w:right w:w="115" w:type="dxa"/>
      </w:tblCellMar>
    </w:tblPr>
  </w:style>
  <w:style w:type="table" w:customStyle="1" w:styleId="8">
    <w:name w:val="8"/>
    <w:basedOn w:val="TableNormal1"/>
    <w:tblPr>
      <w:tblStyleRowBandSize w:val="1"/>
      <w:tblStyleColBandSize w:val="1"/>
      <w:tblCellMar>
        <w:left w:w="115" w:type="dxa"/>
        <w:right w:w="115" w:type="dxa"/>
      </w:tblCellMar>
    </w:tblPr>
  </w:style>
  <w:style w:type="table" w:customStyle="1" w:styleId="7">
    <w:name w:val="7"/>
    <w:basedOn w:val="TableNormal1"/>
    <w:tblPr>
      <w:tblStyleRowBandSize w:val="1"/>
      <w:tblStyleColBandSize w:val="1"/>
      <w:tblCellMar>
        <w:left w:w="115" w:type="dxa"/>
        <w:right w:w="115" w:type="dxa"/>
      </w:tblCellMar>
    </w:tblPr>
  </w:style>
  <w:style w:type="table" w:customStyle="1" w:styleId="6">
    <w:name w:val="6"/>
    <w:basedOn w:val="TableNormal1"/>
    <w:tblPr>
      <w:tblStyleRowBandSize w:val="1"/>
      <w:tblStyleColBandSize w:val="1"/>
      <w:tblCellMar>
        <w:top w:w="15" w:type="dxa"/>
        <w:left w:w="15" w:type="dxa"/>
        <w:bottom w:w="15" w:type="dxa"/>
        <w:right w:w="15" w:type="dxa"/>
      </w:tblCellMar>
    </w:tblPr>
  </w:style>
  <w:style w:type="table" w:customStyle="1" w:styleId="5">
    <w:name w:val="5"/>
    <w:basedOn w:val="TableNormal1"/>
    <w:tblPr>
      <w:tblStyleRowBandSize w:val="1"/>
      <w:tblStyleColBandSize w:val="1"/>
      <w:tblCellMar>
        <w:top w:w="15" w:type="dxa"/>
        <w:left w:w="15" w:type="dxa"/>
        <w:bottom w:w="15" w:type="dxa"/>
        <w:right w:w="15" w:type="dxa"/>
      </w:tblCellMar>
    </w:tblPr>
  </w:style>
  <w:style w:type="table" w:customStyle="1" w:styleId="4">
    <w:name w:val="4"/>
    <w:basedOn w:val="TableNormal1"/>
    <w:tblPr>
      <w:tblStyleRowBandSize w:val="1"/>
      <w:tblStyleColBandSize w:val="1"/>
      <w:tblCellMar>
        <w:top w:w="15" w:type="dxa"/>
        <w:left w:w="15" w:type="dxa"/>
        <w:bottom w:w="15" w:type="dxa"/>
        <w:right w:w="15" w:type="dxa"/>
      </w:tblCellMar>
    </w:tblPr>
  </w:style>
  <w:style w:type="table" w:customStyle="1" w:styleId="3">
    <w:name w:val="3"/>
    <w:basedOn w:val="TableNormal1"/>
    <w:tblPr>
      <w:tblStyleRowBandSize w:val="1"/>
      <w:tblStyleColBandSize w:val="1"/>
      <w:tblCellMar>
        <w:top w:w="15" w:type="dxa"/>
        <w:left w:w="15" w:type="dxa"/>
        <w:bottom w:w="15" w:type="dxa"/>
        <w:right w:w="15" w:type="dxa"/>
      </w:tblCellMar>
    </w:tblPr>
  </w:style>
  <w:style w:type="table" w:customStyle="1" w:styleId="2">
    <w:name w:val="2"/>
    <w:basedOn w:val="TableNormal1"/>
    <w:tblPr>
      <w:tblStyleRowBandSize w:val="1"/>
      <w:tblStyleColBandSize w:val="1"/>
      <w:tblCellMar>
        <w:top w:w="15" w:type="dxa"/>
        <w:left w:w="15" w:type="dxa"/>
        <w:bottom w:w="15" w:type="dxa"/>
        <w:right w:w="15" w:type="dxa"/>
      </w:tblCellMar>
    </w:tblPr>
  </w:style>
  <w:style w:type="table" w:customStyle="1" w:styleId="1">
    <w:name w:val="1"/>
    <w:basedOn w:val="TableNormal1"/>
    <w:tblPr>
      <w:tblStyleRowBandSize w:val="1"/>
      <w:tblStyleColBandSize w:val="1"/>
      <w:tblCellMar>
        <w:top w:w="15" w:type="dxa"/>
        <w:left w:w="15" w:type="dxa"/>
        <w:bottom w:w="15" w:type="dxa"/>
        <w:right w:w="15" w:type="dxa"/>
      </w:tblCellMar>
    </w:tblPr>
  </w:style>
  <w:style w:type="table" w:styleId="Tablaconcuadrcula">
    <w:name w:val="Table Grid"/>
    <w:basedOn w:val="Tablanormal"/>
    <w:uiPriority w:val="39"/>
    <w:rsid w:val="00ab14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 Id="rId20" Type="http://schemas.openxmlformats.org/officeDocument/2006/relationships/customXml" Target="../customXml/item2.xml"/><Relationship Id="rId21" Type="http://schemas.openxmlformats.org/officeDocument/2006/relationships/customXml" Target="../customXml/item3.xml"/><Relationship Id="rId22" Type="http://schemas.openxmlformats.org/officeDocument/2006/relationships/customXml" Target="../customXml/item4.xml"/><Relationship Id="rId23" Type="http://schemas.openxmlformats.org/officeDocument/2006/relationships/customXml" Target="../customXml/item5.xml"/>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0E09E530733144B5C4EF553A6F1A0D" ma:contentTypeVersion="11" ma:contentTypeDescription="Crear nuevo documento." ma:contentTypeScope="" ma:versionID="7c398035f8f4e2768790184cf71e25e2">
  <xsd:schema xmlns:xsd="http://www.w3.org/2001/XMLSchema" xmlns:xs="http://www.w3.org/2001/XMLSchema" xmlns:p="http://schemas.microsoft.com/office/2006/metadata/properties" xmlns:ns2="c820cf46-aa12-4989-bf31-d1f3ef84801d" targetNamespace="http://schemas.microsoft.com/office/2006/metadata/properties" ma:root="true" ma:fieldsID="180ec0ddd0965cb936b3dff2c6712758" ns2:_="">
    <xsd:import namespace="c820cf46-aa12-4989-bf31-d1f3ef84801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20cf46-aa12-4989-bf31-d1f3ef8480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roundtripDataSignature="AMtx7mgINilhm4H+80VnLtMO0Dn44TYfmQ==">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</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820cf46-aa12-4989-bf31-d1f3ef8480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AF5A81-7663-4E23-8486-8FDA18FDBE18}"/>
</file>

<file path=customXml/itemProps2.xml><?xml version="1.0" encoding="utf-8"?>
<ds:datastoreItem xmlns:ds="http://schemas.openxmlformats.org/officeDocument/2006/customXml" ds:itemID="{0F3AB69A-56EA-4E25-A6D7-3475EF1B1FFB}">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51A1706-D37D-4353-83D4-B413DF7F4636}">
  <ds:schemaRefs>
    <ds:schemaRef ds:uri="http://schemas.microsoft.com/sharepoint/v3/contenttype/forms"/>
  </ds:schemaRefs>
</ds:datastoreItem>
</file>

<file path=customXml/itemProps5.xml><?xml version="1.0" encoding="utf-8"?>
<ds:datastoreItem xmlns:ds="http://schemas.openxmlformats.org/officeDocument/2006/customXml" ds:itemID="{31C267FF-D8EF-4C59-BF54-706F09721ED9}">
  <ds:schemaRefs>
    <ds:schemaRef ds:uri="http://schemas.microsoft.com/office/2006/metadata/properties"/>
    <ds:schemaRef ds:uri="http://schemas.microsoft.com/office/infopath/2007/PartnerControls"/>
    <ds:schemaRef ds:uri="c820cf46-aa12-4989-bf31-d1f3ef84801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LibreOffice/25.8.1.1$Windows_X86_64 LibreOffice_project/54047653041915e595ad4e45cccea684809c77b5</Application>
  <AppVersion>15.0000</AppVersion>
  <Pages>29</Pages>
  <Words>7143</Words>
  <Characters>41913</Characters>
  <CharactersWithSpaces>48525</CharactersWithSpaces>
  <Paragraphs>463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2025-09-29T08:40:00Z</dcterms:created>
  <dc:creator>David</dc:creator>
  <dc:description/>
  <dc:language>es-ES</dc:language>
  <cp:lastModifiedBy/>
  <cp:lastPrinted>2022-09-09T00:26:00Z</cp:lastPrinted>
  <dcterms:modified xsi:type="dcterms:W3CDTF">2025-10-03T09:57:03Z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0x010100A50E09E530733144B5C4EF553A6F1A0D</vt:lpwstr>
  </property>
  <property fmtid="{D5CDD505-2E9C-101B-9397-08002B2CF9AE}" pid="3" name="MediaServiceImageTags">
    <vt:lpwstr/>
  </property>
</Properties>
</file>