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1F3864"/>
          <w:sz w:val="56"/>
          <w:szCs w:val="56"/>
        </w:rPr>
        <w:t xml:space="preserve">PLAN DE EMPRESA</w:t>
      </w:r>
    </w:p>
    <w:p>
      <w:pPr>
        <w:spacing w:after="0" w:before="200"/>
        <w:jc w:val="center"/>
      </w:pPr>
      <w:r>
        <w:rPr>
          <w:rFonts w:ascii="Calibri" w:cs="Calibri" w:eastAsia="Calibri" w:hAnsi="Calibri"/>
          <w:color w:val="2F5496"/>
          <w:sz w:val="32"/>
          <w:szCs w:val="32"/>
        </w:rPr>
        <w:t xml:space="preserve">Solicitud de cuenta de crédito</w:t>
      </w:r>
    </w:p>
    <w:p>
      <w:pPr>
        <w:spacing w:after="0" w:before="80"/>
        <w:jc w:val="center"/>
      </w:pPr>
      <w:r>
        <w:rPr>
          <w:rFonts w:ascii="Calibri" w:cs="Calibri" w:eastAsia="Calibri" w:hAnsi="Calibri"/>
          <w:color w:val="595959"/>
          <w:sz w:val="24"/>
          <w:szCs w:val="24"/>
        </w:rPr>
        <w:t xml:space="preserve">Línea de circulante para financiación de existencias · CaixaBank Now</w:t>
      </w:r>
    </w:p>
    <w:p>
      <w:pPr>
        <w:spacing w:after="0" w:before="1600"/>
        <w:jc w:val="center"/>
      </w:pPr>
      <w:r>
        <w:rPr>
          <w:rFonts w:ascii="Calibri" w:cs="Calibri" w:eastAsia="Calibri" w:hAnsi="Calibri"/>
          <w:b/>
          <w:bCs/>
          <w:sz w:val="32"/>
          <w:szCs w:val="32"/>
        </w:rPr>
        <w:t xml:space="preserve">EKIO BIOTECH, S.L.U.</w:t>
      </w:r>
    </w:p>
    <w:p>
      <w:pPr>
        <w:spacing w:after="0" w:before="80"/>
        <w:jc w:val="center"/>
      </w:pPr>
      <w:r>
        <w:rPr>
          <w:rFonts w:ascii="Calibri" w:cs="Calibri" w:eastAsia="Calibri" w:hAnsi="Calibri"/>
          <w:sz w:val="24"/>
          <w:szCs w:val="24"/>
        </w:rPr>
        <w:t xml:space="preserve">CIF B93860096</w:t>
      </w:r>
    </w:p>
    <w:p>
      <w:pPr>
        <w:spacing w:after="0" w:before="40"/>
        <w:jc w:val="center"/>
      </w:pPr>
      <w:r>
        <w:rPr>
          <w:rFonts w:ascii="Calibri" w:cs="Calibri" w:eastAsia="Calibri" w:hAnsi="Calibri"/>
          <w:color w:val="595959"/>
          <w:sz w:val="22"/>
          <w:szCs w:val="22"/>
        </w:rPr>
        <w:t xml:space="preserve">Barrio de Arriba 39 · 49327 Cubo de Benavente (Zamora)</w:t>
      </w:r>
    </w:p>
    <w:p>
      <w:pPr>
        <w:spacing w:after="0" w:before="1800"/>
        <w:jc w:val="center"/>
      </w:pPr>
      <w:r>
        <w:rPr>
          <w:rFonts w:ascii="Calibri" w:cs="Calibri" w:eastAsia="Calibri" w:hAnsi="Calibri"/>
          <w:color w:val="595959"/>
          <w:sz w:val="22"/>
          <w:szCs w:val="22"/>
        </w:rPr>
        <w:t xml:space="preserve">30 de agosto de 2026</w:t>
      </w:r>
    </w:p>
    <w:p>
      <w:pPr>
        <w:spacing w:after="0" w:before="40"/>
        <w:jc w:val="center"/>
      </w:pPr>
      <w:r>
        <w:rPr>
          <w:rFonts w:ascii="Calibri" w:cs="Calibri" w:eastAsia="Calibri" w:hAnsi="Calibri"/>
          <w:i/>
          <w:iCs/>
          <w:color w:val="808080"/>
          <w:sz w:val="18"/>
          <w:szCs w:val="18"/>
        </w:rPr>
        <w:t xml:space="preserve">Documento confidencial — uso exclusivo para evaluación de riesgos de CaixaBank</w:t>
      </w:r>
    </w:p>
    <w:p>
      <w:r>
        <w:br w:type="page"/>
      </w:r>
    </w:p>
    <w:p>
      <w:pPr>
        <w:pStyle w:val="Heading1"/>
        <w:spacing w:after="160"/>
      </w:pPr>
      <w:r>
        <w:rPr>
          <w:rFonts w:ascii="Calibri" w:cs="Calibri" w:eastAsia="Calibri" w:hAnsi="Calibri"/>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20"/>
          <w:szCs w:val="20"/>
        </w:rPr>
        <w:t xml:space="preserve">Para actualizar el índice en Word: clic derecho sobre él → «Actualizar campos» → «Actualizar toda la tabla».</w:t>
      </w:r>
    </w:p>
    <w:p>
      <w:r>
        <w:br w:type="page"/>
      </w:r>
    </w:p>
    <w:p>
      <w:pPr>
        <w:pStyle w:val="Heading1"/>
        <w:spacing w:after="160" w:before="320"/>
      </w:pPr>
      <w:r>
        <w:rPr>
          <w:rFonts w:ascii="Calibri" w:cs="Calibri" w:eastAsia="Calibri" w:hAnsi="Calibri"/>
          <w:b/>
          <w:bCs/>
          <w:color w:val="1F3864"/>
          <w:sz w:val="30"/>
          <w:szCs w:val="30"/>
        </w:rPr>
        <w:t xml:space="preserve">1. Datos de la empresa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6"/>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Campo</w:t>
            </w:r>
          </w:p>
        </w:tc>
        <w:tc>
          <w:tcPr>
            <w:tcW w:type="dxa" w:w="6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Alta censal y CNAE de la sociedad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confirmar que la SLU tiene alta censal y CNAE asignado a fecha de solicitud]</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30 de agosto de 2026</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 para el banco</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nombre, email y teléfono de contacto]</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9.4).</w:t>
      </w:r>
    </w:p>
    <w:p>
      <w:pPr>
        <w:pStyle w:val="Heading1"/>
        <w:spacing w:after="160" w:before="320"/>
      </w:pPr>
      <w:r>
        <w:rPr>
          <w:rFonts w:ascii="Calibri" w:cs="Calibri" w:eastAsia="Calibri" w:hAnsi="Calibri"/>
          <w:b/>
          <w:bCs/>
          <w:color w:val="1F3864"/>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es un negocio de venta de tecnología para el bienestar que opera desde 2023. Empezó como distribuidor en España de la tecnología de protección electromagnética Spiro (fabricante Noxtak / SG Labs, Miami). Desde 2025 ha dado el salto a marca propia con la línea Ekio Light, equipos de fotobiomodulación fabricados / ensamblados por un proveedor especializado bajo diseño y especificación de Ekio, con propiedad industrial propia (Modelo de Utilidad registrado y solicitud de patente internacional del sistema SFPA en curso) y con software propio de gestión y de uso para clientes. La actividad se ha desarrollado hasta 2026 bajo la figura de empresario individual (Francisco Javier Andrés Andrés) y en 2026 se aporta como negocio en funcionamiento a la sociedad EKIO BIOTECH, S.L.U., que la continúa. La venta es mayoritariamente digital, a través de electrosmogespana.com, sin necesidad de llamada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institucional de 70.000 €, en amortización y al corriente de pago; no hay capital de terceros. El detalle de ese préstamo se aporta en la sección 6 y en la documentación de soporte.</w:t>
      </w:r>
    </w:p>
    <w:p>
      <w:pPr>
        <w:pStyle w:val="ListParagraph"/>
        <w:numPr>
          <w:ilvl w:val="0"/>
          <w:numId w:val="2"/>
        </w:numPr>
        <w:spacing w:after="100" w:line="288"/>
      </w:pPr>
      <w:r>
        <w:rPr>
          <w:rFonts w:ascii="Calibri" w:cs="Calibri" w:eastAsia="Calibri" w:hAnsi="Calibri"/>
          <w:b/>
          <w:bCs/>
          <w:sz w:val="22"/>
          <w:szCs w:val="22"/>
        </w:rPr>
        <w:t xml:space="preserve">Ingresos recurrentes y canal digital maduro. </w:t>
      </w:r>
      <w:r>
        <w:rPr>
          <w:rFonts w:ascii="Calibri" w:cs="Calibri" w:eastAsia="Calibri" w:hAnsi="Calibri"/>
          <w:sz w:val="22"/>
          <w:szCs w:val="22"/>
        </w:rPr>
        <w:t xml:space="preserve">Base de clientes y de contactos construida a lo largo de tres años, tienda online operativa con pasarela propia y un conjunto de herramientas de venta y marketing digital en funcionamiento (Shopify, Klaviyo, ManyChat, Meta Ads, Google Search Console, Microsoft Clarity). La venta se cierra en la ficha de producto, sin intervención de un comercial.</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Calibri" w:cs="Calibri" w:eastAsia="Calibri" w:hAnsi="Calibri"/>
          <w:i/>
          <w:iCs/>
          <w:color w:val="595959"/>
          <w:sz w:val="20"/>
          <w:szCs w:val="20"/>
        </w:rPr>
        <w:t xml:space="preserve">En volumen, la facturación del primer semestre de 2026 (207.815 €) anualiza por debajo del ritmo de 2024 y 2025: durante la transición a producto propio y la migración de tienda (de WooCommerce a Shopify, completada en noviembre de 2025) la actividad ha priorizado margen sobre volumen. La campaña de Q4 es el punto de inflexión previsto para recuperar volumen sin renunciar al margen ganado.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A largo plazo, la empresa aspira a posicionar su marca propia Ekio Light como referente europeo —y después estadounidense— en tecnología de bienestar personal, apoyada en propiedad industrial y software propios. Es un horizonte de varios años, gradual y autofinanciado con el margen del negocio (sección 8). Conviene subrayar que esta línea de crédito no financia esa expansión: financia únicamente el stock de la campaña nacional de este cuarto trimestre.</w:t>
      </w:r>
    </w:p>
    <w:p>
      <w:pPr>
        <w:pStyle w:val="Heading1"/>
        <w:spacing w:after="160" w:before="320"/>
      </w:pPr>
      <w:r>
        <w:rPr>
          <w:rFonts w:ascii="Calibri" w:cs="Calibri" w:eastAsia="Calibri" w:hAnsi="Calibri"/>
          <w:b/>
          <w:bCs/>
          <w:color w:val="1F3864"/>
          <w:sz w:val="30"/>
          <w:szCs w:val="30"/>
        </w:rPr>
        <w:t xml:space="preserve">3. Trayectoria y equipo</w:t>
      </w:r>
    </w:p>
    <w:p>
      <w:pPr>
        <w:pStyle w:val="Heading2"/>
        <w:spacing w:after="120" w:before="220"/>
      </w:pPr>
      <w:r>
        <w:rPr>
          <w:rFonts w:ascii="Calibri" w:cs="Calibri" w:eastAsia="Calibri" w:hAnsi="Calibri"/>
          <w:b/>
          <w:bCs/>
          <w:color w:val="2F5496"/>
          <w:sz w:val="24"/>
          <w:szCs w:val="24"/>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con la distribución en España de la tecnología Spiro. En 2024, año de consolidación de esa distribución, la actividad factura 534.504 €, con un margen bruto del 38,4 % y un resultado de +52.493 €. Se construye desde cero la base de clientes, la comunidad y el canal de venta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En 2025 la facturación se mantiene (537.845 €). El resultado (+19.301 €) baja respecto a 2024 por una inversión extraordinaria de explotación —34.316 € adicionales en publicidad y 18.264 € adicionales en servicios profesionales— para lanzar la línea Ekio Light. Es una inversión de un ejercicio con retorno en el siguiente.</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En el primer semestre de 2026 la actividad factura 207.815 € con un margen bruto del 55,9 % y un resultado de +78.738 €. La mejora del margen es coherente con el mayor peso de la línea Ekio Light (margen bruto superior al 50 %) y con un mix de producto de mayor valor. La línea Ekio Light acumula unos 76.000 € de ventas desde su lanzamiento (repartidas entre la tienda anterior en WooCommerce hasta octubre de 2025 y Shopify desde noviembre de 2025); el tramo ya en Shopify (noviembre de 2025 a junio de 2026) suma unos 18.760 € netos y 116 unidades.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Sobre el margen bruto por ejercicio: </w:t>
      </w:r>
      <w:r>
        <w:rPr>
          <w:rFonts w:ascii="Calibri" w:cs="Calibri" w:eastAsia="Calibri" w:hAnsi="Calibri"/>
          <w:i/>
          <w:iCs/>
          <w:color w:val="595959"/>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595959"/>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Calibri" w:cs="Calibri" w:eastAsia="Calibri" w:hAnsi="Calibri"/>
          <w:b/>
          <w:bCs/>
          <w:color w:val="2F5496"/>
          <w:sz w:val="24"/>
          <w:szCs w:val="24"/>
        </w:rPr>
        <w:t xml:space="preserve">3.2. Continuidad jurídica: de empresario individual a sociedad</w:t>
      </w:r>
    </w:p>
    <w:p>
      <w:pPr>
        <w:spacing w:after="120" w:line="288"/>
      </w:pPr>
      <w:r>
        <w:rPr>
          <w:rFonts w:ascii="Calibri" w:cs="Calibri" w:eastAsia="Calibri" w:hAnsi="Calibri"/>
          <w:sz w:val="22"/>
          <w:szCs w:val="22"/>
        </w:rPr>
        <w:t xml:space="preserve">La actividad se ha desarrollado desde 2023 como empresario individual (autónomo): Francisco Javier Andrés Andrés, NIF 09338115T. En 2026, ese negocio en funcionamiento se aporta a la sociedad EKIO BIOTECH, S.L.U. (CIF B93860096), de reciente constitución, que pasa a ser el vehículo jurídico de la misma actividad económica.</w:t>
      </w:r>
    </w:p>
    <w:p>
      <w:pPr>
        <w:spacing w:after="120" w:line="288"/>
      </w:pPr>
      <w:r>
        <w:rPr>
          <w:rFonts w:ascii="Calibri" w:cs="Calibri" w:eastAsia="Calibri" w:hAnsi="Calibri"/>
          <w:sz w:val="22"/>
          <w:szCs w:val="22"/>
        </w:rPr>
        <w:t xml:space="preserve">Consecuencias para el análisis bancario, expuestas con transparencia:</w:t>
      </w:r>
    </w:p>
    <w:p>
      <w:pPr>
        <w:pStyle w:val="ListParagraph"/>
        <w:numPr>
          <w:ilvl w:val="0"/>
          <w:numId w:val="3"/>
        </w:numPr>
        <w:spacing w:after="100" w:line="288"/>
      </w:pPr>
      <w:r>
        <w:rPr>
          <w:rFonts w:ascii="Calibri" w:cs="Calibri" w:eastAsia="Calibri" w:hAnsi="Calibri"/>
          <w:sz w:val="22"/>
          <w:szCs w:val="22"/>
        </w:rPr>
        <w:t xml:space="preserve">El track record de ventas, comunidad y márgenes descrito en este plan corresponde a la misma actividad económica bajo el titular anterior (el autónomo). La SLU la continúa sin ruptura de negocio.</w:t>
      </w:r>
    </w:p>
    <w:p>
      <w:pPr>
        <w:pStyle w:val="ListParagraph"/>
        <w:numPr>
          <w:ilvl w:val="0"/>
          <w:numId w:val="3"/>
        </w:numPr>
        <w:spacing w:after="100" w:line="288"/>
      </w:pPr>
      <w:r>
        <w:rPr>
          <w:rFonts w:ascii="Calibri" w:cs="Calibri" w:eastAsia="Calibri" w:hAnsi="Calibri"/>
          <w:sz w:val="22"/>
          <w:szCs w:val="22"/>
        </w:rPr>
        <w:t xml:space="preserve">La SLU es nueva y todavía no tiene cuentas anuales propias depositadas. El histórico se acredita con la documentación del autónomo: declaraciones de IRPF, modelos 130 y 390, y P&amp;L de gestión de Holded.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fecha exacta de la escritura de constitución de la SLU y de la aportación del negocio; confirmación de alta censal y CNAE de la sociedad a fecha de solicitud.]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confirmar situación de estar al corriente de pago con la AEAT y con la Seguridad Social. Si existe algún aplazamiento o fraccionamiento de deuda con la AEAT o la TGSS, se declarará expresamente su importe, calendario y estado de cumplimiento, por ser información relevante para el análisis. CaixaBank exigirá los certificados correspondientes.]</w:t>
      </w:r>
    </w:p>
    <w:p>
      <w:pPr>
        <w:pStyle w:val="Heading2"/>
        <w:spacing w:after="120" w:before="220"/>
      </w:pPr>
      <w:r>
        <w:rPr>
          <w:rFonts w:ascii="Calibri" w:cs="Calibri" w:eastAsia="Calibri" w:hAnsi="Calibri"/>
          <w:b/>
          <w:bCs/>
          <w:color w:val="2F5496"/>
          <w:sz w:val="24"/>
          <w:szCs w:val="24"/>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el número exacto de personas en plantilla y de colaboradores externos habituales.]</w:t>
      </w:r>
    </w:p>
    <w:p>
      <w:pPr>
        <w:pStyle w:val="Heading2"/>
        <w:spacing w:after="120" w:before="220"/>
      </w:pPr>
      <w:r>
        <w:rPr>
          <w:rFonts w:ascii="Calibri" w:cs="Calibri" w:eastAsia="Calibri" w:hAnsi="Calibri"/>
          <w:b/>
          <w:bCs/>
          <w:color w:val="2F5496"/>
          <w:sz w:val="24"/>
          <w:szCs w:val="24"/>
        </w:rPr>
        <w:t xml:space="preserve">3.4. Reseña profesional del fundador</w:t>
      </w:r>
    </w:p>
    <w:p>
      <w:pPr>
        <w:spacing w:after="120" w:line="288"/>
      </w:pPr>
      <w:r>
        <w:rPr>
          <w:rFonts w:ascii="Calibri" w:cs="Calibri" w:eastAsia="Calibri" w:hAnsi="Calibri"/>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Calibri" w:cs="Calibri" w:eastAsia="Calibri" w:hAnsi="Calibri"/>
          <w:b/>
          <w:bCs/>
          <w:sz w:val="22"/>
          <w:szCs w:val="22"/>
        </w:rPr>
        <w:t xml:space="preserve">Creación y dirección del negocio (2023–actualidad). </w:t>
      </w:r>
      <w:r>
        <w:rPr>
          <w:rFonts w:ascii="Calibri" w:cs="Calibri" w:eastAsia="Calibri" w:hAnsi="Calibri"/>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Calibri" w:cs="Calibri" w:eastAsia="Calibri" w:hAnsi="Calibri"/>
          <w:b/>
          <w:bCs/>
          <w:sz w:val="22"/>
          <w:szCs w:val="22"/>
        </w:rPr>
        <w:t xml:space="preserve">Paso a marca propia. </w:t>
      </w:r>
      <w:r>
        <w:rPr>
          <w:rFonts w:ascii="Calibri" w:cs="Calibri" w:eastAsia="Calibri" w:hAnsi="Calibri"/>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Calibri" w:cs="Calibri" w:eastAsia="Calibri" w:hAnsi="Calibri"/>
          <w:b/>
          <w:bCs/>
          <w:sz w:val="22"/>
          <w:szCs w:val="22"/>
        </w:rPr>
        <w:t xml:space="preserve">Dirección del departamento de I+D de Ekio. </w:t>
      </w:r>
      <w:r>
        <w:rPr>
          <w:rFonts w:ascii="Calibri" w:cs="Calibri" w:eastAsia="Calibri" w:hAnsi="Calibri"/>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Calibri" w:cs="Calibri" w:eastAsia="Calibri" w:hAnsi="Calibri"/>
          <w:b/>
          <w:bCs/>
          <w:sz w:val="22"/>
          <w:szCs w:val="22"/>
        </w:rPr>
        <w:t xml:space="preserve">Divulgación. </w:t>
      </w:r>
      <w:r>
        <w:rPr>
          <w:rFonts w:ascii="Calibri" w:cs="Calibri" w:eastAsia="Calibri" w:hAnsi="Calibri"/>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Calibri" w:cs="Calibri" w:eastAsia="Calibri" w:hAnsi="Calibri"/>
          <w:b/>
          <w:bCs/>
          <w:sz w:val="22"/>
          <w:szCs w:val="22"/>
        </w:rPr>
        <w:t xml:space="preserve">Reconocimiento institucional. </w:t>
      </w:r>
      <w:r>
        <w:rPr>
          <w:rFonts w:ascii="Calibri" w:cs="Calibri" w:eastAsia="Calibri" w:hAnsi="Calibri"/>
          <w:sz w:val="22"/>
          <w:szCs w:val="22"/>
        </w:rPr>
        <w:t xml:space="preserve">Impulsó la incorporación de Ekio al programa de Wolaria / ICECYL y su presencia como stand propio en Startup OLÉ y Valencia Digital Summit 2026.</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completar con formación académica, trayectoria profesional previa a 2023 y años de experiencia en el sector, para una reseña curricular completa.]</w:t>
      </w:r>
    </w:p>
    <w:p>
      <w:pPr>
        <w:pStyle w:val="Heading1"/>
        <w:spacing w:after="160" w:before="320"/>
      </w:pPr>
      <w:r>
        <w:rPr>
          <w:rFonts w:ascii="Calibri" w:cs="Calibri" w:eastAsia="Calibri" w:hAnsi="Calibri"/>
          <w:b/>
          <w:bCs/>
          <w:color w:val="1F3864"/>
          <w:sz w:val="30"/>
          <w:szCs w:val="30"/>
        </w:rPr>
        <w:t xml:space="preserve">4. Modelo de negocio y líneas de producto</w:t>
      </w:r>
    </w:p>
    <w:p>
      <w:pPr>
        <w:pStyle w:val="Heading2"/>
        <w:spacing w:after="120" w:before="220"/>
      </w:pPr>
      <w:r>
        <w:rPr>
          <w:rFonts w:ascii="Calibri" w:cs="Calibri" w:eastAsia="Calibri" w:hAnsi="Calibri"/>
          <w:b/>
          <w:bCs/>
          <w:color w:val="2F5496"/>
          <w:sz w:val="24"/>
          <w:szCs w:val="24"/>
        </w:rPr>
        <w:t xml:space="preserve">4.1. Línea Spiro — distribución en España</w:t>
      </w:r>
    </w:p>
    <w:p>
      <w:pPr>
        <w:spacing w:after="120" w:line="288"/>
      </w:pPr>
      <w:r>
        <w:rPr>
          <w:rFonts w:ascii="Calibri" w:cs="Calibri" w:eastAsia="Calibri" w:hAnsi="Calibri"/>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pStyle w:val="ListParagraph"/>
        <w:numPr>
          <w:ilvl w:val="0"/>
          <w:numId w:val="3"/>
        </w:numPr>
        <w:spacing w:after="100" w:line="288"/>
      </w:pPr>
      <w:r>
        <w:rPr>
          <w:rFonts w:ascii="Calibri" w:cs="Calibri" w:eastAsia="Calibri" w:hAnsi="Calibri"/>
          <w:b/>
          <w:bCs/>
          <w:sz w:val="22"/>
          <w:szCs w:val="22"/>
        </w:rPr>
        <w:t xml:space="preserve">Respaldo del fabricante. </w:t>
      </w:r>
      <w:r>
        <w:rPr>
          <w:rFonts w:ascii="Calibri" w:cs="Calibri" w:eastAsia="Calibri" w:hAnsi="Calibri"/>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 [PENDIENTE: relación de patentes y de premios facilitada por Noxtak, para adjuntar.]</w:t>
      </w:r>
    </w:p>
    <w:p>
      <w:pPr>
        <w:spacing w:after="120" w:line="288"/>
      </w:pPr>
      <w:r>
        <w:rPr>
          <w:rFonts w:ascii="Calibri" w:cs="Calibri" w:eastAsia="Calibri" w:hAnsi="Calibri"/>
          <w:i/>
          <w:iCs/>
          <w:color w:val="595959"/>
          <w:sz w:val="20"/>
          <w:szCs w:val="20"/>
        </w:rPr>
        <w:t xml:space="preserve">Catálogo Spiro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7026"/>
        <w:gridCol w:w="2000"/>
      </w:tblGrid>
      <w:tr>
        <w:trPr>
          <w:tblHeader/>
        </w:trPr>
        <w:tc>
          <w:tcPr>
            <w:tcW w:type="dxa" w:w="7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 / Pack</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SPIRO SQUARE</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SPIRO SQUARE X</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257,00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STROOM MASTER PRO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219,99</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Hogar y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Protección Personal</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Infantil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Familia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445,00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Sueño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Stroom Master</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655,00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Oasis Electromagnético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825,00</w:t>
            </w:r>
          </w:p>
        </w:tc>
      </w:tr>
    </w:tbl>
    <w:p>
      <w:pPr>
        <w:spacing w:after="80"/>
      </w:pPr>
    </w:p>
    <w:p>
      <w:pPr>
        <w:pStyle w:val="Heading2"/>
        <w:spacing w:after="120" w:before="220"/>
      </w:pPr>
      <w:r>
        <w:rPr>
          <w:rFonts w:ascii="Calibri" w:cs="Calibri" w:eastAsia="Calibri" w:hAnsi="Calibri"/>
          <w:b/>
          <w:bCs/>
          <w:color w:val="2F5496"/>
          <w:sz w:val="24"/>
          <w:szCs w:val="24"/>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 Se adjuntará el título expedido por la OEPM. [PENDIENTE: certificado/título de la OEPM que acredite el estado exacto del expediente a la fecha.]</w:t>
      </w:r>
    </w:p>
    <w:p>
      <w:pPr>
        <w:spacing w:after="120" w:line="288"/>
      </w:pPr>
      <w:r>
        <w:rPr>
          <w:rFonts w:ascii="Calibri" w:cs="Calibri" w:eastAsia="Calibri" w:hAnsi="Calibri"/>
          <w:i/>
          <w:iCs/>
          <w:color w:val="595959"/>
          <w:sz w:val="20"/>
          <w:szCs w:val="20"/>
        </w:rPr>
        <w:t xml:space="preserve">Catálogo Ekio Light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5626"/>
        <w:gridCol w:w="2000"/>
        <w:gridCol w:w="1400"/>
      </w:tblGrid>
      <w:tr>
        <w:trPr>
          <w:tblHeader/>
        </w:trPr>
        <w:tc>
          <w:tcPr>
            <w:tcW w:type="dxa" w:w="56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Estado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(buque insignia;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 LED roja / Bombilla LED ámbar 1800K</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Pack Salón y Dormitorio (bombilla roja + ámbar)</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29,70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bl>
    <w:p>
      <w:pPr>
        <w:spacing w:after="80"/>
      </w:pPr>
    </w:p>
    <w:p>
      <w:pPr>
        <w:spacing w:after="120" w:line="288"/>
      </w:pPr>
      <w:r>
        <w:rPr>
          <w:rFonts w:ascii="Calibri" w:cs="Calibri" w:eastAsia="Calibri" w:hAnsi="Calibri"/>
          <w:sz w:val="22"/>
          <w:szCs w:val="22"/>
        </w:rPr>
        <w:t xml:space="preserve">Existen además versiones B2B en borrador (Deep 5 B2B 600 €, Deep 7 B2B 650 €, Full Spectrum 10 B2B 2.500 €), pendientes de publicación.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catálogo de ambas líneas está operativo y a la venta. Las unidades en inventario a fecha de hoy no cubren el volumen ni la velocidad de venta de la campaña de Q4: reponer ese stock por adelantado es precisamente el objeto de esta financiación (ver sección 9). [PENDIENTE: unidades de inventario realmente disponibles y comprometidas a fecha de solicitud, y rotación (vueltas) por referencia de campaña.]</w:t>
      </w:r>
    </w:p>
    <w:p>
      <w:pPr>
        <w:pStyle w:val="Heading2"/>
        <w:spacing w:after="120" w:before="220"/>
      </w:pPr>
      <w:r>
        <w:rPr>
          <w:rFonts w:ascii="Calibri" w:cs="Calibri" w:eastAsia="Calibri" w:hAnsi="Calibri"/>
          <w:b/>
          <w:bCs/>
          <w:color w:val="2F5496"/>
          <w:sz w:val="24"/>
          <w:szCs w:val="24"/>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Calibri" w:cs="Calibri" w:eastAsia="Calibri" w:hAnsi="Calibri"/>
          <w:b/>
          <w:bCs/>
          <w:color w:val="2F5496"/>
          <w:sz w:val="24"/>
          <w:szCs w:val="24"/>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[PENDIENTE: volumen real de contratos de renting vivos a la fecha.]</w:t>
      </w:r>
    </w:p>
    <w:p>
      <w:pPr>
        <w:pStyle w:val="ListParagraph"/>
        <w:numPr>
          <w:ilvl w:val="0"/>
          <w:numId w:val="3"/>
        </w:numPr>
        <w:spacing w:after="100" w:line="288"/>
      </w:pPr>
      <w:r>
        <w:rPr>
          <w:rFonts w:ascii="Calibri" w:cs="Calibri" w:eastAsia="Calibri" w:hAnsi="Calibri"/>
          <w:b/>
          <w:bCs/>
          <w:sz w:val="22"/>
          <w:szCs w:val="22"/>
        </w:rPr>
        <w:t xml:space="preserve">B2B / wholesale: </w:t>
      </w:r>
      <w:r>
        <w:rPr>
          <w:rFonts w:ascii="Calibri" w:cs="Calibri" w:eastAsia="Calibri" w:hAnsi="Calibri"/>
          <w:sz w:val="22"/>
          <w:szCs w:val="22"/>
        </w:rPr>
        <w:t xml:space="preserve">canal en desarrollo (alta en el marketplace Ankorstore en preparación; fichas B2B en borrador en Shopify). Todavía sin volumen consolidado.</w:t>
      </w:r>
    </w:p>
    <w:p>
      <w:pPr>
        <w:pStyle w:val="Heading2"/>
        <w:spacing w:after="120" w:before="220"/>
      </w:pPr>
      <w:r>
        <w:rPr>
          <w:rFonts w:ascii="Calibri" w:cs="Calibri" w:eastAsia="Calibri" w:hAnsi="Calibri"/>
          <w:b/>
          <w:bCs/>
          <w:color w:val="2F5496"/>
          <w:sz w:val="24"/>
          <w:szCs w:val="24"/>
        </w:rPr>
        <w:t xml:space="preserve">4.5. Activos tecnológicos propios</w:t>
      </w:r>
    </w:p>
    <w:p>
      <w:pPr>
        <w:spacing w:after="120" w:line="288"/>
      </w:pPr>
      <w:r>
        <w:rPr>
          <w:rFonts w:ascii="Calibri" w:cs="Calibri" w:eastAsia="Calibri" w:hAnsi="Calibri"/>
          <w:sz w:val="22"/>
          <w:szCs w:val="22"/>
        </w:rPr>
        <w:t xml:space="preserve">Además del catálogo físico, Ekio ha desarrollado software propio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la operativa del negocio (pedidos, inventario, atención al cliente).</w:t>
      </w:r>
    </w:p>
    <w:p>
      <w:pPr>
        <w:pStyle w:val="ListParagraph"/>
        <w:numPr>
          <w:ilvl w:val="0"/>
          <w:numId w:val="3"/>
        </w:numPr>
        <w:spacing w:after="100" w:line="288"/>
      </w:pPr>
      <w:r>
        <w:rPr>
          <w:rFonts w:ascii="Calibri" w:cs="Calibri" w:eastAsia="Calibri" w:hAnsi="Calibri"/>
          <w:b/>
          <w:bCs/>
          <w:sz w:val="22"/>
          <w:szCs w:val="22"/>
        </w:rPr>
        <w:t xml:space="preserve">Aplicación para clientes «Ekio Coach». </w:t>
      </w:r>
      <w:r>
        <w:rPr>
          <w:rFonts w:ascii="Calibri" w:cs="Calibri" w:eastAsia="Calibri" w:hAnsi="Calibri"/>
          <w:sz w:val="22"/>
          <w:szCs w:val="22"/>
        </w:rPr>
        <w:t xml:space="preserve">Guía de uso de los equipos, seguimiento de sesiones y protocolos personalizados; ya con usuarios registrados. Genera recurrencia (relación continuada con el cliente) y datos de uso.</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[PENDIENTE: número y fecha de presentación de la solicitud PCT cuando se registre.] Todavía sin producto comercial; su lanzamiento se describe en la sección 8.2.</w:t>
      </w:r>
    </w:p>
    <w:p>
      <w:pPr>
        <w:pStyle w:val="Heading1"/>
        <w:spacing w:after="160" w:before="320"/>
      </w:pPr>
      <w:r>
        <w:rPr>
          <w:rFonts w:ascii="Calibri" w:cs="Calibri" w:eastAsia="Calibri" w:hAnsi="Calibri"/>
          <w:b/>
          <w:bCs/>
          <w:color w:val="1F3864"/>
          <w:sz w:val="30"/>
          <w:szCs w:val="30"/>
        </w:rPr>
        <w:t xml:space="preserve">5. Mercado y validación externa</w:t>
      </w:r>
    </w:p>
    <w:p>
      <w:pPr>
        <w:pStyle w:val="Heading2"/>
        <w:spacing w:after="120" w:before="220"/>
      </w:pPr>
      <w:r>
        <w:rPr>
          <w:rFonts w:ascii="Calibri" w:cs="Calibri" w:eastAsia="Calibri" w:hAnsi="Calibri"/>
          <w:b/>
          <w:bCs/>
          <w:color w:val="2F5496"/>
          <w:sz w:val="24"/>
          <w:szCs w:val="24"/>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Calibri" w:cs="Calibri" w:eastAsia="Calibri" w:hAnsi="Calibri"/>
          <w:b/>
          <w:bCs/>
          <w:sz w:val="22"/>
          <w:szCs w:val="22"/>
        </w:rPr>
        <w:t xml:space="preserve">Un cruce poco disputado. </w:t>
      </w:r>
      <w:r>
        <w:rPr>
          <w:rFonts w:ascii="Calibri" w:cs="Calibri" w:eastAsia="Calibri" w:hAnsi="Calibri"/>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plan no cuantifica el tamaño ni el crecimiento de estos mercados. [PENDIENTE: si se desea incluir una cifra de mercado (tamaño o tasa de crecimiento), debe aportarse una fuente citable.]</w:t>
      </w:r>
    </w:p>
    <w:p>
      <w:pPr>
        <w:pStyle w:val="Heading2"/>
        <w:spacing w:after="120" w:before="220"/>
      </w:pPr>
      <w:r>
        <w:rPr>
          <w:rFonts w:ascii="Calibri" w:cs="Calibri" w:eastAsia="Calibri" w:hAnsi="Calibri"/>
          <w:b/>
          <w:bCs/>
          <w:color w:val="2F5496"/>
          <w:sz w:val="24"/>
          <w:szCs w:val="24"/>
        </w:rPr>
        <w:t xml:space="preserve">5.2. Reconocimiento institucional y validación externa</w:t>
      </w:r>
    </w:p>
    <w:p>
      <w:pPr>
        <w:pStyle w:val="ListParagraph"/>
        <w:numPr>
          <w:ilvl w:val="0"/>
          <w:numId w:val="3"/>
        </w:numPr>
        <w:spacing w:after="100" w:line="288"/>
      </w:pPr>
      <w:r>
        <w:rPr>
          <w:rFonts w:ascii="Calibri" w:cs="Calibri" w:eastAsia="Calibri" w:hAnsi="Calibri"/>
          <w:b/>
          <w:bCs/>
          <w:sz w:val="22"/>
          <w:szCs w:val="22"/>
        </w:rPr>
        <w:t xml:space="preserve">Wolaria / ICECYL (Instituto para la Competitividad Empresarial de Castilla y León). </w:t>
      </w:r>
      <w:r>
        <w:rPr>
          <w:rFonts w:ascii="Calibri" w:cs="Calibri" w:eastAsia="Calibri" w:hAnsi="Calibri"/>
          <w:sz w:val="22"/>
          <w:szCs w:val="22"/>
        </w:rPr>
        <w:t xml:space="preserve">Ekio ha sido invitada a participar con stand propio en Startup OLÉ (Salamanca, 13–15 de octubre de 2026) y en el Valencia Digital Summit (día asignado: 22 de octubre de 2026, con pitch a inversores). [PENDIENTE: carta o email de Wolaria/ICECYL que acredite la invitación, para adjuntar como anexo.]</w:t>
      </w:r>
    </w:p>
    <w:p>
      <w:pPr>
        <w:pStyle w:val="ListParagraph"/>
        <w:numPr>
          <w:ilvl w:val="0"/>
          <w:numId w:val="3"/>
        </w:numPr>
        <w:spacing w:after="100" w:line="288"/>
      </w:pPr>
      <w:r>
        <w:rPr>
          <w:rFonts w:ascii="Calibri" w:cs="Calibri" w:eastAsia="Calibri" w:hAnsi="Calibri"/>
          <w:b/>
          <w:bCs/>
          <w:sz w:val="22"/>
          <w:szCs w:val="22"/>
        </w:rPr>
        <w:t xml:space="preserve">AIR Institute (Salamanca). </w:t>
      </w:r>
      <w:r>
        <w:rPr>
          <w:rFonts w:ascii="Calibri" w:cs="Calibri" w:eastAsia="Calibri" w:hAnsi="Calibri"/>
          <w:sz w:val="22"/>
          <w:szCs w:val="22"/>
        </w:rPr>
        <w:t xml:space="preserve">Colaboración científica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Activos de marketing construidos a lo largo de tres años: unos 44.550 seguidores en Instagram entre las cuentas de la empresa (dato de gestión a agosto de 2026), más de 12.000 contactos en la base de datos y más de 7.600 clientes históricos de la línea Spiro. Son datos de gestión interna; el recuento exacto se aportará mediante exportación de las plataformas. [PENDIENTE: exportaciones de Klaviyo y Shopify con los recuentos exactos.]</w:t>
      </w:r>
    </w:p>
    <w:p>
      <w:pPr>
        <w:pStyle w:val="ListParagraph"/>
        <w:numPr>
          <w:ilvl w:val="0"/>
          <w:numId w:val="3"/>
        </w:numPr>
        <w:spacing w:after="100" w:line="288"/>
      </w:pPr>
      <w:r>
        <w:rPr>
          <w:rFonts w:ascii="Calibri" w:cs="Calibri" w:eastAsia="Calibri" w:hAnsi="Calibri"/>
          <w:b/>
          <w:bCs/>
          <w:sz w:val="22"/>
          <w:szCs w:val="22"/>
        </w:rPr>
        <w:t xml:space="preserve">Software propio. </w:t>
      </w:r>
      <w:r>
        <w:rPr>
          <w:rFonts w:ascii="Calibri" w:cs="Calibri" w:eastAsia="Calibri" w:hAnsi="Calibri"/>
          <w:sz w:val="22"/>
          <w:szCs w:val="22"/>
        </w:rPr>
        <w:t xml:space="preserve">Aplicación de gestión interna y aplicación para clientes «Ekio Coach», ambas en uso (ver sección 4.5).</w:t>
      </w:r>
    </w:p>
    <w:p>
      <w:pPr>
        <w:pStyle w:val="ListParagraph"/>
        <w:numPr>
          <w:ilvl w:val="0"/>
          <w:numId w:val="3"/>
        </w:numPr>
        <w:spacing w:after="100" w:line="288"/>
      </w:pPr>
      <w:r>
        <w:rPr>
          <w:rFonts w:ascii="Calibri" w:cs="Calibri" w:eastAsia="Calibri" w:hAnsi="Calibri"/>
          <w:b/>
          <w:bCs/>
          <w:sz w:val="22"/>
          <w:szCs w:val="22"/>
        </w:rPr>
        <w:t xml:space="preserve">Herramientas digitales en funcionamiento. </w:t>
      </w:r>
      <w:r>
        <w:rPr>
          <w:rFonts w:ascii="Calibri" w:cs="Calibri" w:eastAsia="Calibri" w:hAnsi="Calibri"/>
          <w:sz w:val="22"/>
          <w:szCs w:val="22"/>
        </w:rPr>
        <w:t xml:space="preserve">Shopify, Klaviyo, ManyChat, Meta Ads, Google Search Console y Microsoft Clarity, todas operativas.</w:t>
      </w:r>
    </w:p>
    <w:p>
      <w:pPr>
        <w:pStyle w:val="Heading1"/>
        <w:spacing w:after="160" w:before="320"/>
      </w:pPr>
      <w:r>
        <w:rPr>
          <w:rFonts w:ascii="Calibri" w:cs="Calibri" w:eastAsia="Calibri" w:hAnsi="Calibri"/>
          <w:b/>
          <w:bCs/>
          <w:color w:val="1F3864"/>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Calibri" w:cs="Calibri" w:eastAsia="Calibri" w:hAnsi="Calibri"/>
          <w:b/>
          <w:bCs/>
          <w:color w:val="2F5496"/>
          <w:sz w:val="24"/>
          <w:szCs w:val="24"/>
        </w:rPr>
        <w:t xml:space="preserve">6.1. Cuenta de resultados histórica simplificada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826"/>
        <w:gridCol w:w="1550"/>
        <w:gridCol w:w="1550"/>
        <w:gridCol w:w="1550"/>
        <w:gridCol w:w="1550"/>
      </w:tblGrid>
      <w:tr>
        <w:trPr>
          <w:tblHeader/>
        </w:trPr>
        <w:tc>
          <w:tcPr>
            <w:tcW w:type="dxa" w:w="28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2023 (jun–dic)</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2024</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2025</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595959"/>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pStyle w:val="Heading2"/>
        <w:spacing w:after="120" w:before="220"/>
      </w:pPr>
      <w:r>
        <w:rPr>
          <w:rFonts w:ascii="Calibri" w:cs="Calibri" w:eastAsia="Calibri" w:hAnsi="Calibri"/>
          <w:b/>
          <w:bCs/>
          <w:color w:val="2F5496"/>
          <w:sz w:val="24"/>
          <w:szCs w:val="24"/>
        </w:rPr>
        <w:t xml:space="preserve">6.2. Nota sobre la comparabilidad entre periodos</w:t>
      </w:r>
    </w:p>
    <w:p>
      <w:pPr>
        <w:spacing w:after="120" w:line="288"/>
      </w:pPr>
      <w:r>
        <w:rPr>
          <w:rFonts w:ascii="Calibri" w:cs="Calibri" w:eastAsia="Calibri" w:hAnsi="Calibri"/>
          <w:sz w:val="22"/>
          <w:szCs w:val="22"/>
        </w:rPr>
        <w:t xml:space="preserve">El negocio es marcadamente estacional, por lo que comparar periodos de distinta duración induce a error si no se corrige ese efecto. Conviene explicitarlo:</w:t>
      </w:r>
    </w:p>
    <w:p>
      <w:pPr>
        <w:pStyle w:val="ListParagraph"/>
        <w:numPr>
          <w:ilvl w:val="0"/>
          <w:numId w:val="3"/>
        </w:numPr>
        <w:spacing w:after="100" w:line="288"/>
      </w:pPr>
      <w:r>
        <w:rPr>
          <w:rFonts w:ascii="Calibri" w:cs="Calibri" w:eastAsia="Calibri" w:hAnsi="Calibri"/>
          <w:sz w:val="22"/>
          <w:szCs w:val="22"/>
        </w:rPr>
        <w:t xml:space="preserve">El periodo junio–diciembre de 2023 contiene la campaña completa de Black Friday, Navidad y Reyes; los ejercicios completos de 2024 y 2025 diluyen ese pico entre doce meses. Comparar la media mensual de uno y otros no es homogéneo.</w:t>
      </w:r>
    </w:p>
    <w:p>
      <w:pPr>
        <w:pStyle w:val="ListParagraph"/>
        <w:numPr>
          <w:ilvl w:val="0"/>
          <w:numId w:val="3"/>
        </w:numPr>
        <w:spacing w:after="100" w:line="288"/>
      </w:pPr>
      <w:r>
        <w:rPr>
          <w:rFonts w:ascii="Calibri" w:cs="Calibri" w:eastAsia="Calibri" w:hAnsi="Calibri"/>
          <w:sz w:val="22"/>
          <w:szCs w:val="22"/>
        </w:rPr>
        <w:t xml:space="preserve">Con la estructura de 2025 (275.000 € de campaña y 262.845 € en el resto del año, es decir ~26.300 €/mes fuera de campaña), un periodo de siete meses que incluyera la campaña arrojaría del orden de 406.000 €. Los 390.000 € de 2023 se sitúan un 4 % por debajo de esa referencia: son coherentes con el patrón estacional del negocio, no con un deterioro posterior.</w:t>
      </w:r>
    </w:p>
    <w:p>
      <w:pPr>
        <w:pStyle w:val="ListParagraph"/>
        <w:numPr>
          <w:ilvl w:val="0"/>
          <w:numId w:val="3"/>
        </w:numPr>
        <w:spacing w:after="100" w:line="288"/>
      </w:pPr>
      <w:r>
        <w:rPr>
          <w:rFonts w:ascii="Calibri" w:cs="Calibri" w:eastAsia="Calibri" w:hAnsi="Calibri"/>
          <w:sz w:val="22"/>
          <w:szCs w:val="22"/>
        </w:rPr>
        <w:t xml:space="preserve">El primer semestre de 2026 (207.815 €) es, por el motivo contrario, el tramo del año sin campaña, de modo que su anualización simple subestima el ejercicio. La comparación pertinente es con el primer semestre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facturación del primer semestre de 2025 y de los meses de julio y agosto de 2026, para permitir la comparación homogénea semestre contra semestre.]</w:t>
      </w:r>
    </w:p>
    <w:p>
      <w:pPr>
        <w:pStyle w:val="Heading2"/>
        <w:spacing w:after="120" w:before="220"/>
      </w:pPr>
      <w:r>
        <w:rPr>
          <w:rFonts w:ascii="Calibri" w:cs="Calibri" w:eastAsia="Calibri" w:hAnsi="Calibri"/>
          <w:b/>
          <w:bCs/>
          <w:color w:val="2F5496"/>
          <w:sz w:val="24"/>
          <w:szCs w:val="24"/>
        </w:rPr>
        <w:t xml:space="preserve">6.3.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menor resultado de 2025 procede principalmente de la caída del margen bruto de gestión (38,4 % → 24,5 %, equivalente a unos 73.000 € menos de margen), y no del mayor gasto comercial: la inversión adicional en publicidad (34.316 €) y servicios profesionales (18.264 €) para lanzar Ekio Light se compensó con ahorros en otras partidas de estructura. Determinar el origen exacto de esa caída de margen es precisamente el objeto de la conciliación pendiente con Holded.</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institucional de 70.000 €, en amortización y al corriente de pago. No hay inversores en el capital ni otras líneas vivas.</w:t>
      </w:r>
    </w:p>
    <w:p>
      <w:pPr>
        <w:pStyle w:val="ListParagraph"/>
        <w:numPr>
          <w:ilvl w:val="0"/>
          <w:numId w:val="3"/>
        </w:numPr>
        <w:spacing w:after="100" w:line="288"/>
      </w:pPr>
      <w:r>
        <w:rPr>
          <w:rFonts w:ascii="Calibri" w:cs="Calibri" w:eastAsia="Calibri" w:hAnsi="Calibri"/>
          <w:b/>
          <w:bCs/>
          <w:sz w:val="22"/>
          <w:szCs w:val="22"/>
        </w:rPr>
        <w:t xml:space="preserve">Préstamo de 70.000 € — identificación. </w:t>
      </w:r>
      <w:r>
        <w:rPr>
          <w:rFonts w:ascii="Calibri" w:cs="Calibri" w:eastAsia="Calibri" w:hAnsi="Calibri"/>
          <w:b/>
          <w:bCs/>
          <w:i/>
          <w:iCs/>
          <w:color w:val="595959"/>
          <w:sz w:val="20"/>
          <w:szCs w:val="20"/>
        </w:rPr>
        <w:t xml:space="preserve">[PENDIENTE: prestamista y naturaleza del préstamo (p. ej. Iberaval / ENISA / ICO / préstamo participativo), saldo vivo a la fecha de solicitud, cuota, vencimiento y eventuales condiciones o limitaciones a nueva financiación. El detalle figurará en la CIRBE; la empresa lo adjunta con el contrato y el cuadro de amortización.]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y advertencias de esta sección: </w:t>
      </w:r>
      <w:r>
        <w:rPr>
          <w:rFonts w:ascii="Calibri" w:cs="Calibri" w:eastAsia="Calibri" w:hAnsi="Calibri"/>
          <w:i/>
          <w:iCs/>
          <w:color w:val="595959"/>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margen bruto y resultado del ejercicio 2023; conciliación del margen bruto por ejercicio con el desglose de Holded; cierre provisional a julio/agosto de 2026; balance de apertura de la SLU y previsión de balance 2026–2027.] (d) Referencia: hoja «Histórico» del anexo anexo-financiero.xlsx.</w:t>
      </w:r>
    </w:p>
    <w:p>
      <w:pPr>
        <w:pStyle w:val="Heading1"/>
        <w:spacing w:after="160" w:before="320"/>
      </w:pPr>
      <w:r>
        <w:rPr>
          <w:rFonts w:ascii="Calibri" w:cs="Calibri" w:eastAsia="Calibri" w:hAnsi="Calibri"/>
          <w:b/>
          <w:bCs/>
          <w:color w:val="1F3864"/>
          <w:sz w:val="30"/>
          <w:szCs w:val="30"/>
        </w:rPr>
        <w:t xml:space="preserve">7. Plan comercial para los próximos 6 meses (septiembre 2026 – febrero 2027)</w:t>
      </w:r>
    </w:p>
    <w:p>
      <w:pPr>
        <w:pStyle w:val="Heading2"/>
        <w:spacing w:after="120" w:before="220"/>
      </w:pPr>
      <w:r>
        <w:rPr>
          <w:rFonts w:ascii="Calibri" w:cs="Calibri" w:eastAsia="Calibri" w:hAnsi="Calibri"/>
          <w:b/>
          <w:bCs/>
          <w:color w:val="2F5496"/>
          <w:sz w:val="24"/>
          <w:szCs w:val="24"/>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Presencia con stand propio en Startup OLÉ (Salamanca, 13–15 de octubre) y en el Valencia Digital Summit (22 de octubre, con pitch a inversores), ambas por invitación de Wolaria / ICECYL. Ambos eventos cumplen una triple función comercial: venta directa y captación de contactos en el stand, apertura del canal B2B (contacto con clínicas, centros y distribuidores) y contacto con inversores y con compradores internacionales. Su coste está previsto dentro del presupuesto ordinario de marketing y no se financia con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Calibri" w:cs="Calibri" w:eastAsia="Calibri" w:hAnsi="Calibri"/>
          <w:b/>
          <w:bCs/>
          <w:color w:val="2F5496"/>
          <w:sz w:val="24"/>
          <w:szCs w:val="24"/>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facturación, cifra que supera el 50 % de todo lo facturado en 2025 (537.845 €). Q4 concentra, por tanto, una parte muy alta de la actividad anual.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periodo exacto (fechas de inicio y fin) al que corresponden esos 275.000 € y si es venta bruta o neta.]</w:t>
      </w:r>
    </w:p>
    <w:p>
      <w:pPr>
        <w:pStyle w:val="Heading2"/>
        <w:spacing w:after="120" w:before="220"/>
      </w:pPr>
      <w:r>
        <w:rPr>
          <w:rFonts w:ascii="Calibri" w:cs="Calibri" w:eastAsia="Calibri" w:hAnsi="Calibri"/>
          <w:b/>
          <w:bCs/>
          <w:color w:val="2F5496"/>
          <w:sz w:val="24"/>
          <w:szCs w:val="24"/>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Calibri" w:cs="Calibri" w:eastAsia="Calibri" w:hAnsi="Calibri"/>
          <w:b/>
          <w:bCs/>
          <w:color w:val="1F3864"/>
          <w:sz w:val="30"/>
          <w:szCs w:val="30"/>
        </w:rPr>
        <w:t xml:space="preserve">8. Visión, estrategia y objetivos a medio plazo (2026–2028)</w:t>
      </w:r>
    </w:p>
    <w:p>
      <w:pPr>
        <w:spacing w:after="120" w:line="288"/>
      </w:pPr>
      <w:r>
        <w:rPr>
          <w:rFonts w:ascii="Calibri" w:cs="Calibri" w:eastAsia="Calibri" w:hAnsi="Calibri"/>
          <w:sz w:val="22"/>
          <w:szCs w:val="22"/>
        </w:rPr>
        <w:t xml:space="preserve">Esta solicitud se circunscribe a financiar el circulante de una campaña concreta. No obstante, la empresa considera necesario exponer hacia dónde dirige su actividad, porque explica por qué invierte en propiedad industrial y en software y por qué esos activos sostienen el margen que hace viable la devolución de la línea.</w:t>
      </w:r>
    </w:p>
    <w:p>
      <w:pPr>
        <w:pStyle w:val="Heading2"/>
        <w:spacing w:after="120" w:before="220"/>
      </w:pPr>
      <w:r>
        <w:rPr>
          <w:rFonts w:ascii="Calibri" w:cs="Calibri" w:eastAsia="Calibri" w:hAnsi="Calibri"/>
          <w:b/>
          <w:bCs/>
          <w:color w:val="2F5496"/>
          <w:sz w:val="24"/>
          <w:szCs w:val="24"/>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b/>
          <w:bCs/>
          <w:sz w:val="22"/>
          <w:szCs w:val="22"/>
        </w:rPr>
        <w:t xml:space="preserve">Por qué la empresa cree que puede liderar ese nicho. </w:t>
      </w:r>
      <w:r>
        <w:rPr>
          <w:rFonts w:ascii="Calibri" w:cs="Calibri" w:eastAsia="Calibri" w:hAnsi="Calibri"/>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Calibri" w:cs="Calibri" w:eastAsia="Calibri" w:hAnsi="Calibri"/>
          <w:sz w:val="22"/>
          <w:szCs w:val="22"/>
        </w:rPr>
        <w:t xml:space="preserve">Se trata de un horizonte de varios años, no de un objetivo del presente ejercicio. La empresa es consciente de su dimensión actual y plantea ese recorrido de forma gradual y autofinanciada con el margen del negocio: primero consolidación del mercado nacional y del canal B2B, después venta transfronteriza en la Unión Europea, y solo más adelante —y condicionada a la extensión efectiva de la protección industrial a esos mercados (fases nacionales de la solicitud PCT) y a la certificación aplicable en cada uno— la entrada en Estados Unidos.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Calibri" w:cs="Calibri" w:eastAsia="Calibri" w:hAnsi="Calibri"/>
          <w:b/>
          <w:bCs/>
          <w:color w:val="2F5496"/>
          <w:sz w:val="24"/>
          <w:szCs w:val="24"/>
        </w:rPr>
        <w:t xml:space="preserve">8.2. Objetivo financiero</w:t>
      </w:r>
    </w:p>
    <w:p>
      <w:pPr>
        <w:spacing w:after="120" w:line="288"/>
      </w:pPr>
      <w:r>
        <w:rPr>
          <w:rFonts w:ascii="Calibri" w:cs="Calibri" w:eastAsia="Calibri" w:hAnsi="Calibri"/>
          <w:sz w:val="22"/>
          <w:szCs w:val="22"/>
        </w:rPr>
        <w:t xml:space="preserve">El objetivo para el cierre de 2026 es situar la facturación anual en el entorno de la de 2024 y 2025 (aproximadamente 530.000 – 550.000 €), recuperando volumen en la campaña de Q4 sin ceder el margen bruto ganado en 2026 (superior al 50 %). A partir de 2027, la empresa persigue un crecimiento moderado apoyado en líneas de ingreso recurrente, no en un salto de ventas puntual.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proyección financiera plurianual detallada (cuenta de resultados, balance y tesorería 2026–2028). La empresa dispone de un modelo económico a cinco años elaborado para otras líneas de financiación, que puede aportarse a CaixaBank a petición.]</w:t>
      </w:r>
    </w:p>
    <w:p>
      <w:pPr>
        <w:pStyle w:val="Heading2"/>
        <w:spacing w:after="120" w:before="220"/>
      </w:pPr>
      <w:r>
        <w:rPr>
          <w:rFonts w:ascii="Calibri" w:cs="Calibri" w:eastAsia="Calibri" w:hAnsi="Calibri"/>
          <w:b/>
          <w:bCs/>
          <w:color w:val="2F5496"/>
          <w:sz w:val="24"/>
          <w:szCs w:val="24"/>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Ingresos recurrentes: B2B y renting. </w:t>
      </w:r>
      <w:r>
        <w:rPr>
          <w:rFonts w:ascii="Calibri" w:cs="Calibri" w:eastAsia="Calibri" w:hAnsi="Calibri"/>
          <w:sz w:val="22"/>
          <w:szCs w:val="22"/>
        </w:rPr>
        <w:t xml:space="preserve">Activar el canal mayorista / B2B (marketplace Ankorstore, clínicas, centros de estética y gimnasios) y el renting al consumidor (Sharpei), que aportan facturación repetida y previsible y reducen la dependencia del pico estacional.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Software propio y comunidad. </w:t>
      </w:r>
      <w:r>
        <w:rPr>
          <w:rFonts w:ascii="Calibri" w:cs="Calibri" w:eastAsia="Calibri" w:hAnsi="Calibri"/>
          <w:sz w:val="22"/>
          <w:szCs w:val="22"/>
        </w:rPr>
        <w:t xml:space="preserve">Ampliar la aplicación para clientes Ekio Coach y explotar la base de datos (unos 44.550 seguidores en redes y más de 12.000 contactos) como motor de recompra y de venta cruzada de accesorios y suplementos.</w:t>
      </w:r>
    </w:p>
    <w:p>
      <w:pPr>
        <w:pStyle w:val="ListParagraph"/>
        <w:numPr>
          <w:ilvl w:val="0"/>
          <w:numId w:val="2"/>
        </w:numPr>
        <w:spacing w:after="100" w:line="288"/>
      </w:pPr>
      <w:r>
        <w:rPr>
          <w:rFonts w:ascii="Calibri" w:cs="Calibri" w:eastAsia="Calibri" w:hAnsi="Calibri"/>
          <w:b/>
          <w:bCs/>
          <w:sz w:val="22"/>
          <w:szCs w:val="22"/>
        </w:rPr>
        <w:t xml:space="preserve">Presencia en ferias del sector. </w:t>
      </w:r>
      <w:r>
        <w:rPr>
          <w:rFonts w:ascii="Calibri" w:cs="Calibri" w:eastAsia="Calibri" w:hAnsi="Calibri"/>
          <w:sz w:val="22"/>
          <w:szCs w:val="22"/>
        </w:rPr>
        <w:t xml:space="preserve">Startup OLÉ y Valencia Digital Summit en octubre de 2026 como puerta de entrada al canal profesional y al contacto internacional; en ejercicios siguientes se valorará la presencia en ferias europeas del sector bienestar y estética, financiada con el presupuesto ordinario de marketing.</w:t>
      </w:r>
    </w:p>
    <w:p>
      <w:pPr>
        <w:pStyle w:val="Heading2"/>
        <w:spacing w:after="120" w:before="220"/>
      </w:pPr>
      <w:r>
        <w:rPr>
          <w:rFonts w:ascii="Calibri" w:cs="Calibri" w:eastAsia="Calibri" w:hAnsi="Calibri"/>
          <w:b/>
          <w:bCs/>
          <w:color w:val="2F5496"/>
          <w:sz w:val="24"/>
          <w:szCs w:val="24"/>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no es accesorio: es la condición para poder competir fuera de España con margen y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pStyle w:val="ListParagraph"/>
        <w:numPr>
          <w:ilvl w:val="0"/>
          <w:numId w:val="3"/>
        </w:numPr>
        <w:spacing w:after="100" w:line="288"/>
      </w:pPr>
      <w:r>
        <w:rPr>
          <w:rFonts w:ascii="Calibri" w:cs="Calibri" w:eastAsia="Calibri" w:hAnsi="Calibri"/>
          <w:b/>
          <w:bCs/>
          <w:sz w:val="22"/>
          <w:szCs w:val="22"/>
        </w:rPr>
        <w:t xml:space="preserve">Software propio </w:t>
      </w:r>
      <w:r>
        <w:rPr>
          <w:rFonts w:ascii="Calibri" w:cs="Calibri" w:eastAsia="Calibri" w:hAnsi="Calibri"/>
          <w:sz w:val="22"/>
          <w:szCs w:val="22"/>
        </w:rPr>
        <w:t xml:space="preserve">(aplicación de gestión interna y aplicación de cliente Ekio Coach), que convierte la venta de un equipo en una relación continuada y genera datos de uso difíciles de replicar por un competidor.</w:t>
      </w:r>
    </w:p>
    <w:p>
      <w:pPr>
        <w:spacing w:after="120" w:line="288"/>
      </w:pPr>
      <w:r>
        <w:rPr>
          <w:rFonts w:ascii="Calibri" w:cs="Calibri" w:eastAsia="Calibri" w:hAnsi="Calibri"/>
          <w:sz w:val="22"/>
          <w:szCs w:val="22"/>
        </w:rPr>
        <w:t xml:space="preserve">En función del resultado de la PCT se evaluará una extensión internacional selectiva, limitada a los mercados con mayor demanda de fotobiomodulación de consumo. Los costes de tramitación se asumen con recursos propios.</w:t>
      </w:r>
    </w:p>
    <w:p>
      <w:pPr>
        <w:pStyle w:val="Heading2"/>
        <w:spacing w:after="120" w:before="220"/>
      </w:pPr>
      <w:r>
        <w:rPr>
          <w:rFonts w:ascii="Calibri" w:cs="Calibri" w:eastAsia="Calibri" w:hAnsi="Calibri"/>
          <w:b/>
          <w:bCs/>
          <w:color w:val="2F5496"/>
          <w:sz w:val="24"/>
          <w:szCs w:val="24"/>
        </w:rPr>
        <w:t xml:space="preserve">8.5. Divulgación y marca: publicación de un libro</w:t>
      </w:r>
    </w:p>
    <w:p>
      <w:pPr>
        <w:spacing w:after="120" w:line="288"/>
      </w:pPr>
      <w:r>
        <w:rPr>
          <w:rFonts w:ascii="Calibri" w:cs="Calibri" w:eastAsia="Calibri" w:hAnsi="Calibri"/>
          <w:sz w:val="22"/>
          <w:szCs w:val="22"/>
        </w:rPr>
        <w:t xml:space="preserve">La empresa tiene en preparación un libro divulgativo de autoría del fundador,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50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5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en el plan no es la venta de ejemplares —cuya aportación a la facturación se considera marginal y no se ha incorporado a ninguna proyección de este documento— sino actuar como activo de marca y de captación: refuerza la autoridad de la empresa en su categoría, se publica dos semanas antes del Black Friday y dirige lectores a la tienda. Su coste de producción se asume con recursos propios y no forma parte del destino de esta financiación.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fecha de publicación, precio final y coste de edición e ilustración del libro.]</w:t>
      </w:r>
    </w:p>
    <w:p>
      <w:pPr>
        <w:pStyle w:val="Heading2"/>
        <w:spacing w:after="120" w:before="220"/>
      </w:pPr>
      <w:r>
        <w:rPr>
          <w:rFonts w:ascii="Calibri" w:cs="Calibri" w:eastAsia="Calibri" w:hAnsi="Calibri"/>
          <w:b/>
          <w:bCs/>
          <w:color w:val="2F5496"/>
          <w:sz w:val="24"/>
          <w:szCs w:val="24"/>
        </w:rPr>
        <w:t xml:space="preserve">8.6. Estructura y organización</w:t>
      </w:r>
    </w:p>
    <w:p>
      <w:pPr>
        <w:spacing w:after="120" w:line="288"/>
      </w:pPr>
      <w:r>
        <w:rPr>
          <w:rFonts w:ascii="Calibri" w:cs="Calibri" w:eastAsia="Calibri" w:hAnsi="Calibri"/>
          <w:sz w:val="22"/>
          <w:szCs w:val="22"/>
        </w:rPr>
        <w:t xml:space="preserve">Mantener la estructura ligera actual (una persona en plantilla más una red de profesionales externos) mientras el margen no justifique incorporaciones. Las primeras contrataciones clave previstas —operaciones y desarrollo del canal B2B— se ligarán a hitos de facturación, no a la financiación.</w:t>
      </w:r>
    </w:p>
    <w:p>
      <w:pPr>
        <w:pStyle w:val="Heading2"/>
        <w:spacing w:after="120" w:before="220"/>
      </w:pPr>
      <w:r>
        <w:rPr>
          <w:rFonts w:ascii="Calibri" w:cs="Calibri" w:eastAsia="Calibri" w:hAnsi="Calibri"/>
          <w:b/>
          <w:bCs/>
          <w:color w:val="2F5496"/>
          <w:sz w:val="24"/>
          <w:szCs w:val="24"/>
        </w:rPr>
        <w:t xml:space="preserve">8.7. Encaje con esta financiación</w:t>
      </w:r>
    </w:p>
    <w:p>
      <w:pPr>
        <w:spacing w:after="120" w:line="288"/>
      </w:pPr>
      <w:r>
        <w:rPr>
          <w:rFonts w:ascii="Calibri" w:cs="Calibri" w:eastAsia="Calibri" w:hAnsi="Calibri"/>
          <w:sz w:val="22"/>
          <w:szCs w:val="22"/>
        </w:rPr>
        <w:t xml:space="preserve">Gestionar de forma ordenada el circulante de la campaña de Q4 mediante esta cuenta de crédito es el primer paso operativo, y el más inmediato, de ese plan: consolidar el mercado nacional y demostrar que la empresa gestiona con rigor una línea de circulante. Un buen comportamiento de la línea —disposición acotada y devolución dentro del ciclo de campaña— es la base sobre la que la empresa desea construir una relación bancaria a más largo plazo que acompañe el crecimiento descrito.</w:t>
      </w:r>
    </w:p>
    <w:p>
      <w:pPr>
        <w:pStyle w:val="Heading1"/>
        <w:spacing w:after="160" w:before="320"/>
      </w:pPr>
      <w:r>
        <w:rPr>
          <w:rFonts w:ascii="Calibri" w:cs="Calibri" w:eastAsia="Calibri" w:hAnsi="Calibri"/>
          <w:b/>
          <w:bCs/>
          <w:color w:val="1F3864"/>
          <w:sz w:val="30"/>
          <w:szCs w:val="30"/>
        </w:rPr>
        <w:t xml:space="preserve">9. Uso de los fondos solicitados</w:t>
      </w:r>
    </w:p>
    <w:p>
      <w:pPr>
        <w:pStyle w:val="Heading2"/>
        <w:spacing w:after="120" w:before="220"/>
      </w:pPr>
      <w:r>
        <w:rPr>
          <w:rFonts w:ascii="Calibri" w:cs="Calibri" w:eastAsia="Calibri" w:hAnsi="Calibri"/>
          <w:b/>
          <w:bCs/>
          <w:color w:val="2F5496"/>
          <w:sz w:val="24"/>
          <w:szCs w:val="24"/>
        </w:rPr>
        <w:t xml:space="preserve">9.1. Importe solicitado y destino</w:t>
      </w:r>
    </w:p>
    <w:p>
      <w:pPr>
        <w:spacing w:after="120" w:line="288"/>
      </w:pPr>
      <w:r>
        <w:rPr>
          <w:rFonts w:ascii="Calibri" w:cs="Calibri" w:eastAsia="Calibri" w:hAnsi="Calibri"/>
          <w:b/>
          <w:bCs/>
          <w:sz w:val="22"/>
          <w:szCs w:val="22"/>
        </w:rPr>
        <w:t xml:space="preserve">Importe solicitado: 250.000 €</w:t>
      </w:r>
      <w:r>
        <w:rPr>
          <w:rFonts w:ascii="Calibri" w:cs="Calibri" w:eastAsia="Calibri" w:hAnsi="Calibri"/>
          <w:sz w:val="22"/>
          <w:szCs w:val="22"/>
        </w:rPr>
        <w:t xml:space="preserve"> como límite de una cuenta de crédito (línea de circulante) para la campaña del cuarto trimestre.</w:t>
      </w:r>
    </w:p>
    <w:p>
      <w:pPr>
        <w:spacing w:after="120" w:line="288"/>
      </w:pPr>
      <w:r>
        <w:rPr>
          <w:rFonts w:ascii="Calibri" w:cs="Calibri" w:eastAsia="Calibri" w:hAnsi="Calibri"/>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Calibri" w:cs="Calibri" w:eastAsia="Calibri" w:hAnsi="Calibri"/>
          <w:b/>
          <w:bCs/>
          <w:sz w:val="22"/>
          <w:szCs w:val="22"/>
        </w:rPr>
        <w:t xml:space="preserve">Spiro </w:t>
      </w:r>
      <w:r>
        <w:rPr>
          <w:rFonts w:ascii="Calibri" w:cs="Calibri" w:eastAsia="Calibri" w:hAnsi="Calibri"/>
          <w:sz w:val="22"/>
          <w:szCs w:val="22"/>
        </w:rPr>
        <w:t xml:space="preserve">(distribución): filtros y packs de protección electromagnética.</w:t>
      </w:r>
    </w:p>
    <w:p>
      <w:pPr>
        <w:pStyle w:val="ListParagraph"/>
        <w:numPr>
          <w:ilvl w:val="0"/>
          <w:numId w:val="3"/>
        </w:numPr>
        <w:spacing w:after="100" w:line="288"/>
      </w:pPr>
      <w:r>
        <w:rPr>
          <w:rFonts w:ascii="Calibri" w:cs="Calibri" w:eastAsia="Calibri" w:hAnsi="Calibri"/>
          <w:b/>
          <w:bCs/>
          <w:sz w:val="22"/>
          <w:szCs w:val="22"/>
        </w:rPr>
        <w:t xml:space="preserve">Ekio Light </w:t>
      </w:r>
      <w:r>
        <w:rPr>
          <w:rFonts w:ascii="Calibri" w:cs="Calibri" w:eastAsia="Calibri" w:hAnsi="Calibri"/>
          <w:sz w:val="22"/>
          <w:szCs w:val="22"/>
        </w:rPr>
        <w:t xml:space="preserve">(marca propia): paneles de fotobiomodulación y accesorios de iluminación.</w:t>
      </w:r>
    </w:p>
    <w:p>
      <w:pPr>
        <w:pStyle w:val="ListParagraph"/>
        <w:numPr>
          <w:ilvl w:val="0"/>
          <w:numId w:val="3"/>
        </w:numPr>
        <w:spacing w:after="100" w:line="288"/>
      </w:pPr>
      <w:r>
        <w:rPr>
          <w:rFonts w:ascii="Calibri" w:cs="Calibri" w:eastAsia="Calibri" w:hAnsi="Calibri"/>
          <w:b/>
          <w:bCs/>
          <w:sz w:val="22"/>
          <w:szCs w:val="22"/>
        </w:rPr>
        <w:t xml:space="preserve">Accesorios de medición </w:t>
      </w:r>
      <w:r>
        <w:rPr>
          <w:rFonts w:ascii="Calibri" w:cs="Calibri" w:eastAsia="Calibri" w:hAnsi="Calibri"/>
          <w:sz w:val="22"/>
          <w:szCs w:val="22"/>
        </w:rPr>
        <w:t xml:space="preserve">(medidores de campo, detectores de radiación, comprobadores de instalación), que acompañan a las dos líneas anteriores y tienen buena rotación en campaña.</w:t>
      </w:r>
    </w:p>
    <w:p>
      <w:pPr>
        <w:spacing w:after="120" w:line="288"/>
      </w:pPr>
      <w:r>
        <w:rPr>
          <w:rFonts w:ascii="Calibri" w:cs="Calibri" w:eastAsia="Calibri" w:hAnsi="Calibri"/>
          <w:sz w:val="22"/>
          <w:szCs w:val="22"/>
        </w:rPr>
        <w:t xml:space="preserve">No se financia gasto corriente, ni circulante indefinido, ni activo fijo, ni la expansión internacional descrita en la sección 8: se financia inventario concreto de un catálogo ya en venta, para un pico de demanda acotado en el tiempo. La compra se soportará con presupuestos o pedidos pro-forma de los proveedores (ver sección 11).</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 [PENDIENTE: vigencia y preaviso del contrato de distribución con Noxtak, moneda y condiciones de pago al proveedor, y exposición estimada al tipo de cambio en la compra de campaña.]</w:t>
      </w:r>
    </w:p>
    <w:p>
      <w:pPr>
        <w:pStyle w:val="Heading2"/>
        <w:spacing w:after="120" w:before="220"/>
      </w:pPr>
      <w:r>
        <w:rPr>
          <w:rFonts w:ascii="Calibri" w:cs="Calibri" w:eastAsia="Calibri" w:hAnsi="Calibri"/>
          <w:b/>
          <w:bCs/>
          <w:color w:val="2F5496"/>
          <w:sz w:val="24"/>
          <w:szCs w:val="24"/>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de Q4. </w:t>
      </w:r>
      <w:r>
        <w:rPr>
          <w:rFonts w:ascii="Calibri" w:cs="Calibri" w:eastAsia="Calibri" w:hAnsi="Calibri"/>
          <w:sz w:val="22"/>
          <w:szCs w:val="22"/>
        </w:rPr>
        <w:t xml:space="preserve">La campaña de fin de año concentra más del 50 % de la facturación anual (275.000 € el año anterior frente a 537.845 € de todo 2025). Quedarse sin las referencias más vendidas en ese momento es el mayor riesgo comercial del ejercicio. Comprar el inventario por adelantado lo elimina.</w:t>
      </w:r>
    </w:p>
    <w:p>
      <w:pPr>
        <w:pStyle w:val="ListParagraph"/>
        <w:numPr>
          <w:ilvl w:val="0"/>
          <w:numId w:val="2"/>
        </w:numPr>
        <w:spacing w:after="100" w:line="288"/>
      </w:pPr>
      <w:r>
        <w:rPr>
          <w:rFonts w:ascii="Calibri" w:cs="Calibri" w:eastAsia="Calibri" w:hAnsi="Calibri"/>
          <w:b/>
          <w:bCs/>
          <w:sz w:val="22"/>
          <w:szCs w:val="22"/>
        </w:rPr>
        <w:t xml:space="preserve">Permite comprar volumen al proveedor en mejores condiciones. </w:t>
      </w:r>
      <w:r>
        <w:rPr>
          <w:rFonts w:ascii="Calibri" w:cs="Calibri" w:eastAsia="Calibri" w:hAnsi="Calibri"/>
          <w:sz w:val="22"/>
          <w:szCs w:val="22"/>
        </w:rPr>
        <w:t xml:space="preserve">Consolidar el pedido de campaña —en lugar de reponer a goteo— mejora la posición negociadora frente a los proveedores (Spiro: Noxtak / SG Labs, Miami; Ekio Light: fabricante / ensamblador especializado) y reduce el coste unitario y de logística.</w:t>
      </w:r>
    </w:p>
    <w:p>
      <w:pPr>
        <w:pStyle w:val="ListParagraph"/>
        <w:numPr>
          <w:ilvl w:val="0"/>
          <w:numId w:val="2"/>
        </w:numPr>
        <w:spacing w:after="100" w:line="288"/>
      </w:pPr>
      <w:r>
        <w:rPr>
          <w:rFonts w:ascii="Calibri" w:cs="Calibri" w:eastAsia="Calibri" w:hAnsi="Calibri"/>
          <w:b/>
          <w:bCs/>
          <w:sz w:val="22"/>
          <w:szCs w:val="22"/>
        </w:rPr>
        <w:t xml:space="preserve">Libera la caja propia para el marketing de campaña. </w:t>
      </w:r>
      <w:r>
        <w:rPr>
          <w:rFonts w:ascii="Calibri" w:cs="Calibri" w:eastAsia="Calibri" w:hAnsi="Calibri"/>
          <w:sz w:val="22"/>
          <w:szCs w:val="22"/>
        </w:rPr>
        <w:t xml:space="preserve">Si el inventario se financia con la línea, la tesorería propia queda disponible para la inversión publicitaria y de comunicación que activa la demanda en las mismas fechas. La línea financia el producto; la caja propia financia la venta.</w:t>
      </w:r>
    </w:p>
    <w:p>
      <w:pPr>
        <w:pStyle w:val="Heading2"/>
        <w:spacing w:after="120" w:before="220"/>
      </w:pPr>
      <w:r>
        <w:rPr>
          <w:rFonts w:ascii="Calibri" w:cs="Calibri" w:eastAsia="Calibri" w:hAnsi="Calibri"/>
          <w:b/>
          <w:bCs/>
          <w:color w:val="2F5496"/>
          <w:sz w:val="24"/>
          <w:szCs w:val="24"/>
        </w:rPr>
        <w:t xml:space="preserve">9.3. De qué se compone el importe solicitado</w:t>
      </w:r>
    </w:p>
    <w:p>
      <w:pPr>
        <w:spacing w:after="120" w:line="288"/>
      </w:pPr>
      <w:r>
        <w:rPr>
          <w:rFonts w:ascii="Calibri" w:cs="Calibri" w:eastAsia="Calibri" w:hAnsi="Calibri"/>
          <w:b/>
          <w:bCs/>
          <w:sz w:val="22"/>
          <w:szCs w:val="22"/>
        </w:rPr>
        <w:t xml:space="preserve">Paso 1 — Objetivo de ventas de la campaña 2026. </w:t>
      </w:r>
      <w:r>
        <w:rPr>
          <w:rFonts w:ascii="Calibri" w:cs="Calibri" w:eastAsia="Calibri" w:hAnsi="Calibri"/>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 [PENDIENTE: confirmación del objetivo de campaña 2026 por la dirección.]</w:t>
      </w:r>
    </w:p>
    <w:p>
      <w:pPr>
        <w:spacing w:after="120" w:line="288"/>
      </w:pPr>
      <w:r>
        <w:rPr>
          <w:rFonts w:ascii="Calibri" w:cs="Calibri" w:eastAsia="Calibri" w:hAnsi="Calibri"/>
          <w:b/>
          <w:bCs/>
          <w:sz w:val="22"/>
          <w:szCs w:val="22"/>
        </w:rPr>
        <w:t xml:space="preserve">Paso 2 — Coste de la mercancía de campaña por grupo de producto.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426"/>
        <w:gridCol w:w="1100"/>
        <w:gridCol w:w="1900"/>
        <w:gridCol w:w="1400"/>
        <w:gridCol w:w="2200"/>
      </w:tblGrid>
      <w:tr>
        <w:trPr>
          <w:tblHeader/>
        </w:trPr>
        <w:tc>
          <w:tcPr>
            <w:tcW w:type="dxa" w:w="2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Grupo</w:t>
            </w:r>
          </w:p>
        </w:tc>
        <w:tc>
          <w:tcPr>
            <w:tcW w:type="dxa" w:w="11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Reparto</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Ventas campaña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Coste merc. (%)</w:t>
            </w:r>
          </w:p>
        </w:tc>
        <w:tc>
          <w:tcPr>
            <w:tcW w:type="dxa" w:w="22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65 %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227.500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136.500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25 %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87.500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39.375</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55 %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19.250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Total campaña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bl>
    <w:p>
      <w:pPr>
        <w:spacing w:after="80"/>
      </w:pPr>
    </w:p>
    <w:p>
      <w:pPr>
        <w:spacing w:after="120" w:line="288"/>
      </w:pPr>
      <w:r>
        <w:rPr>
          <w:rFonts w:ascii="Calibri" w:cs="Calibri" w:eastAsia="Calibri" w:hAnsi="Calibri"/>
          <w:b/>
          <w:bCs/>
          <w:sz w:val="22"/>
          <w:szCs w:val="22"/>
        </w:rPr>
        <w:t xml:space="preserve">Paso 3 — Del coste de la mercancía al importe solicitado.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6026"/>
        <w:gridCol w:w="3000"/>
      </w:tblGrid>
      <w:tr>
        <w:trPr>
          <w:tblHeader/>
        </w:trPr>
        <w:tc>
          <w:tcPr>
            <w:tcW w:type="dxa" w:w="6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3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adicional para reposición de referencias más vendidas durante la campaña y para el stock de arranque del primer trimestre de 2027</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 54.875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bl>
    <w:p>
      <w:pPr>
        <w:spacing w:after="80"/>
      </w:pPr>
    </w:p>
    <w:p>
      <w:pPr>
        <w:spacing w:after="120" w:line="288"/>
      </w:pPr>
      <w:r>
        <w:rPr>
          <w:rFonts w:ascii="Calibri" w:cs="Calibri" w:eastAsia="Calibri" w:hAnsi="Calibri"/>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de esta sección (recogidos en la hoja «Supuestos» del anexo Excel): </w:t>
      </w:r>
      <w:r>
        <w:rPr>
          <w:rFonts w:ascii="Calibri" w:cs="Calibri" w:eastAsia="Calibri" w:hAnsi="Calibri"/>
          <w:i/>
          <w:iCs/>
          <w:color w:val="595959"/>
          <w:sz w:val="20"/>
          <w:szCs w:val="20"/>
        </w:rPr>
        <w:t xml:space="preserve">objetivo de campaña 350.000 € [PENDIENTE: confirmar]; reparto 65 % Spiro / 25 % Ekio Light / 10 % accesorios [PENDIENTE: confirmar]; coste de mercancía 60 % / 45 % / 55 %, supuestos prudentes coherentes con los márgenes de gestión [PENDIENTE: coste real por grupo]; fases de compra 60 % octubre / 30 % noviembre / 10 % diciembre, pago a proveedor en el mes de compra [PENDIENTE: plazo de pago real a cada proveedor].</w:t>
      </w:r>
    </w:p>
    <w:p>
      <w:pPr>
        <w:pStyle w:val="Heading2"/>
        <w:spacing w:after="120" w:before="220"/>
      </w:pPr>
      <w:r>
        <w:rPr>
          <w:rFonts w:ascii="Calibri" w:cs="Calibri" w:eastAsia="Calibri" w:hAnsi="Calibri"/>
          <w:b/>
          <w:bCs/>
          <w:color w:val="2F5496"/>
          <w:sz w:val="24"/>
          <w:szCs w:val="24"/>
        </w:rPr>
        <w:t xml:space="preserve">9.4. Garantías y estructura de la operación</w:t>
      </w:r>
    </w:p>
    <w:p>
      <w:pPr>
        <w:spacing w:after="120" w:line="288"/>
      </w:pPr>
      <w:r>
        <w:rPr>
          <w:rFonts w:ascii="Calibri" w:cs="Calibri" w:eastAsia="Calibri" w:hAnsi="Calibri"/>
          <w:sz w:val="22"/>
          <w:szCs w:val="22"/>
        </w:rPr>
        <w:t xml:space="preserve">La empresa ofrece, en primera instancia, la responsabilidad patrimonial de EKIO BIOTECH, S.L.U. Es consciente de que se trata de una sociedad de reciente constitución y de que CaixaBank puede requerir cobertura adicional; queda abierta a estudiar con la entidad las fórmulas habituales para este tipo de operación de circulante:</w:t>
      </w:r>
    </w:p>
    <w:p>
      <w:pPr>
        <w:pStyle w:val="ListParagraph"/>
        <w:numPr>
          <w:ilvl w:val="0"/>
          <w:numId w:val="3"/>
        </w:numPr>
        <w:spacing w:after="100" w:line="288"/>
      </w:pPr>
      <w:r>
        <w:rPr>
          <w:rFonts w:ascii="Calibri" w:cs="Calibri" w:eastAsia="Calibri" w:hAnsi="Calibri"/>
          <w:sz w:val="22"/>
          <w:szCs w:val="22"/>
        </w:rPr>
        <w:t xml:space="preserve">Aval de la Sociedad de Garantía Recíproca de Castilla y León (Iberaval).</w:t>
      </w:r>
    </w:p>
    <w:p>
      <w:pPr>
        <w:pStyle w:val="ListParagraph"/>
        <w:numPr>
          <w:ilvl w:val="0"/>
          <w:numId w:val="3"/>
        </w:numPr>
        <w:spacing w:after="100" w:line="288"/>
      </w:pPr>
      <w:r>
        <w:rPr>
          <w:rFonts w:ascii="Calibri" w:cs="Calibri" w:eastAsia="Calibri" w:hAnsi="Calibri"/>
          <w:sz w:val="22"/>
          <w:szCs w:val="22"/>
        </w:rPr>
        <w:t xml:space="preserve">Pignoración del stock financiado con la línea, o de la propia cuenta de crédito.</w:t>
      </w:r>
    </w:p>
    <w:p>
      <w:pPr>
        <w:pStyle w:val="ListParagraph"/>
        <w:numPr>
          <w:ilvl w:val="0"/>
          <w:numId w:val="3"/>
        </w:numPr>
        <w:spacing w:after="100" w:line="288"/>
      </w:pPr>
      <w:r>
        <w:rPr>
          <w:rFonts w:ascii="Calibri" w:cs="Calibri" w:eastAsia="Calibri" w:hAnsi="Calibri"/>
          <w:sz w:val="22"/>
          <w:szCs w:val="22"/>
        </w:rPr>
        <w:t xml:space="preserve">Garantía personal del administrador y socio único.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decisión de la empresa sobre qué garantías está dispuesta a aportar. Recomendación: aval SGR Iberaval o pignoración del stock, dado el importe solicitado y la reciente constitución de la sociedad.]</w:t>
      </w:r>
    </w:p>
    <w:p>
      <w:pPr>
        <w:pStyle w:val="Heading1"/>
        <w:spacing w:after="160" w:before="320"/>
      </w:pPr>
      <w:r>
        <w:rPr>
          <w:rFonts w:ascii="Calibri" w:cs="Calibri" w:eastAsia="Calibri" w:hAnsi="Calibri"/>
          <w:b/>
          <w:bCs/>
          <w:color w:val="1F3864"/>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Calibri" w:cs="Calibri" w:eastAsia="Calibri" w:hAnsi="Calibri"/>
          <w:b/>
          <w:bCs/>
          <w:color w:val="2F5496"/>
          <w:sz w:val="24"/>
          <w:szCs w:val="24"/>
        </w:rPr>
        <w:t xml:space="preserve">10.1. Flujo de caja de campaña (escenario base, octubre 2026 – febrero 2027)</w:t>
      </w:r>
    </w:p>
    <w:p>
      <w:pPr>
        <w:spacing w:after="120" w:line="288"/>
      </w:pPr>
      <w:r>
        <w:rPr>
          <w:rFonts w:ascii="Calibri" w:cs="Calibri" w:eastAsia="Calibri" w:hAnsi="Calibri"/>
          <w:i/>
          <w:iCs/>
          <w:color w:val="595959"/>
          <w:sz w:val="20"/>
          <w:szCs w:val="20"/>
        </w:rPr>
        <w:t xml:space="preserve">Objetivo de campaña 350.000 €. Ventas distribuidas 15 % / 35 % / 30 % / 15 % / 5 % (octubre a febrero). Cobro D2C en el mismo mes de la venta (las pasarelas de pago liquidan con retención y reservas; el supuesto de cobro íntegro en el mes se ajustará con el dato real). Compra de stock escalonada 60 % / 30 % / 10 % (octubre a diciembre), pagada en el mes de compra. Gastos de campaña (marketing y logística) al 12 % de las ventas. Cuota del préstamo de 70.000 €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071"/>
        <w:gridCol w:w="1071"/>
        <w:gridCol w:w="1071"/>
        <w:gridCol w:w="1071"/>
        <w:gridCol w:w="1071"/>
        <w:gridCol w:w="1071"/>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 (€)</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Oct-26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Nov-26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Dic-26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Ene-27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Feb-27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105.000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−117.075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−58.538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−12.600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−2.100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70k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+71.538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+14.050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+92.075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Calibri" w:cs="Calibri" w:eastAsia="Calibri" w:hAnsi="Calibri"/>
          <w:b/>
          <w:bCs/>
          <w:color w:val="2F5496"/>
          <w:sz w:val="24"/>
          <w:szCs w:val="24"/>
        </w:rPr>
        <w:t xml:space="preserve">10.2. Ratio de cobertura de la devolución</w:t>
      </w:r>
    </w:p>
    <w:p>
      <w:pPr>
        <w:spacing w:after="120" w:line="288"/>
      </w:pPr>
      <w:r>
        <w:rPr>
          <w:rFonts w:ascii="Calibri" w:cs="Calibri" w:eastAsia="Calibri" w:hAnsi="Calibri"/>
          <w:b/>
          <w:bCs/>
          <w:sz w:val="22"/>
          <w:szCs w:val="22"/>
        </w:rPr>
        <w:t xml:space="preserve">Ratio de cobertura = Flujo de caja operativo de campaña ÷ (Pico de disposición + Servicio del préstamo 70k en el periodo)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base</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262.500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112.875</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84.656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54.506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70k en el periodo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78.975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61.256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1,43x</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1,38x</w:t>
            </w:r>
          </w:p>
        </w:tc>
      </w:tr>
    </w:tbl>
    <w:p>
      <w:pPr>
        <w:spacing w:after="80"/>
      </w:pPr>
    </w:p>
    <w:p>
      <w:pPr>
        <w:spacing w:after="120" w:line="288"/>
      </w:pPr>
      <w:r>
        <w:rPr>
          <w:rFonts w:ascii="Calibri" w:cs="Calibri" w:eastAsia="Calibri" w:hAnsi="Calibri"/>
          <w:i/>
          <w:iCs/>
          <w:color w:val="595959"/>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de 70k se mantiene fija (es una obligación que no depende de las ventas).</w:t>
      </w:r>
    </w:p>
    <w:p>
      <w:pPr>
        <w:spacing w:after="120" w:line="288"/>
      </w:pPr>
      <w:r>
        <w:rPr>
          <w:rFonts w:ascii="Calibri" w:cs="Calibri" w:eastAsia="Calibri" w:hAnsi="Calibri"/>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Calibri" w:cs="Calibri" w:eastAsia="Calibri" w:hAnsi="Calibri"/>
          <w:b/>
          <w:bCs/>
          <w:color w:val="2F5496"/>
          <w:sz w:val="24"/>
          <w:szCs w:val="24"/>
        </w:rPr>
        <w:t xml:space="preserve">10.3. Casos extremos</w:t>
      </w:r>
    </w:p>
    <w:p>
      <w:pPr>
        <w:spacing w:after="120" w:line="288"/>
      </w:pPr>
      <w:r>
        <w:rPr>
          <w:rFonts w:ascii="Calibri" w:cs="Calibri" w:eastAsia="Calibri" w:hAnsi="Calibri"/>
          <w:b/>
          <w:bCs/>
          <w:sz w:val="22"/>
          <w:szCs w:val="22"/>
        </w:rPr>
        <w:t xml:space="preserve">a) Disposición máxima — comprar todo el stock por adelantado en octubre. </w:t>
      </w:r>
      <w:r>
        <w:rPr>
          <w:rFonts w:ascii="Calibri" w:cs="Calibri" w:eastAsia="Calibri" w:hAnsi="Calibri"/>
          <w:sz w:val="22"/>
          <w:szCs w:val="22"/>
        </w:rPr>
        <w:t xml:space="preserve">Si en lugar de escalonar la compra se adquiriera de una vez todo el stock de campaña (195.125 €), la línea se dispondría hasta unos 150.000 € en octubre. Aun así quedaría amortizada a finales de diciembre, porque los cobros de noviembre y diciembre (227.500 €) superan con holgura esa disposición. El límite de 250.000 € cubre este caso con margen.</w:t>
      </w:r>
    </w:p>
    <w:p>
      <w:pPr>
        <w:spacing w:after="120" w:line="288"/>
      </w:pPr>
      <w:r>
        <w:rPr>
          <w:rFonts w:ascii="Calibri" w:cs="Calibri" w:eastAsia="Calibri" w:hAnsi="Calibri"/>
          <w:b/>
          <w:bCs/>
          <w:sz w:val="22"/>
          <w:szCs w:val="22"/>
        </w:rPr>
        <w:t xml:space="preserve">b) Ventas un 40 % por debajo del objetivo, con el primer pedido ya comprometido. </w:t>
      </w:r>
      <w:r>
        <w:rPr>
          <w:rFonts w:ascii="Calibri" w:cs="Calibri" w:eastAsia="Calibri" w:hAnsi="Calibri"/>
          <w:sz w:val="22"/>
          <w:szCs w:val="22"/>
        </w:rPr>
        <w:t xml:space="preserve">El único importe realmente comprometido en octubre es el primer tramo de compra (≈ 117.000 €); las reposiciones de noviembre y diciembre son discrecionales y se recortarían. Con ventas de campaña de ≈ 210.000 €, la línea se dispondría hasta ≈ 90.000 € y quedaría devuelta hacia el final de enero de 2027, un mes más tarde que en el escenario base, con la caja de campaña todavía en positivo (≈ +22.000 €). Mitigantes: compra escalonada, stock no vendido que se liquida en el primer trimestre, y tres ejercicios en beneficios como colchón. [PENDIENTE: previsión de tesorería de la sociedad a 12 meses.]</w:t>
      </w:r>
    </w:p>
    <w:p>
      <w:pPr>
        <w:pStyle w:val="Heading2"/>
        <w:spacing w:after="120" w:before="220"/>
      </w:pPr>
      <w:r>
        <w:rPr>
          <w:rFonts w:ascii="Calibri" w:cs="Calibri" w:eastAsia="Calibri" w:hAnsi="Calibri"/>
          <w:b/>
          <w:bCs/>
          <w:color w:val="2F5496"/>
          <w:sz w:val="24"/>
          <w:szCs w:val="24"/>
        </w:rPr>
        <w:t xml:space="preserve">10.4. Efecto del préstamo de 70.000 €</w:t>
      </w:r>
    </w:p>
    <w:p>
      <w:pPr>
        <w:spacing w:after="120" w:line="288"/>
      </w:pPr>
      <w:r>
        <w:rPr>
          <w:rFonts w:ascii="Calibri" w:cs="Calibri" w:eastAsia="Calibri" w:hAnsi="Calibri"/>
          <w:sz w:val="22"/>
          <w:szCs w:val="22"/>
        </w:rPr>
        <w:t xml:space="preserve">La cuota mensual del préstamo de 70.000 €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(provisional): 1.350 €/mes. </w:t>
      </w:r>
      <w:r>
        <w:rPr>
          <w:rFonts w:ascii="Calibri" w:cs="Calibri" w:eastAsia="Calibri" w:hAnsi="Calibri"/>
          <w:b/>
          <w:bCs/>
          <w:i/>
          <w:iCs/>
          <w:color w:val="595959"/>
          <w:sz w:val="20"/>
          <w:szCs w:val="20"/>
        </w:rPr>
        <w:t xml:space="preserve">[PENDIENTE: prestamista, cuota mensual exacta, saldo vivo a la fecha, vencimiento y condiciones del préstamo de 70.000 €.]</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todos los escenarios.</w:t>
      </w:r>
    </w:p>
    <w:p>
      <w:pPr>
        <w:pStyle w:val="Heading2"/>
        <w:spacing w:after="120" w:before="220"/>
      </w:pPr>
      <w:r>
        <w:rPr>
          <w:rFonts w:ascii="Calibri" w:cs="Calibri" w:eastAsia="Calibri" w:hAnsi="Calibri"/>
          <w:b/>
          <w:bCs/>
          <w:color w:val="2F5496"/>
          <w:sz w:val="24"/>
          <w:szCs w:val="24"/>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Disposición muy por debajo del límite. </w:t>
      </w:r>
      <w:r>
        <w:rPr>
          <w:rFonts w:ascii="Calibri" w:cs="Calibri" w:eastAsia="Calibri" w:hAnsi="Calibri"/>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Calibri" w:cs="Calibri" w:eastAsia="Calibri" w:hAnsi="Calibri"/>
          <w:b/>
          <w:bCs/>
          <w:sz w:val="22"/>
          <w:szCs w:val="22"/>
        </w:rPr>
        <w:t xml:space="preserve">Cobertura de 1,43x (base) y 1,38x (conservador), </w:t>
      </w:r>
      <w:r>
        <w:rPr>
          <w:rFonts w:ascii="Calibri" w:cs="Calibri" w:eastAsia="Calibri" w:hAnsi="Calibri"/>
          <w:sz w:val="22"/>
          <w:szCs w:val="22"/>
        </w:rPr>
        <w:t xml:space="preserve">en ambos casos después de atender el préstamo de 70.000 €. En un estrés de ventas −40 % con el primer pedido comprometido, el ciclo se alarga un mes hacia Q1 2027 sin llegar a impago.</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Calibri" w:cs="Calibri" w:eastAsia="Calibri" w:hAnsi="Calibri"/>
          <w:b/>
          <w:bCs/>
          <w:color w:val="1F3864"/>
          <w:sz w:val="30"/>
          <w:szCs w:val="30"/>
        </w:rPr>
        <w:t xml:space="preserve">11. Anexos</w:t>
      </w:r>
    </w:p>
    <w:p>
      <w:pPr>
        <w:pStyle w:val="Heading2"/>
        <w:spacing w:after="120" w:before="220"/>
      </w:pPr>
      <w:r>
        <w:rPr>
          <w:rFonts w:ascii="Calibri" w:cs="Calibri" w:eastAsia="Calibri" w:hAnsi="Calibri"/>
          <w:b/>
          <w:bCs/>
          <w:color w:val="2F5496"/>
          <w:sz w:val="24"/>
          <w:szCs w:val="24"/>
        </w:rPr>
        <w:t xml:space="preserve">11.1. Anexo financiero (Excel)</w:t>
      </w:r>
    </w:p>
    <w:p>
      <w:pPr>
        <w:spacing w:after="120" w:line="288"/>
      </w:pPr>
      <w:r>
        <w:rPr>
          <w:rFonts w:ascii="Calibri" w:cs="Calibri" w:eastAsia="Calibri" w:hAnsi="Calibri"/>
          <w:sz w:val="22"/>
          <w:szCs w:val="22"/>
        </w:rPr>
        <w:t xml:space="preserve">Se acompaña el archivo anexo-financiero.xlsx, con seis hojas y fórmulas reales enlazadas a una hoja de supuestos editable (al cambiar un supuesto se recalcula todo el modelo):</w:t>
      </w:r>
    </w:p>
    <w:p>
      <w:pPr>
        <w:pStyle w:val="ListParagraph"/>
        <w:numPr>
          <w:ilvl w:val="0"/>
          <w:numId w:val="3"/>
        </w:numPr>
        <w:spacing w:after="100" w:line="288"/>
      </w:pPr>
      <w:r>
        <w:rPr>
          <w:rFonts w:ascii="Calibri" w:cs="Calibri" w:eastAsia="Calibri" w:hAnsi="Calibri"/>
          <w:sz w:val="22"/>
          <w:szCs w:val="22"/>
        </w:rPr>
        <w:t xml:space="preserve">Portada — identificación del anexo y advertencia sobre las cifras históricas.</w:t>
      </w:r>
    </w:p>
    <w:p>
      <w:pPr>
        <w:pStyle w:val="ListParagraph"/>
        <w:numPr>
          <w:ilvl w:val="0"/>
          <w:numId w:val="3"/>
        </w:numPr>
        <w:spacing w:after="100" w:line="288"/>
      </w:pPr>
      <w:r>
        <w:rPr>
          <w:rFonts w:ascii="Calibri" w:cs="Calibri" w:eastAsia="Calibri" w:hAnsi="Calibri"/>
          <w:sz w:val="22"/>
          <w:szCs w:val="22"/>
        </w:rPr>
        <w:t xml:space="preserve">Histórico — cuenta de resultados 2023–2026 H1, con acumulado del periodo (1,67 M€) y gráfico. Margen y resultado de 2023, pendientes de las declaraciones fiscales.</w:t>
      </w:r>
    </w:p>
    <w:p>
      <w:pPr>
        <w:pStyle w:val="ListParagraph"/>
        <w:numPr>
          <w:ilvl w:val="0"/>
          <w:numId w:val="3"/>
        </w:numPr>
        <w:spacing w:after="100" w:line="288"/>
      </w:pPr>
      <w:r>
        <w:rPr>
          <w:rFonts w:ascii="Calibri" w:cs="Calibri" w:eastAsia="Calibri" w:hAnsi="Calibri"/>
          <w:sz w:val="22"/>
          <w:szCs w:val="22"/>
        </w:rPr>
        <w:t xml:space="preserve">Supuestos — parámetros editables: objetivo de campaña 350.000 €, reparto 65/25/10 (Spiro/Ekio Light/accesorios), % de coste por grupo, calendario de compra y de cobro, cuota del préstamo de 70k.</w:t>
      </w:r>
    </w:p>
    <w:p>
      <w:pPr>
        <w:pStyle w:val="ListParagraph"/>
        <w:numPr>
          <w:ilvl w:val="0"/>
          <w:numId w:val="3"/>
        </w:numPr>
        <w:spacing w:after="100" w:line="288"/>
      </w:pPr>
      <w:r>
        <w:rPr>
          <w:rFonts w:ascii="Calibri" w:cs="Calibri" w:eastAsia="Calibri" w:hAnsi="Calibri"/>
          <w:sz w:val="22"/>
          <w:szCs w:val="22"/>
        </w:rPr>
        <w:t xml:space="preserve">Necesidad de circulante — importe solicitado 250.000 €, coste del stock de campaña por grupo (~195.125 €) y holgura de reposición (~54.875 €).</w:t>
      </w:r>
    </w:p>
    <w:p>
      <w:pPr>
        <w:pStyle w:val="ListParagraph"/>
        <w:numPr>
          <w:ilvl w:val="0"/>
          <w:numId w:val="3"/>
        </w:numPr>
        <w:spacing w:after="100" w:line="288"/>
      </w:pPr>
      <w:r>
        <w:rPr>
          <w:rFonts w:ascii="Calibri" w:cs="Calibri" w:eastAsia="Calibri" w:hAnsi="Calibri"/>
          <w:sz w:val="22"/>
          <w:szCs w:val="22"/>
        </w:rPr>
        <w:t xml:space="preserve">Flujo de caja de campaña — mensual octubre 2026 – febrero 2027, con disposición y devolución de la línea (escenario base).</w:t>
      </w:r>
    </w:p>
    <w:p>
      <w:pPr>
        <w:pStyle w:val="ListParagraph"/>
        <w:numPr>
          <w:ilvl w:val="0"/>
          <w:numId w:val="3"/>
        </w:numPr>
        <w:spacing w:after="100" w:line="288"/>
      </w:pPr>
      <w:r>
        <w:rPr>
          <w:rFonts w:ascii="Calibri" w:cs="Calibri" w:eastAsia="Calibri" w:hAnsi="Calibri"/>
          <w:sz w:val="22"/>
          <w:szCs w:val="22"/>
        </w:rPr>
        <w:t xml:space="preserve">Escenarios — base, conservador (−25 %) y disposición máxima (compra por adelantado), con pico de disposición y ratio de cobertura de cada uno.</w:t>
      </w:r>
    </w:p>
    <w:p>
      <w:pPr>
        <w:pStyle w:val="Heading2"/>
        <w:spacing w:after="120" w:before="220"/>
      </w:pPr>
      <w:r>
        <w:rPr>
          <w:rFonts w:ascii="Calibri" w:cs="Calibri" w:eastAsia="Calibri" w:hAnsi="Calibri"/>
          <w:b/>
          <w:bCs/>
          <w:color w:val="2F5496"/>
          <w:sz w:val="24"/>
          <w:szCs w:val="24"/>
        </w:rPr>
        <w:t xml:space="preserve">11.2. Documentación de soporte a aportar con la solicitud</w:t>
      </w:r>
    </w:p>
    <w:p>
      <w:pPr>
        <w:spacing w:after="120" w:line="288"/>
      </w:pPr>
      <w:r>
        <w:rPr>
          <w:rFonts w:ascii="Calibri" w:cs="Calibri" w:eastAsia="Calibri" w:hAnsi="Calibri"/>
          <w:sz w:val="22"/>
          <w:szCs w:val="22"/>
        </w:rPr>
        <w:t xml:space="preserve">Documentos que acompañan o completan este plan al presentarlo en CaixaBank:</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escritura / documento de aportación no dineraria del negocio en funcionamiento.</w:t>
      </w:r>
    </w:p>
    <w:p>
      <w:pPr>
        <w:pStyle w:val="ListParagraph"/>
        <w:numPr>
          <w:ilvl w:val="0"/>
          <w:numId w:val="3"/>
        </w:numPr>
        <w:spacing w:after="100" w:line="288"/>
      </w:pPr>
      <w:r>
        <w:rPr>
          <w:rFonts w:ascii="Calibri" w:cs="Calibri" w:eastAsia="Calibri" w:hAnsi="Calibri"/>
          <w:sz w:val="22"/>
          <w:szCs w:val="22"/>
        </w:rPr>
        <w:t xml:space="preserve">Balance de apertura de la SLU (resultante de la aportación) y previsión de balance y de tesorería 2026–2027.</w:t>
      </w:r>
    </w:p>
    <w:p>
      <w:pPr>
        <w:pStyle w:val="ListParagraph"/>
        <w:numPr>
          <w:ilvl w:val="0"/>
          <w:numId w:val="3"/>
        </w:numPr>
        <w:spacing w:after="100" w:line="288"/>
      </w:pPr>
      <w:r>
        <w:rPr>
          <w:rFonts w:ascii="Calibri" w:cs="Calibri" w:eastAsia="Calibri" w:hAnsi="Calibri"/>
          <w:sz w:val="22"/>
          <w:szCs w:val="22"/>
        </w:rPr>
        <w:t xml:space="preserve">Previsión de tesorería de la sociedad a 12 meses, no solo la ventana de campaña.</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w:t>
      </w:r>
    </w:p>
    <w:p>
      <w:pPr>
        <w:pStyle w:val="ListParagraph"/>
        <w:numPr>
          <w:ilvl w:val="0"/>
          <w:numId w:val="3"/>
        </w:numPr>
        <w:spacing w:after="100" w:line="288"/>
      </w:pPr>
      <w:r>
        <w:rPr>
          <w:rFonts w:ascii="Calibri" w:cs="Calibri" w:eastAsia="Calibri" w:hAnsi="Calibri"/>
          <w:sz w:val="22"/>
          <w:szCs w:val="22"/>
        </w:rPr>
        <w:t xml:space="preserve">P&amp;L de gestión actualizado de Holded con desglose de coste de ventas por ejercicio (conciliación del margen bruto) y, cuando estén disponibles, cuentas anuales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AEAT y con la Tesorería General de la Seguridad Social; en su caso, detalle de aplazamientos o fraccionamientos vigentes.</w:t>
      </w:r>
    </w:p>
    <w:p>
      <w:pPr>
        <w:pStyle w:val="ListParagraph"/>
        <w:numPr>
          <w:ilvl w:val="0"/>
          <w:numId w:val="3"/>
        </w:numPr>
        <w:spacing w:after="100" w:line="288"/>
      </w:pPr>
      <w:r>
        <w:rPr>
          <w:rFonts w:ascii="Calibri" w:cs="Calibri" w:eastAsia="Calibri" w:hAnsi="Calibri"/>
          <w:sz w:val="22"/>
          <w:szCs w:val="22"/>
        </w:rPr>
        <w:t xml:space="preserve">Contrato e identificación del préstamo de 70.000 € (prestamista, tipo, saldo vivo, cuadro de amortización, covenants) e informe CIRBE.</w:t>
      </w:r>
    </w:p>
    <w:p>
      <w:pPr>
        <w:pStyle w:val="ListParagraph"/>
        <w:numPr>
          <w:ilvl w:val="0"/>
          <w:numId w:val="3"/>
        </w:numPr>
        <w:spacing w:after="100" w:line="288"/>
      </w:pPr>
      <w:r>
        <w:rPr>
          <w:rFonts w:ascii="Calibri" w:cs="Calibri" w:eastAsia="Calibri" w:hAnsi="Calibri"/>
          <w:sz w:val="22"/>
          <w:szCs w:val="22"/>
        </w:rPr>
        <w:t xml:space="preserve">Contrato de distribución con Noxtak / SG Labs y condiciones de pago a proveedor.</w:t>
      </w:r>
    </w:p>
    <w:p>
      <w:pPr>
        <w:pStyle w:val="ListParagraph"/>
        <w:numPr>
          <w:ilvl w:val="0"/>
          <w:numId w:val="3"/>
        </w:numPr>
        <w:spacing w:after="100" w:line="288"/>
      </w:pPr>
      <w:r>
        <w:rPr>
          <w:rFonts w:ascii="Calibri" w:cs="Calibri" w:eastAsia="Calibri" w:hAnsi="Calibri"/>
          <w:sz w:val="22"/>
          <w:szCs w:val="22"/>
        </w:rPr>
        <w:t xml:space="preserve">Contrato de fabricación / ensamblaje de Ekio Light e identificación del fabricante; marcado CE, declaración de conformidad y seguro de responsabilidad civil de producto (en especial de los equipos con emisión UV-A/UV-B).</w:t>
      </w:r>
    </w:p>
    <w:p>
      <w:pPr>
        <w:pStyle w:val="ListParagraph"/>
        <w:numPr>
          <w:ilvl w:val="0"/>
          <w:numId w:val="3"/>
        </w:numPr>
        <w:spacing w:after="100" w:line="288"/>
      </w:pPr>
      <w:r>
        <w:rPr>
          <w:rFonts w:ascii="Calibri" w:cs="Calibri" w:eastAsia="Calibri" w:hAnsi="Calibri"/>
          <w:sz w:val="22"/>
          <w:szCs w:val="22"/>
        </w:rPr>
        <w:t xml:space="preserve">Título / certificado de registro del Modelo de Utilidad Nº U202532624 (OEPM) y estado de la solicitud de patente internacional (PCT) del sistema SFPA.</w:t>
      </w:r>
    </w:p>
    <w:p>
      <w:pPr>
        <w:pStyle w:val="ListParagraph"/>
        <w:numPr>
          <w:ilvl w:val="0"/>
          <w:numId w:val="3"/>
        </w:numPr>
        <w:spacing w:after="100" w:line="288"/>
      </w:pPr>
      <w:r>
        <w:rPr>
          <w:rFonts w:ascii="Calibri" w:cs="Calibri" w:eastAsia="Calibri" w:hAnsi="Calibri"/>
          <w:sz w:val="22"/>
          <w:szCs w:val="22"/>
        </w:rPr>
        <w:t xml:space="preserve">Carta o comunicación de Wolaria / ICECYL acreditando la invitación a Startup OLÉ y Valencia Digital Summit.</w:t>
      </w:r>
    </w:p>
    <w:p>
      <w:pPr>
        <w:pStyle w:val="ListParagraph"/>
        <w:numPr>
          <w:ilvl w:val="0"/>
          <w:numId w:val="3"/>
        </w:numPr>
        <w:spacing w:after="100" w:line="288"/>
      </w:pPr>
      <w:r>
        <w:rPr>
          <w:rFonts w:ascii="Calibri" w:cs="Calibri" w:eastAsia="Calibri" w:hAnsi="Calibri"/>
          <w:sz w:val="22"/>
          <w:szCs w:val="22"/>
        </w:rPr>
        <w:t xml:space="preserve">Presupuestos o pedidos pro-forma en firme de ambos proveedores que soporten el importe de la compra de stock de campaña (~170.775 €).</w:t>
      </w:r>
    </w:p>
    <w:p>
      <w:pPr>
        <w:pStyle w:val="ListParagraph"/>
        <w:numPr>
          <w:ilvl w:val="0"/>
          <w:numId w:val="3"/>
        </w:numPr>
        <w:spacing w:after="100" w:line="288"/>
      </w:pPr>
      <w:r>
        <w:rPr>
          <w:rFonts w:ascii="Calibri" w:cs="Calibri" w:eastAsia="Calibri" w:hAnsi="Calibri"/>
          <w:sz w:val="22"/>
          <w:szCs w:val="22"/>
        </w:rPr>
        <w:t xml:space="preserve">Cálculo del Impuesto sobre Sociedades previsto sobre el resultado de campaña.</w:t>
      </w:r>
    </w:p>
    <w:p>
      <w:pPr>
        <w:pStyle w:val="Heading2"/>
        <w:spacing w:after="120" w:before="220"/>
      </w:pPr>
      <w:r>
        <w:rPr>
          <w:rFonts w:ascii="Calibri" w:cs="Calibri" w:eastAsia="Calibri" w:hAnsi="Calibri"/>
          <w:b/>
          <w:bCs/>
          <w:color w:val="2F5496"/>
          <w:sz w:val="24"/>
          <w:szCs w:val="24"/>
        </w:rPr>
        <w:t xml:space="preserve">11.3. Lista consolidada de datos pendientes de aportar por la empresa</w:t>
      </w:r>
    </w:p>
    <w:p>
      <w:pPr>
        <w:spacing w:after="120" w:line="288"/>
      </w:pPr>
      <w:r>
        <w:rPr>
          <w:rFonts w:ascii="Calibri" w:cs="Calibri" w:eastAsia="Calibri" w:hAnsi="Calibri"/>
          <w:sz w:val="22"/>
          <w:szCs w:val="22"/>
        </w:rPr>
        <w:t xml:space="preserve">Puntos marcados como [PENDIENTE] a lo largo del documento, para que la empresa los complete antes de la presentación formal:</w:t>
      </w:r>
    </w:p>
    <w:p>
      <w:pPr>
        <w:pStyle w:val="ListParagraph"/>
        <w:numPr>
          <w:ilvl w:val="0"/>
          <w:numId w:val="3"/>
        </w:numPr>
        <w:spacing w:after="100" w:line="288"/>
      </w:pPr>
      <w:r>
        <w:rPr>
          <w:rFonts w:ascii="Calibri" w:cs="Calibri" w:eastAsia="Calibri" w:hAnsi="Calibri"/>
          <w:i/>
          <w:iCs/>
          <w:color w:val="595959"/>
          <w:sz w:val="20"/>
          <w:szCs w:val="20"/>
        </w:rPr>
        <w:t xml:space="preserve">Persona de contacto para el banco (nombre, email, teléfono)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Alta censal y CNAE de la SLU a fecha de solicitud (CIF activo)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Fecha de la escritura de constitución de la SLU y de la aportación del negocio.</w:t>
      </w:r>
    </w:p>
    <w:p>
      <w:pPr>
        <w:pStyle w:val="ListParagraph"/>
        <w:numPr>
          <w:ilvl w:val="0"/>
          <w:numId w:val="3"/>
        </w:numPr>
        <w:spacing w:after="100" w:line="288"/>
      </w:pPr>
      <w:r>
        <w:rPr>
          <w:rFonts w:ascii="Calibri" w:cs="Calibri" w:eastAsia="Calibri" w:hAnsi="Calibri"/>
          <w:i/>
          <w:iCs/>
          <w:color w:val="595959"/>
          <w:sz w:val="20"/>
          <w:szCs w:val="20"/>
        </w:rPr>
        <w:t xml:space="preserve">Balance de apertura de la SLU y previsión de balance 2026–2027.</w:t>
      </w:r>
    </w:p>
    <w:p>
      <w:pPr>
        <w:pStyle w:val="ListParagraph"/>
        <w:numPr>
          <w:ilvl w:val="0"/>
          <w:numId w:val="3"/>
        </w:numPr>
        <w:spacing w:after="100" w:line="288"/>
      </w:pPr>
      <w:r>
        <w:rPr>
          <w:rFonts w:ascii="Calibri" w:cs="Calibri" w:eastAsia="Calibri" w:hAnsi="Calibri"/>
          <w:i/>
          <w:iCs/>
          <w:color w:val="595959"/>
          <w:sz w:val="20"/>
          <w:szCs w:val="20"/>
        </w:rPr>
        <w:t xml:space="preserve">Previsión de tesorería de la sociedad a 12 meses.</w:t>
      </w:r>
    </w:p>
    <w:p>
      <w:pPr>
        <w:pStyle w:val="ListParagraph"/>
        <w:numPr>
          <w:ilvl w:val="0"/>
          <w:numId w:val="3"/>
        </w:numPr>
        <w:spacing w:after="100" w:line="288"/>
      </w:pPr>
      <w:r>
        <w:rPr>
          <w:rFonts w:ascii="Calibri" w:cs="Calibri" w:eastAsia="Calibri" w:hAnsi="Calibri"/>
          <w:i/>
          <w:iCs/>
          <w:color w:val="595959"/>
          <w:sz w:val="20"/>
          <w:szCs w:val="20"/>
        </w:rPr>
        <w:t xml:space="preserve">Situación de estar al corriente con AEAT y Seguridad Social; detalle de cualquier aplazamiento/fraccionamiento vigente.</w:t>
      </w:r>
    </w:p>
    <w:p>
      <w:pPr>
        <w:pStyle w:val="ListParagraph"/>
        <w:numPr>
          <w:ilvl w:val="0"/>
          <w:numId w:val="3"/>
        </w:numPr>
        <w:spacing w:after="100" w:line="288"/>
      </w:pPr>
      <w:r>
        <w:rPr>
          <w:rFonts w:ascii="Calibri" w:cs="Calibri" w:eastAsia="Calibri" w:hAnsi="Calibri"/>
          <w:i/>
          <w:iCs/>
          <w:color w:val="595959"/>
          <w:sz w:val="20"/>
          <w:szCs w:val="20"/>
        </w:rPr>
        <w:t xml:space="preserve">Decisión sobre garantías: aval SGR (Iberaval), pignoración del stock o de la cuenta de crédito, o aval del administrador.</w:t>
      </w:r>
    </w:p>
    <w:p>
      <w:pPr>
        <w:pStyle w:val="ListParagraph"/>
        <w:numPr>
          <w:ilvl w:val="0"/>
          <w:numId w:val="3"/>
        </w:numPr>
        <w:spacing w:after="100" w:line="288"/>
      </w:pPr>
      <w:r>
        <w:rPr>
          <w:rFonts w:ascii="Calibri" w:cs="Calibri" w:eastAsia="Calibri" w:hAnsi="Calibri"/>
          <w:i/>
          <w:iCs/>
          <w:color w:val="595959"/>
          <w:sz w:val="20"/>
          <w:szCs w:val="20"/>
        </w:rPr>
        <w:t xml:space="preserve">Identificación completa del préstamo de 70.000 € (prestamista, tipo, saldo vivo, cuota real, vencimiento, covenants); informe CIRBE.</w:t>
      </w:r>
    </w:p>
    <w:p>
      <w:pPr>
        <w:pStyle w:val="ListParagraph"/>
        <w:numPr>
          <w:ilvl w:val="0"/>
          <w:numId w:val="3"/>
        </w:numPr>
        <w:spacing w:after="100" w:line="288"/>
      </w:pPr>
      <w:r>
        <w:rPr>
          <w:rFonts w:ascii="Calibri" w:cs="Calibri" w:eastAsia="Calibri" w:hAnsi="Calibri"/>
          <w:i/>
          <w:iCs/>
          <w:color w:val="595959"/>
          <w:sz w:val="20"/>
          <w:szCs w:val="20"/>
        </w:rPr>
        <w:t xml:space="preserve">Conciliación del margen bruto por ejercicio (38,4 % / 24,5 % / 55,9 %) con el desglose de coste de ventas de Holded.</w:t>
      </w:r>
    </w:p>
    <w:p>
      <w:pPr>
        <w:pStyle w:val="ListParagraph"/>
        <w:numPr>
          <w:ilvl w:val="0"/>
          <w:numId w:val="3"/>
        </w:numPr>
        <w:spacing w:after="100" w:line="288"/>
      </w:pPr>
      <w:r>
        <w:rPr>
          <w:rFonts w:ascii="Calibri" w:cs="Calibri" w:eastAsia="Calibri" w:hAnsi="Calibri"/>
          <w:i/>
          <w:iCs/>
          <w:color w:val="595959"/>
          <w:sz w:val="20"/>
          <w:szCs w:val="20"/>
        </w:rPr>
        <w:t xml:space="preserve">Margen bruto y resultado del ejercicio 2023 (facturación ya confirmada: 390.000 €); cierre provisional a julio/agosto de 2026; informe de Holded actualizado.</w:t>
      </w:r>
    </w:p>
    <w:p>
      <w:pPr>
        <w:pStyle w:val="ListParagraph"/>
        <w:numPr>
          <w:ilvl w:val="0"/>
          <w:numId w:val="3"/>
        </w:numPr>
        <w:spacing w:after="100" w:line="288"/>
      </w:pPr>
      <w:r>
        <w:rPr>
          <w:rFonts w:ascii="Calibri" w:cs="Calibri" w:eastAsia="Calibri" w:hAnsi="Calibri"/>
          <w:i/>
          <w:iCs/>
          <w:color w:val="595959"/>
          <w:sz w:val="20"/>
          <w:szCs w:val="20"/>
        </w:rPr>
        <w:t xml:space="preserve">Título/certificado del Modelo de Utilidad U202532624; número y estado de la solicitud PCT del sistema SFPA; relación de patentes y premios de SPIRO facilitada por Noxtak.</w:t>
      </w:r>
    </w:p>
    <w:p>
      <w:pPr>
        <w:pStyle w:val="ListParagraph"/>
        <w:numPr>
          <w:ilvl w:val="0"/>
          <w:numId w:val="3"/>
        </w:numPr>
        <w:spacing w:after="100" w:line="288"/>
      </w:pPr>
      <w:r>
        <w:rPr>
          <w:rFonts w:ascii="Calibri" w:cs="Calibri" w:eastAsia="Calibri" w:hAnsi="Calibri"/>
          <w:i/>
          <w:iCs/>
          <w:color w:val="595959"/>
          <w:sz w:val="20"/>
          <w:szCs w:val="20"/>
        </w:rPr>
        <w:t xml:space="preserve">Objetivo financiero plurianual 2026–2028 (o traslado del modelo a 5 años ya existente).</w:t>
      </w:r>
    </w:p>
    <w:p>
      <w:pPr>
        <w:pStyle w:val="ListParagraph"/>
        <w:numPr>
          <w:ilvl w:val="0"/>
          <w:numId w:val="3"/>
        </w:numPr>
        <w:spacing w:after="100" w:line="288"/>
      </w:pPr>
      <w:r>
        <w:rPr>
          <w:rFonts w:ascii="Calibri" w:cs="Calibri" w:eastAsia="Calibri" w:hAnsi="Calibri"/>
          <w:i/>
          <w:iCs/>
          <w:color w:val="595959"/>
          <w:sz w:val="20"/>
          <w:szCs w:val="20"/>
        </w:rPr>
        <w:t xml:space="preserve">Libro: confirmación de fecha de publicación, precio final y coste de edición e ilustración.</w:t>
      </w:r>
    </w:p>
    <w:p>
      <w:pPr>
        <w:pStyle w:val="ListParagraph"/>
        <w:numPr>
          <w:ilvl w:val="0"/>
          <w:numId w:val="3"/>
        </w:numPr>
        <w:spacing w:after="100" w:line="288"/>
      </w:pPr>
      <w:r>
        <w:rPr>
          <w:rFonts w:ascii="Calibri" w:cs="Calibri" w:eastAsia="Calibri" w:hAnsi="Calibri"/>
          <w:i/>
          <w:iCs/>
          <w:color w:val="595959"/>
          <w:sz w:val="20"/>
          <w:szCs w:val="20"/>
        </w:rPr>
        <w:t xml:space="preserve">Facturación del primer semestre de 2025 y de julio/agosto de 2026, para la comparación homogénea semestre contra semestre.</w:t>
      </w:r>
    </w:p>
    <w:p>
      <w:pPr>
        <w:pStyle w:val="ListParagraph"/>
        <w:numPr>
          <w:ilvl w:val="0"/>
          <w:numId w:val="3"/>
        </w:numPr>
        <w:spacing w:after="100" w:line="288"/>
      </w:pPr>
      <w:r>
        <w:rPr>
          <w:rFonts w:ascii="Calibri" w:cs="Calibri" w:eastAsia="Calibri" w:hAnsi="Calibri"/>
          <w:i/>
          <w:iCs/>
          <w:color w:val="595959"/>
          <w:sz w:val="20"/>
          <w:szCs w:val="20"/>
        </w:rPr>
        <w:t xml:space="preserve">Contrato de distribución con Noxtak / SG Labs: vigencia, preaviso, moneda y condiciones de pago; exposición al tipo de cambio EUR/USD en la compra de campaña.</w:t>
      </w:r>
    </w:p>
    <w:p>
      <w:pPr>
        <w:pStyle w:val="ListParagraph"/>
        <w:numPr>
          <w:ilvl w:val="0"/>
          <w:numId w:val="3"/>
        </w:numPr>
        <w:spacing w:after="100" w:line="288"/>
      </w:pPr>
      <w:r>
        <w:rPr>
          <w:rFonts w:ascii="Calibri" w:cs="Calibri" w:eastAsia="Calibri" w:hAnsi="Calibri"/>
          <w:i/>
          <w:iCs/>
          <w:color w:val="595959"/>
          <w:sz w:val="20"/>
          <w:szCs w:val="20"/>
        </w:rPr>
        <w:t xml:space="preserve">Titularidad de las cuentas de redes sociales de la línea Spiro (si son de la marca del fabricante, no computan como activo de la sociedad).</w:t>
      </w:r>
    </w:p>
    <w:p>
      <w:pPr>
        <w:pStyle w:val="ListParagraph"/>
        <w:numPr>
          <w:ilvl w:val="0"/>
          <w:numId w:val="3"/>
        </w:numPr>
        <w:spacing w:after="100" w:line="288"/>
      </w:pPr>
      <w:r>
        <w:rPr>
          <w:rFonts w:ascii="Calibri" w:cs="Calibri" w:eastAsia="Calibri" w:hAnsi="Calibri"/>
          <w:i/>
          <w:iCs/>
          <w:color w:val="595959"/>
          <w:sz w:val="20"/>
          <w:szCs w:val="20"/>
        </w:rPr>
        <w:t xml:space="preserve">Número y fecha de presentación de la solicitud PCT del sistema SFPA, cuando se registre.</w:t>
      </w:r>
    </w:p>
    <w:p>
      <w:pPr>
        <w:pStyle w:val="ListParagraph"/>
        <w:numPr>
          <w:ilvl w:val="0"/>
          <w:numId w:val="3"/>
        </w:numPr>
        <w:spacing w:after="100" w:line="288"/>
      </w:pPr>
      <w:r>
        <w:rPr>
          <w:rFonts w:ascii="Calibri" w:cs="Calibri" w:eastAsia="Calibri" w:hAnsi="Calibri"/>
          <w:i/>
          <w:iCs/>
          <w:color w:val="595959"/>
          <w:sz w:val="20"/>
          <w:szCs w:val="20"/>
        </w:rPr>
        <w:t xml:space="preserve">Coste previsto de asistencia a las ferias de octubre (stand, desplazamiento, material).</w:t>
      </w:r>
    </w:p>
    <w:p>
      <w:pPr>
        <w:pStyle w:val="ListParagraph"/>
        <w:numPr>
          <w:ilvl w:val="0"/>
          <w:numId w:val="3"/>
        </w:numPr>
        <w:spacing w:after="100" w:line="288"/>
      </w:pPr>
      <w:r>
        <w:rPr>
          <w:rFonts w:ascii="Calibri" w:cs="Calibri" w:eastAsia="Calibri" w:hAnsi="Calibri"/>
          <w:i/>
          <w:iCs/>
          <w:color w:val="595959"/>
          <w:sz w:val="20"/>
          <w:szCs w:val="20"/>
        </w:rPr>
        <w:t xml:space="preserve">Número exacto de personas en plantilla y de colaboradores externos habituales.</w:t>
      </w:r>
    </w:p>
    <w:p>
      <w:pPr>
        <w:pStyle w:val="ListParagraph"/>
        <w:numPr>
          <w:ilvl w:val="0"/>
          <w:numId w:val="3"/>
        </w:numPr>
        <w:spacing w:after="100" w:line="288"/>
      </w:pPr>
      <w:r>
        <w:rPr>
          <w:rFonts w:ascii="Calibri" w:cs="Calibri" w:eastAsia="Calibri" w:hAnsi="Calibri"/>
          <w:i/>
          <w:iCs/>
          <w:color w:val="595959"/>
          <w:sz w:val="20"/>
          <w:szCs w:val="20"/>
        </w:rPr>
        <w:t xml:space="preserve">Reseña del fundador: formación académica, trayectoria profesional previa a 2023 y años de experiencia en el sector.</w:t>
      </w:r>
    </w:p>
    <w:p>
      <w:pPr>
        <w:pStyle w:val="ListParagraph"/>
        <w:numPr>
          <w:ilvl w:val="0"/>
          <w:numId w:val="3"/>
        </w:numPr>
        <w:spacing w:after="100" w:line="288"/>
      </w:pPr>
      <w:r>
        <w:rPr>
          <w:rFonts w:ascii="Calibri" w:cs="Calibri" w:eastAsia="Calibri" w:hAnsi="Calibri"/>
          <w:i/>
          <w:iCs/>
          <w:color w:val="595959"/>
          <w:sz w:val="20"/>
          <w:szCs w:val="20"/>
        </w:rPr>
        <w:t xml:space="preserve">Unidades de inventario realmente disponibles y comprometidas a fecha de solicitud, y rotación (vueltas) por referencia de campaña.</w:t>
      </w:r>
    </w:p>
    <w:p>
      <w:pPr>
        <w:pStyle w:val="ListParagraph"/>
        <w:numPr>
          <w:ilvl w:val="0"/>
          <w:numId w:val="3"/>
        </w:numPr>
        <w:spacing w:after="100" w:line="288"/>
      </w:pPr>
      <w:r>
        <w:rPr>
          <w:rFonts w:ascii="Calibri" w:cs="Calibri" w:eastAsia="Calibri" w:hAnsi="Calibri"/>
          <w:i/>
          <w:iCs/>
          <w:color w:val="595959"/>
          <w:sz w:val="20"/>
          <w:szCs w:val="20"/>
        </w:rPr>
        <w:t xml:space="preserve">Volumen real de contratos de renting vivos.</w:t>
      </w:r>
    </w:p>
    <w:p>
      <w:pPr>
        <w:pStyle w:val="ListParagraph"/>
        <w:numPr>
          <w:ilvl w:val="0"/>
          <w:numId w:val="3"/>
        </w:numPr>
        <w:spacing w:after="100" w:line="288"/>
      </w:pPr>
      <w:r>
        <w:rPr>
          <w:rFonts w:ascii="Calibri" w:cs="Calibri" w:eastAsia="Calibri" w:hAnsi="Calibri"/>
          <w:i/>
          <w:iCs/>
          <w:color w:val="595959"/>
          <w:sz w:val="20"/>
          <w:szCs w:val="20"/>
        </w:rPr>
        <w:t xml:space="preserve">Fuente citable si se desea incluir tamaño o crecimiento de mercado.</w:t>
      </w:r>
    </w:p>
    <w:p>
      <w:pPr>
        <w:pStyle w:val="ListParagraph"/>
        <w:numPr>
          <w:ilvl w:val="0"/>
          <w:numId w:val="3"/>
        </w:numPr>
        <w:spacing w:after="100" w:line="288"/>
      </w:pPr>
      <w:r>
        <w:rPr>
          <w:rFonts w:ascii="Calibri" w:cs="Calibri" w:eastAsia="Calibri" w:hAnsi="Calibri"/>
          <w:i/>
          <w:iCs/>
          <w:color w:val="595959"/>
          <w:sz w:val="20"/>
          <w:szCs w:val="20"/>
        </w:rPr>
        <w:t xml:space="preserve">Carta/email de Wolaria/ICECYL acreditando la invitación.</w:t>
      </w:r>
    </w:p>
    <w:p>
      <w:pPr>
        <w:pStyle w:val="ListParagraph"/>
        <w:numPr>
          <w:ilvl w:val="0"/>
          <w:numId w:val="3"/>
        </w:numPr>
        <w:spacing w:after="100" w:line="288"/>
      </w:pPr>
      <w:r>
        <w:rPr>
          <w:rFonts w:ascii="Calibri" w:cs="Calibri" w:eastAsia="Calibri" w:hAnsi="Calibri"/>
          <w:i/>
          <w:iCs/>
          <w:color w:val="595959"/>
          <w:sz w:val="20"/>
          <w:szCs w:val="20"/>
        </w:rPr>
        <w:t xml:space="preserve">Exportaciones de Klaviyo y Shopify con recuentos exactos de contactos y clientes.</w:t>
      </w:r>
    </w:p>
    <w:p>
      <w:pPr>
        <w:pStyle w:val="ListParagraph"/>
        <w:numPr>
          <w:ilvl w:val="0"/>
          <w:numId w:val="3"/>
        </w:numPr>
        <w:spacing w:after="100" w:line="288"/>
      </w:pPr>
      <w:r>
        <w:rPr>
          <w:rFonts w:ascii="Calibri" w:cs="Calibri" w:eastAsia="Calibri" w:hAnsi="Calibri"/>
          <w:i/>
          <w:iCs/>
          <w:color w:val="595959"/>
          <w:sz w:val="20"/>
          <w:szCs w:val="20"/>
        </w:rPr>
        <w:t xml:space="preserve">Periodo exacto (fechas) de los 275.000 € de la campaña anterior y si es venta bruta o neta.</w:t>
      </w:r>
    </w:p>
    <w:p>
      <w:pPr>
        <w:pStyle w:val="ListParagraph"/>
        <w:numPr>
          <w:ilvl w:val="0"/>
          <w:numId w:val="3"/>
        </w:numPr>
        <w:spacing w:after="100" w:line="288"/>
      </w:pPr>
      <w:r>
        <w:rPr>
          <w:rFonts w:ascii="Calibri" w:cs="Calibri" w:eastAsia="Calibri" w:hAnsi="Calibri"/>
          <w:i/>
          <w:iCs/>
          <w:color w:val="595959"/>
          <w:sz w:val="20"/>
          <w:szCs w:val="20"/>
        </w:rPr>
        <w:t xml:space="preserve">Confirmación formal del objetivo de campaña 2026 (350.000 €) y del reparto por grupo de producto (65 % Spiro / 25 % Ekio Light / 10 % accesorios).</w:t>
      </w:r>
    </w:p>
    <w:p>
      <w:pPr>
        <w:pStyle w:val="ListParagraph"/>
        <w:numPr>
          <w:ilvl w:val="0"/>
          <w:numId w:val="3"/>
        </w:numPr>
        <w:spacing w:after="100" w:line="288"/>
      </w:pPr>
      <w:r>
        <w:rPr>
          <w:rFonts w:ascii="Calibri" w:cs="Calibri" w:eastAsia="Calibri" w:hAnsi="Calibri"/>
          <w:i/>
          <w:iCs/>
          <w:color w:val="595959"/>
          <w:sz w:val="20"/>
          <w:szCs w:val="20"/>
        </w:rPr>
        <w:t xml:space="preserve">Coste de mercancía real por grupo de las referencias de campaña (sustituye a Spiro 60 % / Ekio Light 45 % / accesorios 55 %).</w:t>
      </w:r>
    </w:p>
    <w:p>
      <w:pPr>
        <w:pStyle w:val="ListParagraph"/>
        <w:numPr>
          <w:ilvl w:val="0"/>
          <w:numId w:val="3"/>
        </w:numPr>
        <w:spacing w:after="100" w:line="288"/>
      </w:pPr>
      <w:r>
        <w:rPr>
          <w:rFonts w:ascii="Calibri" w:cs="Calibri" w:eastAsia="Calibri" w:hAnsi="Calibri"/>
          <w:i/>
          <w:iCs/>
          <w:color w:val="595959"/>
          <w:sz w:val="20"/>
          <w:szCs w:val="20"/>
        </w:rPr>
        <w:t xml:space="preserve">Presupuesto de marketing y logística de campaña (sustituye al 12 % de ventas).</w:t>
      </w:r>
    </w:p>
    <w:p>
      <w:pPr>
        <w:pStyle w:val="ListParagraph"/>
        <w:numPr>
          <w:ilvl w:val="0"/>
          <w:numId w:val="3"/>
        </w:numPr>
        <w:spacing w:after="100" w:line="288"/>
      </w:pPr>
      <w:r>
        <w:rPr>
          <w:rFonts w:ascii="Calibri" w:cs="Calibri" w:eastAsia="Calibri" w:hAnsi="Calibri"/>
          <w:i/>
          <w:iCs/>
          <w:color w:val="595959"/>
          <w:sz w:val="20"/>
          <w:szCs w:val="20"/>
        </w:rPr>
        <w:t xml:space="preserve">Plazo de pago real a cada proveedor y plazo de cobro real de las pasarelas de pago.</w:t>
      </w:r>
    </w:p>
    <w:p>
      <w:pPr>
        <w:pStyle w:val="ListParagraph"/>
        <w:numPr>
          <w:ilvl w:val="0"/>
          <w:numId w:val="3"/>
        </w:numPr>
        <w:spacing w:after="100" w:line="288"/>
      </w:pPr>
      <w:r>
        <w:rPr>
          <w:rFonts w:ascii="Calibri" w:cs="Calibri" w:eastAsia="Calibri" w:hAnsi="Calibri"/>
          <w:i/>
          <w:iCs/>
          <w:color w:val="595959"/>
          <w:sz w:val="20"/>
          <w:szCs w:val="20"/>
        </w:rPr>
        <w:t xml:space="preserve">Estacionalidad real de la campaña octubre–febrero (sustituye al 15/35/30/15/5).</w:t>
      </w:r>
    </w:p>
    <w:p>
      <w:pPr>
        <w:pStyle w:val="ListParagraph"/>
        <w:numPr>
          <w:ilvl w:val="0"/>
          <w:numId w:val="3"/>
        </w:numPr>
        <w:spacing w:after="100" w:line="288"/>
      </w:pPr>
      <w:r>
        <w:rPr>
          <w:rFonts w:ascii="Calibri" w:cs="Calibri" w:eastAsia="Calibri" w:hAnsi="Calibri"/>
          <w:i/>
          <w:iCs/>
          <w:color w:val="595959"/>
          <w:sz w:val="20"/>
          <w:szCs w:val="20"/>
        </w:rPr>
        <w:t xml:space="preserve">Nombre del fabricante / ensamblador de los paneles Ekio Light y grado real de integración (diseño propio, ensamblaje, fabricación subcontratada).</w:t>
      </w:r>
    </w:p>
    <w:p>
      <w:pPr>
        <w:pStyle w:val="ListParagraph"/>
        <w:numPr>
          <w:ilvl w:val="0"/>
          <w:numId w:val="3"/>
        </w:numPr>
        <w:spacing w:after="100" w:line="288"/>
      </w:pPr>
      <w:r>
        <w:rPr>
          <w:rFonts w:ascii="Calibri" w:cs="Calibri" w:eastAsia="Calibri" w:hAnsi="Calibri"/>
          <w:i/>
          <w:iCs/>
          <w:color w:val="595959"/>
          <w:sz w:val="20"/>
          <w:szCs w:val="20"/>
        </w:rPr>
        <w:t xml:space="preserve">Presupuestos o pedidos pro-forma de ambos proveedores que soporten los ~170.775 € de compra de campaña.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EKIO BIOTECH, S.L.U. · Plan de empresa — cuenta de crédito · </w:t>
    </w:r>
    <w:r>
      <w:rPr>
        <w:rFonts w:ascii="Calibri" w:cs="Calibri" w:eastAsia="Calibri" w:hAnsi="Calibri"/>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2026-08-30T16:49:15.499Z</dcterms:created>
  <dcterms:modified xsi:type="dcterms:W3CDTF">2026-08-30T16:49:15.499Z</dcterms:modified>
</cp:coreProperties>
</file>

<file path=docProps/custom.xml><?xml version="1.0" encoding="utf-8"?>
<Properties xmlns="http://schemas.openxmlformats.org/officeDocument/2006/custom-properties" xmlns:vt="http://schemas.openxmlformats.org/officeDocument/2006/docPropsVTypes"/>
</file>