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5="http://schemas.openxmlformats.org/drawingml/2006/main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51F9F68" w14:textId="77777777" w:rsidR="00882782" w:rsidRPr="00D101DD" w:rsidRDefault="00D101DD" w:rsidP="00882782">
      <w:pPr>
        <w:pStyle w:val="Ttulo1"/>
        <w:numPr>
          <w:ilvl w:val="0"/>
          <w:numId w:val="0"/>
        </w:numPr>
        <w:ind w:hanging="432"/>
        <w:jc w:val="center"/>
        <w:rPr>
          <w:rFonts w:ascii="Arial" w:hAnsi="Arial" w:cs="Arial"/>
          <w:b/>
          <w:color w:val="FFFFFF" w:themeColor="background1"/>
          <w:sz w:val="28"/>
          <w:szCs w:val="28"/>
        </w:rPr>
      </w:pPr>
      <w:r w:rsidRPr="00D101DD">
        <w:rPr>
          <w:rFonts w:ascii="Arial" w:hAnsi="Arial" w:cs="Arial"/>
          <w:b/>
          <w:noProof/>
          <w:color w:val="FFFFFF" w:themeColor="background1"/>
          <w:sz w:val="28"/>
          <w:szCs w:val="28"/>
          <w:lang w:eastAsia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A13711" wp14:editId="32CA5AF2">
                <wp:simplePos x="0" y="0"/>
                <wp:positionH relativeFrom="column">
                  <wp:posOffset>101551</wp:posOffset>
                </wp:positionH>
                <wp:positionV relativeFrom="paragraph">
                  <wp:posOffset>-41666</wp:posOffset>
                </wp:positionV>
                <wp:extent cx="5261317" cy="759656"/>
                <wp:effectExtent l="0" t="0" r="15875" b="21590"/>
                <wp:wrapNone/>
                <wp:docPr id="1" name="Rectángulo redondeado 1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5261317" cy="759656"/>
                        </ns5:xfrm>
                        <ns5:prstGeom prst="roundRect">
                          <ns5:avLst/>
                        </ns5:prstGeom>
                        <ns5:effectLst>
                          <ns5:innerShdw blurRad="63500" dist="50800" dir="2700000">
                            <ns5:prstClr val="black">
                              <ns5:alpha val="50000"/>
                            </ns5:prstClr>
                          </ns5:innerShdw>
                        </ns5:effectLst>
                      </wps:spPr>
                      <wps:style>
                        <ns5:lnRef idx="1">
                          <ns5:schemeClr val="dk1"/>
                        </ns5:lnRef>
                        <ns5:fillRef idx="2">
                          <ns5:schemeClr val="dk1"/>
                        </ns5:fillRef>
                        <ns5:effectRef idx="1">
                          <ns5:schemeClr val="dk1"/>
                        </ns5:effectRef>
                        <ns5:fontRef idx="minor">
                          <ns5:schemeClr val="dk1"/>
                        </ns5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</wp:anchor>
            </w:drawing>
          </mc:Choice>
          <mc:Fallback>
            <w:pict>
              <v:roundrect w14:anchorId="60671825" id="Rectángulo redondeado 1" o:spid="_x0000_s1026" style="position:absolute;margin-left:8pt;margin-top:-3.3pt;width:414.3pt;height:59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3F617A" w:rsidRPr="00D101DD">
        <w:rPr>
          <w:rFonts w:ascii="Arial" w:hAnsi="Arial" w:cs="Arial"/>
          <w:b/>
          <w:color w:val="FFFFFF" w:themeColor="background1"/>
          <w:sz w:val="28"/>
          <w:szCs w:val="28"/>
        </w:rPr>
        <w:t xml:space="preserve">PLAN </w:t>
      </w:r>
      <w:r w:rsidR="0035136A" w:rsidRPr="00D101DD">
        <w:rPr>
          <w:rFonts w:ascii="Arial" w:hAnsi="Arial" w:cs="Arial"/>
          <w:b/>
          <w:color w:val="FFFFFF" w:themeColor="background1"/>
          <w:sz w:val="28"/>
          <w:szCs w:val="28"/>
        </w:rPr>
        <w:t xml:space="preserve">DE </w:t>
      </w:r>
      <w:r w:rsidR="003F617A" w:rsidRPr="00D101DD">
        <w:rPr>
          <w:rFonts w:ascii="Arial" w:hAnsi="Arial" w:cs="Arial"/>
          <w:b/>
          <w:color w:val="FFFFFF" w:themeColor="background1"/>
          <w:sz w:val="28"/>
          <w:szCs w:val="28"/>
        </w:rPr>
        <w:t>NEGOCIO</w:t>
      </w:r>
      <w:r w:rsidR="00882782" w:rsidRPr="00D101DD">
        <w:rPr>
          <w:rFonts w:ascii="Arial" w:hAnsi="Arial" w:cs="Arial"/>
          <w:b/>
          <w:color w:val="FFFFFF" w:themeColor="background1"/>
          <w:sz w:val="28"/>
          <w:szCs w:val="28"/>
        </w:rPr>
        <w:t xml:space="preserve"> DE </w:t>
      </w:r>
      <w:r w:rsidR="00742CF5" w:rsidRPr="00D101DD">
        <w:rPr>
          <w:rFonts w:ascii="Arial" w:hAnsi="Arial" w:cs="Arial"/>
          <w:b/>
          <w:color w:val="FFFFFF" w:themeColor="background1"/>
          <w:sz w:val="28"/>
          <w:szCs w:val="28"/>
        </w:rPr>
        <w:t>PROYECTOS INNOVADORES</w:t>
      </w:r>
      <w:r w:rsidRPr="00D101DD">
        <w:rPr>
          <w:rFonts w:ascii="Arial" w:hAnsi="Arial" w:cs="Arial"/>
          <w:b/>
          <w:color w:val="FFFFFF" w:themeColor="background1"/>
          <w:sz w:val="28"/>
          <w:szCs w:val="28"/>
        </w:rPr>
        <w:t xml:space="preserve">                                   </w:t>
      </w:r>
      <w:r w:rsidR="00742CF5" w:rsidRPr="00D101DD">
        <w:rPr>
          <w:rFonts w:ascii="Arial" w:hAnsi="Arial" w:cs="Arial"/>
          <w:b/>
          <w:color w:val="FFFFFF" w:themeColor="background1"/>
          <w:sz w:val="28"/>
          <w:szCs w:val="28"/>
        </w:rPr>
        <w:t xml:space="preserve"> DE ALTO POTENCIAL DE CRECIMIENTO</w:t>
      </w:r>
    </w:p>
    <w:p w14:paraId="19333698" w14:textId="77777777" w:rsidR="00882782" w:rsidRPr="00D101DD" w:rsidRDefault="00882782" w:rsidP="00882782">
      <w:pPr>
        <w:rPr>
          <w:rFonts w:ascii="Arial" w:hAnsi="Arial" w:cs="Arial"/>
          <w:color w:val="FFFFFF" w:themeColor="background1"/>
          <w:sz w:val="28"/>
          <w:szCs w:val="28"/>
        </w:rPr>
      </w:pPr>
    </w:p>
    <w:p w14:paraId="5CC22894" w14:textId="77777777" w:rsidR="00D101DD" w:rsidRPr="00D101DD" w:rsidRDefault="00D101DD" w:rsidP="008827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F9B9AEC" w14:textId="77777777" w:rsidR="00B67EC3" w:rsidRPr="00D101DD" w:rsidRDefault="00D101DD" w:rsidP="00D101DD">
      <w:pPr>
        <w:pStyle w:val="Ttulo1"/>
        <w:pBdr>
          <w:bottom w:val="single" w:sz="4" w:space="1" w:color="385623" w:themeColor="accent6" w:themeShade="80"/>
        </w:pBdr>
        <w:ind w:left="0"/>
        <w:rPr>
          <w:rFonts w:ascii="Arial" w:hAnsi="Arial" w:cs="Arial"/>
          <w:b/>
          <w:color w:val="538135" w:themeColor="accent6" w:themeShade="BF"/>
          <w:sz w:val="22"/>
          <w:szCs w:val="22"/>
        </w:rPr>
      </w:pPr>
      <w:r w:rsidRPr="00D101DD">
        <w:rPr>
          <w:rFonts w:ascii="Arial" w:hAnsi="Arial" w:cs="Arial"/>
          <w:b/>
          <w:color w:val="538135" w:themeColor="accent6" w:themeShade="BF"/>
          <w:sz w:val="22"/>
          <w:szCs w:val="22"/>
        </w:rPr>
        <w:t>MODELO DE NEGOCIO: MADUREZ DEL PROYECTO</w:t>
      </w:r>
    </w:p>
    <w:p w14:paraId="2F930B74" w14:textId="77777777" w:rsidR="00A11504" w:rsidRPr="00D101DD" w:rsidRDefault="00A11504" w:rsidP="00A11504">
      <w:pPr>
        <w:rPr>
          <w:rFonts w:ascii="Arial" w:hAnsi="Arial" w:cs="Arial"/>
          <w:color w:val="008000"/>
        </w:rPr>
      </w:pPr>
    </w:p>
    <w:p w14:paraId="372B3210" w14:textId="77777777" w:rsidR="00B67EC3" w:rsidRPr="00D101DD" w:rsidRDefault="00D44C4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D</w:t>
      </w:r>
      <w:r w:rsidR="00B67EC3" w:rsidRPr="00D101DD">
        <w:rPr>
          <w:rFonts w:ascii="Arial" w:hAnsi="Arial" w:cs="Arial"/>
          <w:color w:val="000000" w:themeColor="text1"/>
          <w:sz w:val="22"/>
          <w:szCs w:val="22"/>
        </w:rPr>
        <w:t xml:space="preserve">escripción de la actividad de </w:t>
      </w:r>
      <w:r w:rsidRPr="00D101DD">
        <w:rPr>
          <w:rFonts w:ascii="Arial" w:hAnsi="Arial" w:cs="Arial"/>
          <w:color w:val="000000" w:themeColor="text1"/>
          <w:sz w:val="22"/>
          <w:szCs w:val="22"/>
        </w:rPr>
        <w:t xml:space="preserve">la </w:t>
      </w:r>
      <w:r w:rsidR="00B67EC3" w:rsidRPr="00D101DD">
        <w:rPr>
          <w:rFonts w:ascii="Arial" w:hAnsi="Arial" w:cs="Arial"/>
          <w:color w:val="000000" w:themeColor="text1"/>
          <w:sz w:val="22"/>
          <w:szCs w:val="22"/>
        </w:rPr>
        <w:t>sociedad y antecedentes</w:t>
      </w:r>
      <w:r w:rsidRPr="00D101DD">
        <w:rPr>
          <w:rFonts w:ascii="Arial" w:hAnsi="Arial" w:cs="Arial"/>
          <w:color w:val="000000" w:themeColor="text1"/>
          <w:sz w:val="22"/>
          <w:szCs w:val="22"/>
        </w:rPr>
        <w:t xml:space="preserve"> del proyecto</w:t>
      </w:r>
      <w:r w:rsidR="00A11504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Ekio Bio Tech, S.L. es la sociedad mercantil promotora de Ekio Light System, una línea tecnológica de iluminación terapéutica y fotobiomodulación dirigida a mejorar la calidad del entorno lumínico interior y a prevenir los efectos del entorno moderno sobre el bienestar y los ritmos biológicos del usuario.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proyecto nace en el seno del ecosistema Ekio Electrosmog España, marca consolidada desde 2023 en el ámbito de la salud ambiental, la higiene electromagnética y la divulgación científica de calidad. Ekio Electrosmog ha generado, desde su lanzamiento, aproximadamente 1.700.000 € en ventas acumuladas en canal ecommerce directo, ha construido una base de datos propia de 13.000 contactos por email y 3.400 contactos por WhatsApp, y ha consolidado una comunidad activa que sigue regularmente sus contenidos educativos y técnicos.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Su fundador y promotor, Francisco Javier Andrés Andrés, es naturópata y consultor especializado en contaminación electromagnética y salud ambiental, con más de 14 años de trayectoria midiendo entornos domésticos, profesionales y clínicos en España. Esta experiencia técnica de campo, sumada a la validación comercial obtenida por Ekio Electrosmog, es la base sobre la que se construye Ekio Light System como evolución natural del proyecto hacia una unidad de negocio tecnológica, escalable e internacionalizable.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Ekio Light System parte de un principio: el entorno moderno ha degradado dos de las señales biológicas fundamentales del ser humano —la luz y el campo electromagnético—. La compañía aborda esta degradación mediante el diseño de hardware lumínico propio (paneles y bombillas), una plataforma digital de acompañamiento al usuario (Ekio Coach, https://ekio-coach.vercel.app/), una comunidad de usuarios y una capa de formación y consultoría. La propuesta se posiciona como ‘tecnología que cuida el entorno’, diferenciándose de la oferta convencional centrada únicamente en potencia o precio.</w:t>
      </w:r>
    </w:p>
    <w:p w14:paraId="36DAF1F6" w14:textId="77777777" w:rsidR="00134B93" w:rsidRPr="00D101DD" w:rsidRDefault="00FA707F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Caracterización de la solución innovadora al problema y/o necesidad detectada</w:t>
      </w:r>
      <w:r w:rsidR="00D44C44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Problema detectado. </w:t>
      </w:r>
      <w:r>
        <w:rPr>
          <w:rFonts w:ascii="Arial" w:hAnsi="Arial" w:cs="Arial"/>
          <w:color w:val="000000"/>
          <w:sz w:val="22"/>
          <w:szCs w:val="22"/>
        </w:rPr>
        <w:t xml:space="preserve">Las personas pasan más del 85% del tiempo en entornos interiores iluminados con tecnologías diseñadas exclusivamente con criterios de eficiencia energética y coste. Esta iluminación es deficitaria desde el punto de vista del confort visual y del entorno lumínico saludable: espectros incompletos, flicker (parpadeo invisible) en niveles altos, dominancia de azul en horarios inadecuados, emisión electromagnética conducida y radiada, ausencia de longitudes de onda asociadas a bienestar y recuperación, y desconexión de los ritmos naturales de luz.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Solución Ekio Light System. </w:t>
      </w:r>
      <w:r>
        <w:rPr>
          <w:rFonts w:ascii="Arial" w:hAnsi="Arial" w:cs="Arial"/>
          <w:color w:val="000000"/>
          <w:sz w:val="22"/>
          <w:szCs w:val="22"/>
        </w:rPr>
        <w:t xml:space="preserve">Una familia de dispositivos de iluminación y fotobiomodulación diseñados específicamente para combinar tres principios poco habituales en el mercado: (1) calidad de señal lumínica —espectros optimizados, longitudes de onda específicas para uso terapéutico y de bienestar—, (2) baja toxicidad eléctrica —drivers de calidad, fuente aislada, blindaje metálico, filtros EMI/RFI, flicker reducido a niveles imperceptibles— y (3) integración con un ecosistema digital de uso —app Ekio Coach— que permite al usuario seguir protocolos personalizados y recibir recomendaciones según objetivo (sueño, recuperación, confort visual, rutinas circadianas).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solución se enmarca dentro de un planteamiento prudente y técnico: no se promete tratamiento médico, sino la creación de un entorno lumínico saludable basado en la mejor evidencia disponible en fotobiomodulación, salud ambiental interior y cronobiología aplicada al confort y al bienestar del usuario.</w:t>
      </w:r>
    </w:p>
    <w:p w14:paraId="5F7655B4" w14:textId="77777777" w:rsidR="0043289B" w:rsidRPr="00D101DD" w:rsidRDefault="00D44C4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Hitos alcanzados</w:t>
      </w:r>
      <w:r w:rsidR="0043289B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Constitución de Ekio Electrosmog España (2023) y validación comercial del modelo ecommerce especializado en salud ambiental.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Acumulación de aproximadamente 1.700.000 € en ventas desde 2023, demostrando la existencia de demanda solvente y disposición a pagar por soluciones técnicas en este nicho.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Construcción de una base de datos propia de 13.000 contactos email y 3.400 contactos WhatsApp, con capacidad de comunicación directa al mercado y reducción del coste de adquisición.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Diseño, fabricación y lanzamiento comercial de la línea Ekio Light: BioSpectrum 10™, BioRegen 7™, Deep 5™, IGNIS™, bombillas RedSphere™ y bombillas Amber 1800™.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Inversión inicial acreditada de 77.000 € en stock, prototipos, diseño industrial, viajes a planta, certificaciones y asesoría especializada en propiedad industrial.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Solicitud de Modelo de Utilidad ante la OEPM con número U202532624, presentada el 24 de diciembre de 2025, admitida a trámite. Trabajo en curso para la extensión PCT, que integra hardware y software, en colaboración con Air Institute.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Desarrollo y publicación en preproducción de la aplicación propia Ekio Coach (https://ekio-coach.vercel.app/), pieza clave de la futura plataforma de uso, datos y protocolos personalizados.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Facturación 2025: 78.000 € en línea Ekio Light. Previsión 2026: 450.000 €. Objetivo 2028: 3.000.000 €.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Participación en el programa Wolaria de ICECYL como vehículo de aceleración estratégica y validación pública del proyecto.</w:t>
      </w:r>
    </w:p>
    <w:p w14:paraId="20B96861" w14:textId="77777777" w:rsidR="00D44C44" w:rsidRPr="00D101DD" w:rsidRDefault="00A1150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Escalabilidad del modelo de negocio</w:t>
      </w:r>
      <w:r w:rsidR="009076C3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Ekio Light System es escalable por construcción. Los principales vectores de escalabilidad son: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Canal ecommerce directo (Shopify) con coste marginal de servicio decreciente y capacidad de operar 24/7 sin proporcionalidad lineal con el equipo.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Fabricación por lotes con socios industriales especializados, lo que permite crecer en volumen sin asumir CAPEX productivo desproporcionado en las primeras fases.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Marca propia con margen bruto medio del 53%, sustancialmente superior al margen típico de distribución, que permite reinvertir en marketing, I+D y equipo.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Base de datos propia (13.000 emails + 3.400 WhatsApp) que actúa como activo de adquisición de bajo coste, mejorando el LTV/CAC frente a competidores que dependen exclusivamente de tráfico pagado.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Capa de software (Ekio Coach) con coste marginal cercano a cero, que permite generar ingresos recurrentes vía membresía y aumentar el valor percibido del hardware.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Canal B2B —clínicas, fisioterapia, centros wellness, hoteles, oficinas saludables, profesionales de salud integrativa— con tickets medios significativamente superiores y ciclos de recompra recurrentes.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Internacionalización digital: el modelo ecommerce, complementado con localización idiomática y logística europea/transatlántica, es replicable en mercados de habla hispana, Francia, Italia, Alemania y Estados Unidos hispano.</w:t>
      </w:r>
    </w:p>
    <w:p w14:paraId="2D12D257" w14:textId="77777777" w:rsidR="0043289B" w:rsidRPr="00D101DD" w:rsidRDefault="009076C3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Posibilidad de internacionalización</w:t>
      </w:r>
      <w:r w:rsidR="009C6B60" w:rsidRPr="00D101DD">
        <w:rPr>
          <w:rFonts w:ascii="Arial" w:hAnsi="Arial" w:cs="Arial"/>
          <w:color w:val="000000" w:themeColor="text1"/>
          <w:sz w:val="22"/>
          <w:szCs w:val="22"/>
        </w:rPr>
        <w:t xml:space="preserve"> del proyecto</w:t>
      </w:r>
      <w:r w:rsidR="0043289B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internacionalización de Ekio Light System se plantea por fases, priorizando mercados con afinidad cultural, marco regulatorio compatible y demanda probada en la categoría de wellness y biohacking.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Fase 1 (España + Portugal): consolidación del mercado doméstico y entrada en Portugal vía ecommerce y red de profesionales.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Fase 2 (UE Sur y Centroeuropa): apertura comercial en Francia, Italia y Alemania, con tiendas localizadas, distribución especializada y partners profesionales (fisioterapia, clínicas integrativas, biohacking).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Fase 3 (LATAM premium y EE.UU. hispano): expansión hacia México, Colombia, Chile y mercado hispano de EE.UU., apoyándose en formación digital, comunidad y afiliados profesionales.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producto físico permite logística internacional eficiente —volumen moderado, valor por kg elevado— y el modelo digital (Ekio Coach, comunidad, formación) permite cubrir mercados internacionales sin equipo local en fases tempranas. La protección por modelo de utilidad y la extensión PCT en curso refuerzan la viabilidad de licencias y acuerdos internacionales en fases más avanzadas.</w:t>
      </w:r>
    </w:p>
    <w:p w14:paraId="3F845D0E" w14:textId="77777777" w:rsidR="00D101DD" w:rsidRPr="00D101DD" w:rsidRDefault="00D101DD" w:rsidP="00FF2B83">
      <w:pPr>
        <w:rPr>
          <w:rFonts w:ascii="Arial" w:hAnsi="Arial" w:cs="Arial"/>
          <w:color w:val="008000"/>
        </w:rPr>
      </w:pPr>
    </w:p>
    <w:p w14:paraId="53F2BDDF" w14:textId="77777777" w:rsidR="008E04D2" w:rsidRPr="00D101DD" w:rsidRDefault="00D101DD" w:rsidP="00D101DD">
      <w:pPr>
        <w:pStyle w:val="Ttulo1"/>
        <w:pBdr>
          <w:bottom w:val="single" w:sz="4" w:space="1" w:color="385623" w:themeColor="accent6" w:themeShade="80"/>
        </w:pBdr>
        <w:ind w:left="0"/>
        <w:rPr>
          <w:rFonts w:ascii="Arial" w:hAnsi="Arial" w:cs="Arial"/>
          <w:b/>
          <w:color w:val="538135" w:themeColor="accent6" w:themeShade="BF"/>
          <w:sz w:val="22"/>
          <w:szCs w:val="22"/>
        </w:rPr>
      </w:pPr>
      <w:r w:rsidRPr="00D101DD">
        <w:rPr>
          <w:rFonts w:ascii="Arial" w:hAnsi="Arial" w:cs="Arial"/>
          <w:b/>
          <w:color w:val="538135" w:themeColor="accent6" w:themeShade="BF"/>
          <w:sz w:val="22"/>
          <w:szCs w:val="22"/>
        </w:rPr>
        <w:t>ANÁLISIS DE MERCADO</w:t>
      </w:r>
    </w:p>
    <w:p w14:paraId="226B0169" w14:textId="77777777" w:rsidR="00A11504" w:rsidRPr="00D101DD" w:rsidRDefault="00A11504" w:rsidP="00A11504">
      <w:pPr>
        <w:rPr>
          <w:rFonts w:ascii="Arial" w:hAnsi="Arial" w:cs="Arial"/>
          <w:color w:val="008000"/>
        </w:rPr>
      </w:pPr>
    </w:p>
    <w:p w14:paraId="7E21D41C" w14:textId="77777777" w:rsidR="009C6B60" w:rsidRPr="00D101DD" w:rsidRDefault="00A1150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Tamaño de la oportunidad</w:t>
      </w:r>
      <w:r w:rsidR="00373D13">
        <w:rPr>
          <w:rFonts w:ascii="Arial" w:hAnsi="Arial" w:cs="Arial"/>
          <w:color w:val="000000" w:themeColor="text1"/>
          <w:sz w:val="22"/>
          <w:szCs w:val="22"/>
        </w:rPr>
        <w:t xml:space="preserve"> y mercado de referencia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Ekio Light System opera en la intersección de cinco mercados en crecimiento sostenido, todos ellos con dinámicas favorables para una marca tecnológica con propuesta diferenciada: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Wellness global y salud preventiva: mercado consolidado, con crecimiento sostenido por encima del PIB y desplazamiento del gasto sanitario hacia prevención y autocuidado [DATO A CONFIRMAR — referencia recomendada: Global Wellness Institute Annual Report y McKinsey Health Institute].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Fotobiomodulación / red light therapy: segmento emergente con crecimiento de dos dígitos en mercados anglosajones, todavía poco maduro en Europa continental y especialmente en España, lo que ofrece ventana de entrada para construir marca [DATO A CONFIRMAR — referencia recomendada: informes de Grand View Research / MarketsandMarkets sobre ‘Light Therapy Market’ y ‘Photobiomodulation Devices’].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Biohacking y optimización del rendimiento personal: comunidad creciente, alto poder adquisitivo, alta disposición a pagar por hardware con respaldo técnico.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Iluminación circadiana y human-centric lighting: empieza a integrarse en oficinas saludables, hoteles premium y arquitectura wellness.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Salud ambiental interior (indoor environmental quality): segmento en expansión por concienciación sobre calidad del aire, luz y electromagnetismo en espacios habitados.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conjunción de estas cinco capas genera una oportunidad transversal: un usuario informado, con poder adquisitivo medio-alto, que busca soluciones integrales para su entorno y no responde a la oferta convencional de iluminación. Las cifras concretas de tamaño de mercado para España y la UE deberán validarse con fuentes secundarias actualizadas [DATO A CONFIRMAR].</w:t>
      </w:r>
    </w:p>
    <w:p w14:paraId="2B91F5EE" w14:textId="77777777" w:rsidR="008E04D2" w:rsidRPr="00D101DD" w:rsidRDefault="009C6B60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P</w:t>
      </w:r>
      <w:r w:rsidR="006D15DE" w:rsidRPr="00D101DD">
        <w:rPr>
          <w:rFonts w:ascii="Arial" w:hAnsi="Arial" w:cs="Arial"/>
          <w:color w:val="000000" w:themeColor="text1"/>
          <w:sz w:val="22"/>
          <w:szCs w:val="22"/>
        </w:rPr>
        <w:t>osicionamiento en la cadena de valor</w:t>
      </w:r>
      <w:r w:rsidR="00882782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Ekio Light System se posiciona como brand-owner tecnológico, controlando los eslabones de mayor valor añadido de la cadena: visión de producto, diseño industrial y eléctrico, especificación técnica, propiedad industrial (modelo de utilidad y PCT en curso), marca, contenido, comunidad, datos de uso (a través de Ekio Coach) y relación directa con el cliente final. La fabricación se externaliza con socios industriales especializados en LED de alta calidad, lo que permite combinar agilidad, control de calidad y CAPEX contenido en las fases iniciales.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Este posicionamiento es estratégicamente relevante porque protege los activos intangibles —marca, comunidad, datos, propiedad industrial, contenidos— frente a la potencial commoditización del hardware, y permite a la compañía evolucionar progresivamente desde ‘fabricante de paneles’ hacia ‘plataforma de salud ambiental y luz’ con capacidad de licenciar tecnología, vender software y monetizar datos de uso de forma no clínica.</w:t>
      </w:r>
    </w:p>
    <w:p w14:paraId="72042A0E" w14:textId="77777777" w:rsidR="008E04D2" w:rsidRPr="00D101DD" w:rsidRDefault="00A1150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Em</w:t>
      </w:r>
      <w:r w:rsidR="008E04D2" w:rsidRPr="00D101DD">
        <w:rPr>
          <w:rFonts w:ascii="Arial" w:hAnsi="Arial" w:cs="Arial"/>
          <w:color w:val="000000" w:themeColor="text1"/>
          <w:sz w:val="22"/>
          <w:szCs w:val="22"/>
        </w:rPr>
        <w:t>pre</w:t>
      </w:r>
      <w:r w:rsidR="00970F18" w:rsidRPr="00D101DD">
        <w:rPr>
          <w:rFonts w:ascii="Arial" w:hAnsi="Arial" w:cs="Arial"/>
          <w:color w:val="000000" w:themeColor="text1"/>
          <w:sz w:val="22"/>
          <w:szCs w:val="22"/>
        </w:rPr>
        <w:t>s</w:t>
      </w:r>
      <w:r w:rsidR="008E04D2" w:rsidRPr="00D101DD">
        <w:rPr>
          <w:rFonts w:ascii="Arial" w:hAnsi="Arial" w:cs="Arial"/>
          <w:color w:val="000000" w:themeColor="text1"/>
          <w:sz w:val="22"/>
          <w:szCs w:val="22"/>
        </w:rPr>
        <w:t xml:space="preserve">as competidoras </w:t>
      </w:r>
      <w:r w:rsidR="003F617A" w:rsidRPr="00D101DD">
        <w:rPr>
          <w:rFonts w:ascii="Arial" w:hAnsi="Arial" w:cs="Arial"/>
          <w:color w:val="000000" w:themeColor="text1"/>
          <w:sz w:val="22"/>
          <w:szCs w:val="22"/>
        </w:rPr>
        <w:t>más</w:t>
      </w:r>
      <w:r w:rsidR="008E04D2" w:rsidRPr="00D101DD">
        <w:rPr>
          <w:rFonts w:ascii="Arial" w:hAnsi="Arial" w:cs="Arial"/>
          <w:color w:val="000000" w:themeColor="text1"/>
          <w:sz w:val="22"/>
          <w:szCs w:val="22"/>
        </w:rPr>
        <w:t xml:space="preserve"> importantes</w:t>
      </w:r>
      <w:r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espacio competitivo de Ekio Light System se segmenta en cinco categorías, ordenadas por amenaza estratégica: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Marcas internacionales especializadas en paneles de luz roja / fotobiomodulación de gama media-alta, con presencia consolidada principalmente en EE.UU. y Norte de Europa [DATO A CONFIRMAR: listado nominal de competidores directos a citar en el plan].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Fabricantes y distribuidores chinos sin marca o con marca débil, que compiten por precio en marketplaces (Amazon, AliExpress) pero no por calidad técnica, propiedad industrial ni servicio.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Distribuidores europeos que importan paneles asiáticos y los revenden con marca propia, sin desarrollo técnico ni propiedad industrial.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Marcas de wellness y biohacking con catálogo amplio (saunas, cold plunge, suplementación, dispositivos) que incluyen paneles de luz roja como producto accesorio.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Soluciones de iluminación circadiana y human-centric lighting orientadas a arquitectura y diseño de interior, con foco en proyecto profesional más que en consumo final.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principal conclusión competitiva es que ningún competidor combina hoy (1) hardware lumínico propio, (2) baja toxicidad electromagnética verificada, (3) plataforma de software propia, (4) comunidad y autoridad divulgativa especializadas en electrosmog y salud ambiental, y (5) modelo de utilidad nacional con extensión PCT en curso. Esta combinación define el espacio defendible de Ekio Light System.</w:t>
      </w:r>
    </w:p>
    <w:p w14:paraId="1AA5423D" w14:textId="77777777" w:rsidR="00A11504" w:rsidRPr="00D101DD" w:rsidRDefault="00A1150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Diferenciación frente a la competencia.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diferenciación de Ekio Light System es sistémica y se sostiene sobre nueve pilares: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Integración salud ambiental + luz: ningún competidor relevante diseña sus paneles bajo criterios simultáneos de calidad lumínica y baja contaminación electromagnética conducida y radiada.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Experiencia técnica de campo: el equipo acumula más de 14 años midiendo entornos reales, lo que se traduce en decisiones de diseño orientadas al usuario final y no a la ficha técnica.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Comunidad y autoridad: base de datos propia de 13.000 emails y 3.400 contactos WhatsApp, audiencia educada en electrosmog y salud ambiental, capacidad de comunicación directa sin depender de plataformas.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Ecommerce validado: 1.700.000 € en ventas acumuladas demuestran que el modelo de adquisición online en este nicho funciona y es escalable.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Marca propia con identidad clara: ‘tecnología que te cuida’, frente al discurso genérico de potencia y precio.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Propiedad industrial: modelo de utilidad U202532624 admitido a trámite y trabajo en curso para la extensión PCT (hardware + software) con Air Institute.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Especificaciones técnicas diferenciales: combinación de longitudes de onda específicas (incluyendo configuraciones con 480, 630, 660, 727, 810, 850 y 940 nm), siendo 727 nm un elemento diferencial en algunos modelos, además de drivers de calidad, fuente aislada, blindaje metálico, filtros EMI/RFI y flicker reducido.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Ecosistema digital: la app propia Ekio Coach convierte el panel en un sistema con protocolos personalizados, seguimiento de uso y comunidad, elevando el valor percibido y la retención.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Capacidad de combinar producto, educación, protocolos, consultoría y acompañamiento, configurando una experiencia que ningún player del mercado replica hoy de forma integrada.</w:t>
      </w:r>
    </w:p>
    <w:p w14:paraId="5B598D4F" w14:textId="77777777" w:rsidR="006D15DE" w:rsidRPr="00D101DD" w:rsidRDefault="006D15DE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Comercialización y distribución.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modelo de comercialización es omnicanal con eje en canal digital propio: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Canal directo B2C: tienda online en Shopify (https://electrosmogespana.com/), con experiencia de checkout optimizada, página de producto extensa y prueba social.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Adquisición pagada: Meta Ads (Facebook e Instagram) y Google Ads (Performance Max, Shopping y Search), con foco en ROAS y atribución multitoque.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CRM y automatización: Klaviyo (email + SMS) y ManyChat (Instagram DM y WhatsApp), con flujos automatizados de bienvenida, carrito abandonado, post-compra, educación y reactivación. Implementación operada por el especialista del equipo (Erick).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Contenido orgánico: Instagram, YouTube, blog y newsletter, con enfoque divulgativo y científicamente prudente.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Afiliados y embajadores: profesionales de la salud integrativa, fisioterapeutas, biohackers y formadores que recomiendan los productos a su comunidad.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Canal B2B: venta consultiva a clínicas, centros de fisioterapia, centros wellness, hoteles, oficinas saludables y profesionales de salud, con tickets medios significativamente superiores y ciclos de recompra recurrentes.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Eventos y ferias: presencia selectiva en eventos profesionales (salud integrativa, biohacking, arquitectura wellness) como herramienta de generación de leads B2B y posicionamiento de autoridad.</w:t>
      </w:r>
    </w:p>
    <w:p w14:paraId="279C398E" w14:textId="77777777" w:rsidR="009076C3" w:rsidRPr="00D101DD" w:rsidRDefault="009076C3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Monetización del negocio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Ekio Light System combina siete fuentes de ingresos complementarias, lo que reduce la dependencia de un único canal y aumenta el LTV por cliente: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Venta directa online B2C de paneles y bombillas (núcleo del negocio).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Venta de packs y sistemas completos (dormitorio, salón, trabajo, rutinas circadianas), con ticket medio superior.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Consultorías de salud ambiental y luz (servicio profesional asociado).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Formación: Escuela Ekio, cursos digitales y certificaciones para profesionales.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Membresía / comunidad de usuarios vinculada a Ekio Coach, con contenido exclusivo, protocolos personalizados y soporte.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Canal B2B para clínicas, fisioterapia, wellness, biohacking, hoteles, oficinas saludables y profesionales de salud integrativa.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Líneas futuras: licenciamiento tecnológico (sobre el modelo de utilidad + PCT), licencias de software, distribución internacional y datos de uso no clínicos.</w:t>
      </w:r>
    </w:p>
    <w:p w14:paraId="7C18DCEF" w14:textId="77777777" w:rsidR="006D15DE" w:rsidRPr="00D101DD" w:rsidRDefault="00A1150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Clientes del </w:t>
      </w:r>
      <w:r w:rsidR="009076C3" w:rsidRPr="00D101DD">
        <w:rPr>
          <w:rFonts w:ascii="Arial" w:hAnsi="Arial" w:cs="Arial"/>
          <w:color w:val="000000" w:themeColor="text1"/>
          <w:sz w:val="22"/>
          <w:szCs w:val="22"/>
        </w:rPr>
        <w:t>proyecto</w:t>
      </w:r>
      <w:r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segmentación de cliente se construye sobre dos grandes bloques con arquetipos definidos:</w:t>
      </w:r>
    </w:p>
    <w:p>
      <w:pPr>
        <w:spacing w:before="120" w:after="80" w:line="280" w:lineRule="auto"/>
        <w:ind w:left="709" w:right="-28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B2C — particulares.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Personas interesadas en biohacking, optimización del rendimiento y antiaging.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Personas con problemas de sueño, recuperación o fatiga crónica que buscan soluciones de entorno.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Deportistas y profesionales de alto rendimiento (recuperación, confort visual, ritmos circadianos).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Familias y profesionales sensibles a la calidad ambiental de su hogar.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Personas con sensibilidad electromagnética declarada o percibida (segmento histórico de Ekio Electrosmog).</w:t>
      </w:r>
    </w:p>
    <w:p>
      <w:pPr>
        <w:spacing w:before="120" w:after="80" w:line="280" w:lineRule="auto"/>
        <w:ind w:left="709" w:right="-28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B2B — profesionales y empresas.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Clínicas de medicina integrativa, biológica y funcional.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Centros de fisioterapia y recuperación deportiva.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Gimnasios premium, centros de biohacking y longevidad.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Centros wellness, spas, hoteles y resorts orientados a salud.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Oficinas saludables y empresas con programas de bienestar laboral.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Terapeutas, naturópatas y médicos integrativos como prescriptores y revendedores.</w:t>
      </w:r>
    </w:p>
    <w:p w14:paraId="26B83EC6" w14:textId="77777777" w:rsidR="00A11504" w:rsidRPr="00D101DD" w:rsidRDefault="00A1150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Proveedores de</w:t>
      </w:r>
      <w:r w:rsidR="00882782" w:rsidRPr="00D101DD">
        <w:rPr>
          <w:rFonts w:ascii="Arial" w:hAnsi="Arial" w:cs="Arial"/>
          <w:color w:val="000000" w:themeColor="text1"/>
          <w:sz w:val="22"/>
          <w:szCs w:val="22"/>
        </w:rPr>
        <w:t xml:space="preserve"> la actividad</w:t>
      </w:r>
      <w:r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Fabricantes de hardware: socios industriales especializados en LED y electrónica de potencia, principalmente en Asia, con auditoría de calidad propia y control de especificaciones técnicas.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Proveedores de componentes críticos: chips LED de longitudes de onda específicas, drivers de calidad, fuentes aisladas, filtros EMI/RFI y elementos de blindaje.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Logística internacional y nacional: agentes de transporte, freight forwarders, almacén logístico y operadores last-mile.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Certificaciones y ensayos: laboratorios acreditados para marcado CE, RoHS, REACH, EMC y ensayos fotométricos.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Packaging y experiencia de marca: proveedores de packaging técnico y materiales gráficos.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Plataformas digitales: Shopify (ecommerce), Klaviyo (CRM), ManyChat (mensajería), Meta y Google (medios de pago).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Servicios profesionales: agencia de propiedad industrial (modelo de utilidad y PCT), asesoría legal, asesoría fiscal y laboral, asesoría financiera.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Socios tecnológicos: Air Institute (extensión PCT hardware + software) y proveedores de desarrollo de la app Ekio Coach.</w:t>
      </w:r>
    </w:p>
    <w:p w14:paraId="769B83D1" w14:textId="77777777" w:rsidR="00D101DD" w:rsidRPr="00D101DD" w:rsidRDefault="00D101DD" w:rsidP="00D101DD"/>
    <w:p w14:paraId="471CCD08" w14:textId="77777777" w:rsidR="00A11504" w:rsidRPr="00D101DD" w:rsidRDefault="00D101DD" w:rsidP="00D101DD">
      <w:pPr>
        <w:pStyle w:val="Ttulo1"/>
        <w:pBdr>
          <w:bottom w:val="single" w:sz="4" w:space="1" w:color="385623" w:themeColor="accent6" w:themeShade="80"/>
        </w:pBdr>
        <w:ind w:left="0"/>
        <w:rPr>
          <w:rFonts w:ascii="Arial" w:hAnsi="Arial" w:cs="Arial"/>
          <w:b/>
          <w:color w:val="538135" w:themeColor="accent6" w:themeShade="BF"/>
          <w:sz w:val="22"/>
          <w:szCs w:val="22"/>
        </w:rPr>
      </w:pPr>
      <w:r w:rsidRPr="00D101DD">
        <w:rPr>
          <w:rFonts w:ascii="Arial" w:hAnsi="Arial" w:cs="Arial"/>
          <w:b/>
          <w:color w:val="538135" w:themeColor="accent6" w:themeShade="BF"/>
          <w:sz w:val="22"/>
          <w:szCs w:val="22"/>
        </w:rPr>
        <w:t>INNOVACIÓN</w:t>
      </w:r>
    </w:p>
    <w:p w14:paraId="36F27928" w14:textId="77777777" w:rsidR="00A11504" w:rsidRPr="00D101DD" w:rsidRDefault="00A11504" w:rsidP="00A11504">
      <w:pPr>
        <w:rPr>
          <w:rFonts w:ascii="Arial" w:hAnsi="Arial" w:cs="Arial"/>
          <w:color w:val="008000"/>
        </w:rPr>
      </w:pPr>
    </w:p>
    <w:p w14:paraId="0F1ED7CA" w14:textId="77777777" w:rsidR="00A11504" w:rsidRPr="00D101DD" w:rsidRDefault="00A1150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Descripción de la tecnología.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tecnología Ekio Light System se articula en cuatro capas que evolucionan de forma coordinada: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Capa lumínica: paneles de fotobiomodulación con combinaciones específicas de longitudes de onda (480, 630, 660, 727, 810, 850 y 940 nm según modelo) seleccionadas en base a la evidencia disponible en fotobiomodulación, confort visual, ritmos circadianos y bienestar. La longitud de onda 727 nm constituye un elemento diferencial en algunos modelos, asociada a propuestas avanzadas en investigación reciente.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Capa eléctrica de baja toxicidad: drivers de alta calidad, fuente aislada, blindaje metálico, filtros EMI/RFI y diseño orientado a minimizar flicker (parpadeo) y electricidad sucia conducida hacia la red doméstica.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Capa de sensores y datos (en desarrollo): sensores internos y externos para capturar parámetros no médicos de uso y entorno (horas de uso, distancia, intensidad, condiciones del entorno) que alimentan el software.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Capa digital — Ekio Coach: aplicación propia accesible en https://ekio-coach.vercel.app/ que ofrece al usuario protocolos personalizados, seguimiento de uso, recordatorios, contenido educativo y futuras recomendaciones asistidas por inteligencia artificial sobre la base de los datos de uso.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conjunto está protegido por la solicitud de modelo de utilidad U202532624, admitida a trámite por la OEPM (fecha de solicitud: 24 de diciembre de 2025), y se encuentra en proceso de extensión PCT integrando hardware y software, en colaboración con Air Institute.</w:t>
      </w:r>
    </w:p>
    <w:p w14:paraId="67BF6E44" w14:textId="77777777" w:rsidR="00A11504" w:rsidRPr="00D101DD" w:rsidRDefault="006D15DE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Grado de innovación del producto y/o servicio</w:t>
      </w:r>
      <w:r w:rsidR="00A11504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innovación de Ekio Light System es de naturaleza incremental en algunos componentes —el LED, los drivers o el firmware no son tecnologías nuevas— y sistémica e integradora en su conjunto. La novedad reside en cómo se combinan: hardware lumínico optimizado, criterios estrictos de baja toxicidad electromagnética, plataforma digital de uso y protocolos personalizados, todo bajo una marca y un ecosistema de contenido y comunidad coherentes.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Esta integración es difícilmente replicable por competidores ‘puros’ de hardware (les falta capa digital, comunidad y autoridad técnica en electrosmog) y por competidores ‘puros’ de software (les falta producto físico, propiedad industrial y experiencia de campo). Es esa intersección la que define el grado de innovación defendible del proyecto y la que se está protegiendo mediante el modelo de utilidad y la extensión PCT.</w:t>
      </w:r>
    </w:p>
    <w:p w14:paraId="39D0228C" w14:textId="77777777" w:rsidR="00A11504" w:rsidRPr="00D101DD" w:rsidRDefault="00A1150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 xml:space="preserve">Características del prototipo y/o </w:t>
      </w:r>
      <w:r w:rsidR="006D15DE" w:rsidRPr="00D101DD">
        <w:rPr>
          <w:rFonts w:ascii="Arial" w:hAnsi="Arial" w:cs="Arial"/>
          <w:color w:val="000000" w:themeColor="text1"/>
          <w:sz w:val="22"/>
          <w:szCs w:val="22"/>
        </w:rPr>
        <w:t xml:space="preserve">el </w:t>
      </w:r>
      <w:r w:rsidRPr="00D101DD">
        <w:rPr>
          <w:rFonts w:ascii="Arial" w:hAnsi="Arial" w:cs="Arial"/>
          <w:color w:val="000000" w:themeColor="text1"/>
          <w:sz w:val="22"/>
          <w:szCs w:val="22"/>
        </w:rPr>
        <w:t>producto mínimo viable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Ekio Light System ya cuenta con producto comercializado y validado en mercado, lo que sitúa al proyecto en un nivel de madurez muy superior al de un prototipo. Los productos actualmente en catálogo son: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BioSpectrum 10™: panel avanzado full spectrum / multiespectral. Coste aproximado de producto: 1.000 €. PVP aproximado: 2.700 €.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BioRegen 7™: evolución del Deep 7 Cian, con 7 longitudes de onda. Coste aproximado: 350 €. PVP aproximado: 950 €.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Deep 5™: panel de fotobiomodulación con 5 longitudes de onda. PVP [DATO A CONFIRMAR].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IGNIS™: línea o dispositivo complementario [DATO A CONFIRMAR — descripción técnica final].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Bombilla Ekio Light RedSphere™.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Bombilla Amber 1800™ (luz cálida sin componente azul, orientada al final del día).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Packs de iluminación saludable para dormitorio, salón, trabajo y rutinas circadianas.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Estos productos se han comercializado durante 2025 generando una facturación de 78.000 € en la línea Ekio Light, con previsión de 450.000 € en 2026 y objetivo de 3.000.000 € en 2028. Los prototipos en curso para la siguiente generación incorporarán sensores internos, conectividad e integración nativa con Ekio Coach.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producto mínimo viable (MVP) digital, Ekio Coach, se encuentra publicado en https://ekio-coach.vercel.app/ y está siendo validado con primeros usuarios.</w:t>
      </w:r>
    </w:p>
    <w:p w14:paraId="67519BFE" w14:textId="77777777" w:rsidR="00A11504" w:rsidRPr="00D101DD" w:rsidRDefault="00A1150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 xml:space="preserve">Colaboración con Universidades, Centros Tecnológicos </w:t>
      </w:r>
      <w:r w:rsidR="005D21D4" w:rsidRPr="00D101DD">
        <w:rPr>
          <w:rFonts w:ascii="Arial" w:hAnsi="Arial" w:cs="Arial"/>
          <w:color w:val="000000" w:themeColor="text1"/>
          <w:sz w:val="22"/>
          <w:szCs w:val="22"/>
        </w:rPr>
        <w:t>u</w:t>
      </w:r>
      <w:r w:rsidRPr="00D101DD">
        <w:rPr>
          <w:rFonts w:ascii="Arial" w:hAnsi="Arial" w:cs="Arial"/>
          <w:color w:val="000000" w:themeColor="text1"/>
          <w:sz w:val="22"/>
          <w:szCs w:val="22"/>
        </w:rPr>
        <w:t xml:space="preserve"> otras entidades de investigación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Ekio Light System mantiene una colaboración activa con Air Institute para la extensión PCT del modelo de utilidad U202532624, integrando hardware y software. Esta colaboración refuerza la solidez técnica y de propiedad industrial del proyecto.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Líneas adicionales de colaboración previstas y propuestas dentro del marco Wolaria: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Ensayos fotométricos y de seguridad fotobiológica con laboratorios acreditados.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Medición independiente de flicker, emisión EMF conducida y radiada con centros tecnológicos especializados.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Estudios de usabilidad y experiencia de usuario con grupos de investigación universitarios.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Líneas de investigación aplicada con universidades en salud ambiental interior, fotobiomodulación, cronobiología y bienestar laboral.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Posibles colaboraciones con clusters tecnológicos y de salud de Castilla y León en el marco del programa Wolaria [DATO A CONFIRMAR — entidades concretas a definir conjuntamente con ICECYL].</w:t>
      </w:r>
    </w:p>
    <w:p w14:paraId="0F29E689" w14:textId="77777777" w:rsidR="00D101DD" w:rsidRPr="00D101DD" w:rsidRDefault="00D101DD" w:rsidP="00A11504">
      <w:pPr>
        <w:rPr>
          <w:rFonts w:ascii="Arial" w:hAnsi="Arial" w:cs="Arial"/>
          <w:color w:val="008000"/>
        </w:rPr>
      </w:pPr>
    </w:p>
    <w:p w14:paraId="557DD65B" w14:textId="77777777" w:rsidR="008E04D2" w:rsidRPr="00D101DD" w:rsidRDefault="00D101DD" w:rsidP="00D101DD">
      <w:pPr>
        <w:pStyle w:val="Ttulo1"/>
        <w:pBdr>
          <w:bottom w:val="single" w:sz="4" w:space="1" w:color="385623" w:themeColor="accent6" w:themeShade="80"/>
        </w:pBdr>
        <w:ind w:left="0"/>
        <w:rPr>
          <w:rFonts w:ascii="Arial" w:hAnsi="Arial" w:cs="Arial"/>
          <w:b/>
          <w:color w:val="538135" w:themeColor="accent6" w:themeShade="BF"/>
          <w:sz w:val="22"/>
          <w:szCs w:val="22"/>
        </w:rPr>
      </w:pPr>
      <w:r w:rsidRPr="00D101DD">
        <w:rPr>
          <w:rFonts w:ascii="Arial" w:hAnsi="Arial" w:cs="Arial"/>
          <w:b/>
          <w:color w:val="538135" w:themeColor="accent6" w:themeShade="BF"/>
          <w:sz w:val="22"/>
          <w:szCs w:val="22"/>
        </w:rPr>
        <w:t>EQUIPO</w:t>
      </w:r>
    </w:p>
    <w:p w14:paraId="579550ED" w14:textId="77777777" w:rsidR="00A11504" w:rsidRPr="00D101DD" w:rsidRDefault="00A11504" w:rsidP="00A11504">
      <w:pPr>
        <w:pStyle w:val="Ttulo2"/>
        <w:numPr>
          <w:ilvl w:val="0"/>
          <w:numId w:val="0"/>
        </w:numPr>
        <w:rPr>
          <w:rFonts w:ascii="Arial" w:hAnsi="Arial" w:cs="Arial"/>
          <w:color w:val="008000"/>
          <w:sz w:val="22"/>
          <w:szCs w:val="22"/>
        </w:rPr>
      </w:pPr>
    </w:p>
    <w:p w14:paraId="164E7535" w14:textId="77777777" w:rsidR="006D15DE" w:rsidRPr="00D101DD" w:rsidRDefault="006D15DE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D101DD">
        <w:rPr>
          <w:rFonts w:ascii="Arial" w:hAnsi="Arial" w:cs="Arial"/>
          <w:color w:val="000000" w:themeColor="text1"/>
          <w:sz w:val="22"/>
          <w:szCs w:val="22"/>
        </w:rPr>
        <w:t xml:space="preserve">Compromiso </w:t>
      </w:r>
      <w:r w:rsidR="00A6079B" w:rsidRPr="00D101DD">
        <w:rPr>
          <w:rFonts w:ascii="Arial" w:hAnsi="Arial" w:cs="Arial"/>
          <w:color w:val="000000" w:themeColor="text1"/>
          <w:sz w:val="22"/>
          <w:szCs w:val="22"/>
        </w:rPr>
        <w:t xml:space="preserve"> y</w:t>
      </w:r>
      <w:proofErr w:type="gramEnd"/>
      <w:r w:rsidR="00A6079B" w:rsidRPr="00D101DD">
        <w:rPr>
          <w:rFonts w:ascii="Arial" w:hAnsi="Arial" w:cs="Arial"/>
          <w:color w:val="000000" w:themeColor="text1"/>
          <w:sz w:val="22"/>
          <w:szCs w:val="22"/>
        </w:rPr>
        <w:t xml:space="preserve"> dedicación </w:t>
      </w:r>
      <w:r w:rsidRPr="00D101DD">
        <w:rPr>
          <w:rFonts w:ascii="Arial" w:hAnsi="Arial" w:cs="Arial"/>
          <w:color w:val="000000" w:themeColor="text1"/>
          <w:sz w:val="22"/>
          <w:szCs w:val="22"/>
        </w:rPr>
        <w:t>de los p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romotores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Francisco Javier Andrés Andrés, promotor principal, dedica el 100% de su tiempo profesional al proyecto Ekio, asumiendo la dirección general, la visión estratégica, la línea de producto, las alianzas y el desarrollo comercial. Su compromiso con Ekio Light System es total y prioritario dentro del ecosistema Ekio.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inversión personal acreditada hasta la fecha en la línea Ekio Light asciende a 77.000 € en stock, prototipos, diseño, viajes a planta, certificaciones y asesoría especializada en propiedad industrial. Esta cifra demuestra alineación de incentivos y skin in the game del promotor.</w:t>
      </w:r>
    </w:p>
    <w:p w14:paraId="3F512DB5" w14:textId="77777777" w:rsidR="005D21D4" w:rsidRPr="00D101DD" w:rsidRDefault="006D15DE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 xml:space="preserve">Cualificación y experiencia del 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equipo humano,</w:t>
      </w:r>
    </w:p>
    <w:p>
      <w:pPr>
        <w:spacing w:before="120" w:after="80" w:line="280" w:lineRule="auto"/>
        <w:ind w:left="709" w:right="-28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Francisco Javier Andrés Andrés — Fundador, CEO y promotor.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Naturópata y consultor especializado en contaminación electromagnética y salud ambiental.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Más de 14 años de experiencia midiendo entornos domésticos, profesionales y clínicos.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Fundador de Ekio Electrosmog España (2023) y promotor de Ekio Light System.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Responsable de visión estratégica, producto, comunicación, alianzas y desarrollo comercial.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Experiencia probada en venta online y construcción de comunidad (1,7 M€ acumulados desde 2023).</w:t>
      </w:r>
    </w:p>
    <w:p>
      <w:pPr>
        <w:spacing w:before="120" w:after="80" w:line="280" w:lineRule="auto"/>
        <w:ind w:left="709" w:right="-28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Cristhian de Moya — Responsable de operaciones.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Coordinación de operaciones, logística, fabricación, control de stock, atención al cliente y procesos.</w:t>
      </w:r>
    </w:p>
    <w:p>
      <w:pPr>
        <w:spacing w:before="120" w:after="80" w:line="280" w:lineRule="auto"/>
        <w:ind w:left="709" w:right="-28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Javier Escobar — Responsable de IT.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Responsable de la infraestructura tecnológica: ecommerce, integraciones, datos, app Ekio Coach y soporte técnico.</w:t>
      </w:r>
    </w:p>
    <w:p>
      <w:pPr>
        <w:spacing w:before="120" w:after="80" w:line="280" w:lineRule="auto"/>
        <w:ind w:left="709" w:right="-28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Jesús Bedmar — Project Manager.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Coordinación transversal de proyectos, seguimiento de roadmap, gestión de proveedores y de tiempos.</w:t>
      </w:r>
    </w:p>
    <w:p>
      <w:pPr>
        <w:spacing w:before="120" w:after="80" w:line="280" w:lineRule="auto"/>
        <w:ind w:left="709" w:right="-28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Equipo de marketing y ventas.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Equipo profesional dedicado a marketing digital, performance, contenidos y desarrollo del canal B2B.</w:t>
      </w:r>
    </w:p>
    <w:p>
      <w:pPr>
        <w:spacing w:before="120" w:after="80" w:line="280" w:lineRule="auto"/>
        <w:ind w:left="709" w:right="-28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Proveedores estratégicos integrados.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Air Institute (extensión PCT, integración hardware + software).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Erick, especialista Klaviyo, responsable de la implementación de los flujos de email y SMS.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Agencia de propiedad industrial (modelo de utilidad y PCT).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Asesoría legal, fiscal y laboral.</w:t>
      </w:r>
    </w:p>
    <w:p w14:paraId="1D893A6E" w14:textId="77777777" w:rsidR="005D21D4" w:rsidRPr="00D101DD" w:rsidRDefault="005D21D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Estructura organizativa.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estructura organizativa actual se articula en cinco bloques funcionales que reportan a la Dirección General: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Dirección General y Estrategia — Francisco Javier Andrés Andrés.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Operaciones — Cristhian de Moya (logística, fabricación, atención al cliente, procesos).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IT y producto digital — Javier Escobar (ecommerce, integraciones, app Ekio Coach, infraestructura).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Project Management y coordinación — Jesús Bedmar.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Marketing y ventas — equipo dedicado a performance marketing, contenidos y desarrollo B2B.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estructura crecerá con la inversión solicitada, incorporando perfiles clave de producto, ingeniería electrónica/lumínica, customer success B2B y, en fases posteriores, internacionalización [DATO A CONFIRMAR — plan de contratación detallado por trimestre].</w:t>
      </w:r>
    </w:p>
    <w:p w14:paraId="135B93AB" w14:textId="77777777" w:rsidR="00682CB6" w:rsidRPr="00D101DD" w:rsidRDefault="005D21D4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 xml:space="preserve">Distribución </w:t>
      </w:r>
      <w:r w:rsidR="00F57D84" w:rsidRPr="00D101DD">
        <w:rPr>
          <w:rFonts w:ascii="Arial" w:hAnsi="Arial" w:cs="Arial"/>
          <w:color w:val="000000" w:themeColor="text1"/>
          <w:sz w:val="22"/>
          <w:szCs w:val="22"/>
        </w:rPr>
        <w:t xml:space="preserve">del </w:t>
      </w:r>
      <w:r w:rsidRPr="00D101DD">
        <w:rPr>
          <w:rFonts w:ascii="Arial" w:hAnsi="Arial" w:cs="Arial"/>
          <w:color w:val="000000" w:themeColor="text1"/>
          <w:sz w:val="22"/>
          <w:szCs w:val="22"/>
        </w:rPr>
        <w:t>accionariado y aportaciones</w:t>
      </w:r>
      <w:r w:rsidR="00F57D84" w:rsidRPr="00D101DD">
        <w:rPr>
          <w:rFonts w:ascii="Arial" w:hAnsi="Arial" w:cs="Arial"/>
          <w:color w:val="000000" w:themeColor="text1"/>
          <w:sz w:val="22"/>
          <w:szCs w:val="22"/>
        </w:rPr>
        <w:t xml:space="preserve"> realizadas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sociedad promotora es Ekio Bio Tech, S.L. El accionariado se encuentra actualmente concentrado en el promotor/fundador, pendiente de confirmar la estructura jurídica final y los porcentajes exactos de participación tras la entrada de socios y/o instrumentos públicos en el marco del programa Wolaria [DATO A CONFIRMAR — escritura, capital social y porcentajes definitivos].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Aportaciones efectivamente realizadas a la fecha: 77.000 € invertidos por el promotor en stock, prototipos, diseño industrial, viajes a planta, certificaciones, asesoría legal y de propiedad industrial relacionados específicamente con la línea Ekio Light. A esto se suman los activos intangibles aportados desde Ekio Electrosmog: marca, base de datos (13.000 emails + 3.400 WhatsApp), comunidad, contenidos, autoridad de mercado y know-how técnico acumulado durante más de 14 años.</w:t>
      </w:r>
    </w:p>
    <w:p w14:paraId="25C37AC1" w14:textId="77777777" w:rsidR="00D101DD" w:rsidRPr="00D101DD" w:rsidRDefault="00D101DD" w:rsidP="00D101DD"/>
    <w:p w14:paraId="5748FCFA" w14:textId="77777777" w:rsidR="008E04D2" w:rsidRPr="00D101DD" w:rsidRDefault="00D101DD" w:rsidP="00D101DD">
      <w:pPr>
        <w:pStyle w:val="Ttulo1"/>
        <w:pBdr>
          <w:bottom w:val="single" w:sz="4" w:space="1" w:color="385623" w:themeColor="accent6" w:themeShade="80"/>
        </w:pBdr>
        <w:ind w:left="0"/>
        <w:rPr>
          <w:rFonts w:ascii="Arial" w:hAnsi="Arial" w:cs="Arial"/>
          <w:b/>
          <w:color w:val="538135" w:themeColor="accent6" w:themeShade="BF"/>
          <w:sz w:val="22"/>
          <w:szCs w:val="22"/>
        </w:rPr>
      </w:pPr>
      <w:r w:rsidRPr="00D101DD">
        <w:rPr>
          <w:rFonts w:ascii="Arial" w:hAnsi="Arial" w:cs="Arial"/>
          <w:b/>
          <w:color w:val="538135" w:themeColor="accent6" w:themeShade="BF"/>
          <w:sz w:val="22"/>
          <w:szCs w:val="22"/>
        </w:rPr>
        <w:t>ESTRUCTURA ECONÓMICO-FINANCIERA: DATOS DE INVERSIÓN</w:t>
      </w:r>
    </w:p>
    <w:p w14:paraId="261DEBDF" w14:textId="77777777" w:rsidR="00E7340E" w:rsidRPr="00D101DD" w:rsidRDefault="00E7340E" w:rsidP="00E7340E">
      <w:pPr>
        <w:pStyle w:val="Ttulo2"/>
        <w:numPr>
          <w:ilvl w:val="0"/>
          <w:numId w:val="0"/>
        </w:numPr>
        <w:rPr>
          <w:rFonts w:ascii="Arial" w:hAnsi="Arial" w:cs="Arial"/>
          <w:color w:val="008000"/>
          <w:sz w:val="22"/>
          <w:szCs w:val="22"/>
        </w:rPr>
      </w:pPr>
    </w:p>
    <w:p w14:paraId="64EE96D0" w14:textId="77777777" w:rsidR="008E04D2" w:rsidRPr="00D101DD" w:rsidRDefault="008E04D2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Objetivo de la inversión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inversión solicitada tiene como objetivo acelerar el paso de Ekio Light System desde su validación comercial actual (78.000 € facturados en 2025) hacia una escala industrial y comercial sostenible (objetivo 3.000.000 € en 2028), consolidando su posición como referente español en tecnología de fotobiomodulación y entorno lumínico saludable, con vocación europea e internacional.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Los objetivos operativos concretos de la inversión son: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Fabricar y disponer de stock suficiente de paneles Ekio Light para sostener el crecimiento previsto sin roturas.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Desarrollar prototipos avanzados de nueva generación con sensores integrados.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Completar validaciones técnicas y certificaciones necesarias para la expansión europea.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Acelerar el desarrollo del software propio Ekio Coach y su integración con el hardware.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Reforzar la protección de propiedad industrial (PCT en curso con Air Institute).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Escalar la inversión en marketing y desarrollo del canal B2B.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Iniciar la internacionalización (Portugal, Francia, Italia, Alemania y mercado hispano).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Incorporar perfiles clave al equipo en producto, B2B e ingeniería.</w:t>
      </w:r>
    </w:p>
    <w:p w14:paraId="51F52C10" w14:textId="77777777" w:rsidR="008E04D2" w:rsidRPr="00D101DD" w:rsidRDefault="008E04D2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Detalle de las inversiones previstas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inversión se distribuye en diez partidas alineadas con los objetivos estratégicos del proyecto. La siguiente tabla recoge el desglose por partida en el escenario de crecimiento recomendado (350.000 €):</w:t>
      </w:r>
    </w:p>
    <w:p>
      <w:pPr>
        <w:spacing w:after="120"/>
      </w:pPr>
    </w:p>
    <w:tbl>
      <w:tblPr>
        <w:tblW w:w="9200" w:type="dxa"/>
        <w:tblInd w:w="70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4400"/>
        <w:gridCol w:w="2400"/>
        <w:gridCol w:w="2400"/>
      </w:tblGrid>
      <w:tr>
        <w:trPr>
          <w:tblHeader/>
        </w:trP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Partida de inversión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Importe (€)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% del total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Stock inicial y fabricación de paneles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120.000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34,3%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I+D de producto (electrónica, óptica, mecánica)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45.000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12,9%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Certificaciones y ensayos (CE, EMC, fotométricos)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5,7%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Desarrollo de software (Ekio Coach) y plataforma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55.000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15,7%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Sensores y electrónica para nueva generación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5,7%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Marketing, lanzamiento y aceleración comercial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45.000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12,9%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Equipo (incorporaciones clave y refuerzo)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5,7%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Propiedad industrial (PCT, extensiones, defensa)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2,9%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Logística internacional y operaciones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2,9%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Consultoría técnica, legal y financiera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5.000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1,4%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350.000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</w:p>
    <w:p w14:paraId="62026778" w14:textId="77777777" w:rsidR="008E04D2" w:rsidRPr="00D101DD" w:rsidRDefault="008E04D2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Cuantificación de las inversiones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 han modelado tres escenarios de inversión, en función del nivel de aceleración deseado y del apetito de riesgo del capital incorporado:</w:t>
      </w:r>
    </w:p>
    <w:p>
      <w:pPr>
        <w:spacing w:after="120"/>
      </w:pPr>
    </w:p>
    <w:tbl>
      <w:tblPr>
        <w:tblW w:w="9200" w:type="dxa"/>
        <w:tblInd w:w="70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000"/>
        <w:gridCol w:w="2000"/>
        <w:gridCol w:w="4200"/>
      </w:tblGrid>
      <w:tr>
        <w:trPr>
          <w:tblHeader/>
        </w:trPr>
        <w:tc>
          <w:tcPr>
            <w:tcW w:w="3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w="2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Inversión (€)</w:t>
            </w:r>
          </w:p>
        </w:tc>
        <w:tc>
          <w:tcPr>
            <w:tcW w:w="42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w="3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Prudente</w:t>
            </w:r>
          </w:p>
        </w:tc>
        <w:tc>
          <w:tcPr>
            <w:tcW w:w="2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75.000</w:t>
            </w:r>
          </w:p>
        </w:tc>
        <w:tc>
          <w:tcPr>
            <w:tcW w:w="42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Stock + marketing táctico, sin software ni nuevo equipo.</w:t>
            </w:r>
          </w:p>
        </w:tc>
      </w:tr>
      <w:tr>
        <w:tc>
          <w:tcPr>
            <w:tcW w:w="3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w="2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150.000</w:t>
            </w:r>
          </w:p>
        </w:tc>
        <w:tc>
          <w:tcPr>
            <w:tcW w:w="42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Stock + marketing + parte software + I+D limitado.</w:t>
            </w:r>
          </w:p>
        </w:tc>
      </w:tr>
      <w:tr>
        <w:tc>
          <w:tcPr>
            <w:tcW w:w="3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Crecimiento (recomendado)</w:t>
            </w:r>
          </w:p>
        </w:tc>
        <w:tc>
          <w:tcPr>
            <w:tcW w:w="2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350.000</w:t>
            </w:r>
          </w:p>
        </w:tc>
        <w:tc>
          <w:tcPr>
            <w:tcW w:w="42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Stock, I+D, software, equipo, PCT, B2B e internacionalización.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escenario recomendado para la presentación en Wolaria es el de crecimiento (350.000 €), por ser el único compatible con el objetivo de facturación de 3.000.000 € en 2028 y con el desarrollo simultáneo de hardware, software, propiedad industrial y canal B2B.</w:t>
      </w:r>
    </w:p>
    <w:p w14:paraId="1C698DA9" w14:textId="77777777" w:rsidR="008E04D2" w:rsidRPr="00D101DD" w:rsidRDefault="008E04D2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lastRenderedPageBreak/>
        <w:t>Esquema de financiación de las inversiones previstas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 propone una estructura de financiación diversificada, que combina recursos propios, deuda avalada, instrumentos participativos, ayudas públicas y, opcionalmente, una entrada controlada de business angels alineados con la visión del proyecto:</w:t>
      </w:r>
    </w:p>
    <w:p>
      <w:pPr>
        <w:spacing w:after="120"/>
      </w:pPr>
    </w:p>
    <w:tbl>
      <w:tblPr>
        <w:tblW w:w="9200" w:type="dxa"/>
        <w:tblInd w:w="70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4400"/>
        <w:gridCol w:w="2400"/>
        <w:gridCol w:w="2400"/>
      </w:tblGrid>
      <w:tr>
        <w:trPr>
          <w:tblHeader/>
        </w:trP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Fuente de financiación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Importe (€)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% del total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Recursos propios y reinversión de cash flow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70.000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20,0%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Financiación bancaria avalada (Iberaval / ICO)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120.000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34,3%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Préstamo participativo (ENISA u homólogo)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80.000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22,9%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Ayudas y subvenciones públicas (CDTI, ICEX, JCyL)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50.000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14,3%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Business angels / inversores estratégicos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30.000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8,5%</w:t>
            </w:r>
          </w:p>
        </w:tc>
      </w:tr>
      <w:tr>
        <w:tc>
          <w:tcPr>
            <w:tcW w:w="4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350.000</w:t>
            </w:r>
          </w:p>
        </w:tc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Esta estructura es compatible con los instrumentos habitualmente movilizados desde el ecosistema Wolaria / ICECYL / JCyL e Iberaval, y mantiene el control accionarial del promotor en el rango razonable para una empresa industrial-digital de esta fase. [DATO A CONFIRMAR — porcentajes definitivos en función de instrumentos concretos finalmente activados].</w:t>
      </w:r>
    </w:p>
    <w:p w14:paraId="4295EE2F" w14:textId="77777777" w:rsidR="00BB382C" w:rsidRPr="00D101DD" w:rsidRDefault="00BB382C" w:rsidP="00FF2B83">
      <w:pPr>
        <w:rPr>
          <w:rFonts w:ascii="Arial" w:hAnsi="Arial" w:cs="Arial"/>
          <w:color w:val="008000"/>
        </w:rPr>
      </w:pPr>
    </w:p>
    <w:p w14:paraId="0CDF4AA8" w14:textId="77777777" w:rsidR="008E04D2" w:rsidRPr="00D101DD" w:rsidRDefault="00D101DD" w:rsidP="00D101DD">
      <w:pPr>
        <w:pStyle w:val="Ttulo1"/>
        <w:pBdr>
          <w:bottom w:val="single" w:sz="4" w:space="1" w:color="385623" w:themeColor="accent6" w:themeShade="80"/>
        </w:pBdr>
        <w:ind w:left="0"/>
        <w:rPr>
          <w:rFonts w:ascii="Arial" w:hAnsi="Arial" w:cs="Arial"/>
          <w:b/>
          <w:color w:val="538135" w:themeColor="accent6" w:themeShade="BF"/>
          <w:sz w:val="22"/>
          <w:szCs w:val="22"/>
        </w:rPr>
      </w:pPr>
      <w:r w:rsidRPr="00D101DD">
        <w:rPr>
          <w:rFonts w:ascii="Arial" w:hAnsi="Arial" w:cs="Arial"/>
          <w:b/>
          <w:color w:val="538135" w:themeColor="accent6" w:themeShade="BF"/>
          <w:sz w:val="22"/>
          <w:szCs w:val="22"/>
        </w:rPr>
        <w:t>ESTRUCTURA ECONÓMICO-FINANCIERA: PROYECCIÓN A TRES AÑOS VISTA</w:t>
      </w:r>
    </w:p>
    <w:p w14:paraId="6D3FD0BE" w14:textId="77777777" w:rsidR="00E7340E" w:rsidRPr="00D101DD" w:rsidRDefault="00E7340E" w:rsidP="00E7340E">
      <w:pPr>
        <w:rPr>
          <w:rFonts w:ascii="Arial" w:hAnsi="Arial" w:cs="Arial"/>
          <w:color w:val="008000"/>
        </w:rPr>
      </w:pPr>
    </w:p>
    <w:p w14:paraId="4437EE54" w14:textId="77777777" w:rsidR="00E7340E" w:rsidRPr="00D101DD" w:rsidRDefault="00E7340E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Cuenta de pérdidas y ganancias.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Las cifras siguientes constituyen una proyección defendible construida sobre los datos reales del proyecto (1,7 M€ de ventas acumuladas en Ekio Electrosmog desde 2023, 78.000 € de Ekio Light en 2025, 450.000 € previstos en 2026, margen bruto medio del 53% y objetivo de 3.000.000 € en 2028). Cada hipótesis se justifica en el apartado 7.</w:t>
      </w:r>
    </w:p>
    <w:p>
      <w:pPr>
        <w:spacing w:after="120"/>
      </w:pPr>
    </w:p>
    <w:tbl>
      <w:tblPr>
        <w:tblW w:w="9200" w:type="dxa"/>
        <w:tblInd w:w="70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4000"/>
        <w:gridCol w:w="1600"/>
        <w:gridCol w:w="1800"/>
        <w:gridCol w:w="1800"/>
      </w:tblGrid>
      <w:tr>
        <w:trPr>
          <w:tblHeader/>
        </w:trP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Concepto (€)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Ventas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450.000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1.300.000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3.000.000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Coste de aprovisionamientos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(211.500)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(611.000)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(1.350.000)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Margen bruto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238.500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689.000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1.650.000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Gastos de personal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(110.000)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(220.000)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(380.000)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Marketing y ventas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(90.000)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(195.000)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(390.000)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Tecnología / I+D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(35.000)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(80.000)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(130.000)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Logística y operaciones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(22.500)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(65.000)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(150.000)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Servicios externos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(20.000)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(45.000)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(80.000)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(39.000)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84.000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520.000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Amortizaciones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(18.000)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(35.000)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(60.000)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Resultado antes de impuestos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(57.000)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49.000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460.000</w:t>
            </w:r>
          </w:p>
        </w:tc>
      </w:tr>
    </w:tbl>
    <w:p>
      <w:pPr>
        <w:spacing w:after="120"/>
      </w:pPr>
    </w:p>
    <w:p w14:paraId="242B1EAB" w14:textId="77777777" w:rsidR="00E7340E" w:rsidRPr="00D101DD" w:rsidRDefault="00E7340E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Balance de situación.</w:t>
      </w:r>
    </w:p>
    <w:p>
      <w:pPr>
        <w:spacing w:after="120"/>
      </w:pPr>
    </w:p>
    <w:tbl>
      <w:tblPr>
        <w:tblW w:w="9200" w:type="dxa"/>
        <w:tblInd w:w="70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4000"/>
        <w:gridCol w:w="1600"/>
        <w:gridCol w:w="1800"/>
        <w:gridCol w:w="1800"/>
      </w:tblGrid>
      <w:tr>
        <w:trPr>
          <w:tblHeader/>
        </w:trP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Concepto (€)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val="clear" w:color="auto" w:fill="385623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ACTIVO NO CORRIENTE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80.000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120.000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200.000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Existencias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90.000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200.000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380.000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Clientes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15.000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45.000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100.000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Tesorería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60.000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100.000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250.000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TOTAL ACTIVO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245.000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465.000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930.000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Capital social y fondos propios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150.000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195.000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565.000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Deuda financiera (LP + CP)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70.000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200.000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220.000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Proveedores y acreedores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25.000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70.000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145.000</w:t>
            </w:r>
          </w:p>
        </w:tc>
      </w:tr>
      <w:tr>
        <w:tc>
          <w:tcPr>
            <w:tcW w:w="40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TOTAL PASIVO</w:t>
            </w:r>
          </w:p>
        </w:tc>
        <w:tc>
          <w:tcPr>
            <w:tcW w:w="16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245.000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465.000</w:t>
            </w:r>
          </w:p>
        </w:tc>
        <w:tc>
          <w:tcPr>
            <w:tcW w:w="18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930.000</w:t>
            </w:r>
          </w:p>
        </w:tc>
      </w:tr>
    </w:tbl>
    <w:p>
      <w:pPr>
        <w:spacing w:after="120"/>
      </w:pPr>
    </w:p>
    <w:p w14:paraId="467C2794" w14:textId="77777777" w:rsidR="00BB382C" w:rsidRPr="00D101DD" w:rsidRDefault="00BB382C" w:rsidP="00E7340E">
      <w:pPr>
        <w:rPr>
          <w:rFonts w:ascii="Arial" w:hAnsi="Arial" w:cs="Arial"/>
          <w:color w:val="008000"/>
        </w:rPr>
      </w:pPr>
    </w:p>
    <w:p w14:paraId="2407444A" w14:textId="77777777" w:rsidR="008E04D2" w:rsidRPr="00D101DD" w:rsidRDefault="00D101DD" w:rsidP="00D101DD">
      <w:pPr>
        <w:pStyle w:val="Ttulo1"/>
        <w:pBdr>
          <w:bottom w:val="single" w:sz="4" w:space="1" w:color="385623" w:themeColor="accent6" w:themeShade="80"/>
        </w:pBdr>
        <w:ind w:left="0"/>
        <w:rPr>
          <w:rFonts w:ascii="Arial" w:hAnsi="Arial" w:cs="Arial"/>
          <w:b/>
          <w:color w:val="538135" w:themeColor="accent6" w:themeShade="BF"/>
          <w:sz w:val="22"/>
          <w:szCs w:val="22"/>
        </w:rPr>
      </w:pPr>
      <w:r w:rsidRPr="00D101DD">
        <w:rPr>
          <w:rFonts w:ascii="Arial" w:hAnsi="Arial" w:cs="Arial"/>
          <w:b/>
          <w:color w:val="538135" w:themeColor="accent6" w:themeShade="BF"/>
          <w:sz w:val="22"/>
          <w:szCs w:val="22"/>
        </w:rPr>
        <w:t>ESTRUCTURA ECONÓMICO-FINANCIERA: EXPLICACIÓN DE LA PROYECCIÓN</w:t>
      </w:r>
    </w:p>
    <w:p w14:paraId="45D39776" w14:textId="77777777" w:rsidR="00E7340E" w:rsidRPr="00D101DD" w:rsidRDefault="00E7340E" w:rsidP="00E7340E">
      <w:pPr>
        <w:pStyle w:val="Ttulo2"/>
        <w:numPr>
          <w:ilvl w:val="0"/>
          <w:numId w:val="0"/>
        </w:numPr>
        <w:rPr>
          <w:rFonts w:ascii="Arial" w:hAnsi="Arial" w:cs="Arial"/>
          <w:color w:val="008000"/>
          <w:sz w:val="22"/>
          <w:szCs w:val="22"/>
        </w:rPr>
      </w:pPr>
    </w:p>
    <w:p w14:paraId="616655C5" w14:textId="77777777" w:rsidR="003F617A" w:rsidRPr="00D101DD" w:rsidRDefault="00E26501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Supuestos contemplados en la previsión de ventas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previsión de ventas se sustenta en cinco palancas operadas en paralelo: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Crecimiento del ecommerce directo apoyado en la base de datos propia (13.000 emails + 3.400 WhatsApp) y en una mayor inversión en performance marketing con ROAS controlado.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Aumento progresivo del ticket medio mediante packs, sistemas completos y productos premium (BioSpectrum 10™, BioRegen 7™).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Activación del canal B2B (clínicas, fisioterapia, wellness, hoteles, oficinas saludables), con tickets unitarios significativamente superiores y ciclos de recompra.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Desarrollo de líneas complementarias de ingresos: consultorías, formación (Escuela Ekio) y membresía vinculada a Ekio Coach.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Inicio de la internacionalización en Portugal, Francia, Italia, Alemania y mercado hispano a partir de 2027.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hipótesis de salto 2025 (78.000 €) → 2026 (450.000 €) es coherente con la inyección de stock, marketing y equipo prevista, y con la curva de adopción que ya se observa en los productos lanzados. Los siguientes saltos (2026→2027 y 2027→2028) son progresivamente menos exigentes en términos de multiplicador y se apoyan en la combinación de mayor cuota digital, activación B2B e internacionalización.</w:t>
      </w:r>
    </w:p>
    <w:p w14:paraId="34B78753" w14:textId="77777777" w:rsidR="00E7340E" w:rsidRPr="00D101DD" w:rsidRDefault="00E7340E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V</w:t>
      </w:r>
      <w:r w:rsidR="00475D9E" w:rsidRPr="00D101DD">
        <w:rPr>
          <w:rFonts w:ascii="Arial" w:hAnsi="Arial" w:cs="Arial"/>
          <w:color w:val="000000" w:themeColor="text1"/>
          <w:sz w:val="22"/>
          <w:szCs w:val="22"/>
        </w:rPr>
        <w:t>olumen de aprovisionamientos</w:t>
      </w:r>
      <w:r w:rsidRPr="00D101DD">
        <w:rPr>
          <w:rFonts w:ascii="Arial" w:hAnsi="Arial" w:cs="Arial"/>
          <w:color w:val="000000" w:themeColor="text1"/>
          <w:sz w:val="22"/>
          <w:szCs w:val="22"/>
        </w:rPr>
        <w:t xml:space="preserve"> y otros gastos de explotación.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Los aprovisionamientos se proyectan al 47% de las ventas en 2026 y 2027 y al 45% en 2028, en coherencia con un margen bruto medio del 53% (validado por datos reales de Ekio Light) y con una mejora gradual derivada de economías de escala en fabricación y compras por lotes. Los demás gastos de explotación (logística, servicios externos, marketing operativo) se modulan en función del volumen, manteniendo disciplina en el ratio marketing/ventas (20% en 2026 → 13% en 2028).</w:t>
      </w:r>
    </w:p>
    <w:p w14:paraId="4F4D0DD5" w14:textId="77777777" w:rsidR="00E7340E" w:rsidRPr="00D101DD" w:rsidRDefault="00E7340E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Evolución y coste de la plantilla.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plantilla evoluciona de forma proporcional al crecimiento, evitando estructura prematura. Las incorporaciones prioritarias contempladas en el plan son: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2026: refuerzo en producto, operaciones B2B y soporte técnico.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2027: incorporación de perfil senior B2B / internacional y de un perfil de ingeniería de producto.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2028: refuerzo en ventas internacionales, customer success y data.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coste total de personal pasa de 110.000 € (2026) a 380.000 € (2028), manteniéndose siempre por debajo del margen bruto generado [DATO A CONFIRMAR — número exacto de FTEs por año tras decisión final de organigrama].</w:t>
      </w:r>
    </w:p>
    <w:p w14:paraId="7BCE180F" w14:textId="77777777" w:rsidR="00475D9E" w:rsidRPr="00D101DD" w:rsidRDefault="00E7340E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Activación de gastos.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 prevé activar como inmovilizado intangible los gastos directamente vinculados al desarrollo del software propio Ekio Coach, la nueva generación de hardware y la propiedad industrial (PCT y derivadas), siempre que cumplan los criterios contables exigidos por el PGC. El resto de gastos de I+D, marketing y operaciones se imputarán a resultados del ejercicio.</w:t>
      </w:r>
    </w:p>
    <w:p w14:paraId="784A8B23" w14:textId="77777777" w:rsidR="00C644F1" w:rsidRPr="00D101DD" w:rsidRDefault="00C644F1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Amortización de inversiones.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 aplica una política de amortización lineal con los siguientes plazos orientativos: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Software y desarrollos digitales: 3 a 5 años.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Propiedad industrial (modelo de utilidad y PCT): vida útil estimada según extensión, con revisión anual.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Equipos electrónicos y de oficina: 4 a 6 años.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Moldes y utillaje de fabricación: 5 años.</w:t>
      </w:r>
    </w:p>
    <w:p w14:paraId="521D00E1" w14:textId="77777777" w:rsidR="00C644F1" w:rsidRPr="00D101DD" w:rsidRDefault="00C644F1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Cálculo de la variación de existencias</w:t>
      </w:r>
      <w:r w:rsidR="00E7340E" w:rsidRPr="00D101DD">
        <w:rPr>
          <w:rFonts w:ascii="Arial" w:hAnsi="Arial" w:cs="Arial"/>
          <w:color w:val="000000" w:themeColor="text1"/>
          <w:sz w:val="22"/>
          <w:szCs w:val="22"/>
        </w:rPr>
        <w:t>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Las existencias se dimensionan para garantizar un stock equivalente a entre 2 y 2,5 meses de ventas en cada ejercicio, en línea con los plazos de fabricación y tránsito desde planta. El nivel de existencias previsto evoluciona de 90.000 € (2026) a 380.000 € (2028), lo que constituye una de las principales necesidades de circulante del proyecto y justifica parcialmente la inversión solicitada.</w:t>
      </w:r>
    </w:p>
    <w:p w14:paraId="471943C6" w14:textId="77777777" w:rsidR="00507512" w:rsidRPr="00D101DD" w:rsidRDefault="00E7340E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Periodo</w:t>
      </w:r>
      <w:r w:rsidR="00507512" w:rsidRPr="00D101DD">
        <w:rPr>
          <w:rFonts w:ascii="Arial" w:hAnsi="Arial" w:cs="Arial"/>
          <w:color w:val="000000" w:themeColor="text1"/>
          <w:sz w:val="22"/>
          <w:szCs w:val="22"/>
        </w:rPr>
        <w:t xml:space="preserve"> de cobro y de pago empleado para calcular la cifra de </w:t>
      </w:r>
      <w:r w:rsidR="00C644F1" w:rsidRPr="00D101DD">
        <w:rPr>
          <w:rFonts w:ascii="Arial" w:hAnsi="Arial" w:cs="Arial"/>
          <w:color w:val="000000" w:themeColor="text1"/>
          <w:sz w:val="22"/>
          <w:szCs w:val="22"/>
        </w:rPr>
        <w:t>clientes y proveedores</w:t>
      </w:r>
      <w:r w:rsidR="00507512" w:rsidRPr="00D101DD">
        <w:rPr>
          <w:rFonts w:ascii="Arial" w:hAnsi="Arial" w:cs="Arial"/>
          <w:color w:val="000000" w:themeColor="text1"/>
          <w:sz w:val="22"/>
          <w:szCs w:val="22"/>
        </w:rPr>
        <w:t xml:space="preserve"> al final de cada ejercicio.</w:t>
      </w:r>
    </w:p>
    <w:p>
      <w:pPr>
        <w:spacing w:before="120" w:after="80" w:line="280" w:lineRule="auto"/>
        <w:ind w:left="709" w:right="-28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Periodo medio de cobro (PMC):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B2C: cobro inmediato vía pasarelas de pago, PMC ≈ 0 días.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B2B: PMC de 30 a 45 días dependiendo de la naturaleza del cliente (clínicas y centros profesionales). Se estima un PMC ponderado del orden de 10 a 12 días en 2026 y de 14 a 18 días en 2028, a medida que el B2B gane peso.</w:t>
      </w:r>
    </w:p>
    <w:p>
      <w:pPr>
        <w:spacing w:before="120" w:after="80" w:line="280" w:lineRule="auto"/>
        <w:ind w:left="709" w:right="-28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Periodo medio de pago (PMP):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Fabricación asiática: pago anticipado parcial (30% al pedido, 70% al embarque o contra documentos).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Proveedores de servicios y logística nacional: pago a 30-60 días.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saldo de clientes en balance refleja esta dinámica (15.000 € → 100.000 €), y el saldo de proveedores se ajusta de forma coherente (25.000 € → 145.000 €).</w:t>
      </w:r>
    </w:p>
    <w:p w14:paraId="3E73B114" w14:textId="77777777" w:rsidR="00C644F1" w:rsidRPr="00D101DD" w:rsidRDefault="00C644F1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 xml:space="preserve">Aportaciones y evolución del capital social.  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capital social de Ekio Bio Tech, S.L. está actualmente concentrado en el promotor [DATO A CONFIRMAR — importe exacto del capital escriturado]. Se prevé una ampliación de capital asociada a la entrada de inversión externa en el escenario recomendado (business angels y/o instrumentos públicos), con un objetivo de mantener una dilución del promotor compatible con el control estratégico del proyecto. La evolución estimada de los fondos propios en el horizonte 2026-2028 (150.000 € → 565.000 €) refleja el efecto combinado de las ampliaciones de capital y de la incorporación progresiva de beneficios retenidos.</w:t>
      </w:r>
    </w:p>
    <w:p w14:paraId="4891EDC0" w14:textId="77777777" w:rsidR="00F75280" w:rsidRPr="00D101DD" w:rsidRDefault="00C644F1" w:rsidP="00D101DD">
      <w:pPr>
        <w:pStyle w:val="Ttulo2"/>
        <w:ind w:left="709" w:right="-285"/>
        <w:rPr>
          <w:rFonts w:ascii="Arial" w:hAnsi="Arial" w:cs="Arial"/>
          <w:color w:val="000000" w:themeColor="text1"/>
          <w:sz w:val="22"/>
          <w:szCs w:val="22"/>
        </w:rPr>
      </w:pPr>
      <w:r w:rsidRPr="00D101DD">
        <w:rPr>
          <w:rFonts w:ascii="Arial" w:hAnsi="Arial" w:cs="Arial"/>
          <w:color w:val="000000" w:themeColor="text1"/>
          <w:sz w:val="22"/>
          <w:szCs w:val="22"/>
        </w:rPr>
        <w:t>Análisis y evolución de la estructura de deuda.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estructura de deuda se construye sobre dos bloques: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Deuda a largo plazo: financiación bancaria avalada (Iberaval / ICO) y préstamo participativo (ENISA u homólogo), con periodos de carencia y vencimientos compatibles con la generación de caja del proyecto.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Deuda a corto plazo: líneas de circulante para financiar stock e importaciones, con coste ajustado al diferencial de mercado.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ratio de endeudamiento se mantiene controlada (deuda financiera / fondos propios entre 0,4 y 1,0 en el periodo), reservando capacidad de apalancamiento adicional para fases posteriores de internacionalización.</w:t>
      </w:r>
    </w:p>
    <w:p>
      <w:pPr>
        <w:pStyle w:val="Ttulo1"/>
        <w:numPr>
          <w:ilvl w:val="0"/>
          <w:numId w:val="0"/>
        </w:numPr>
        <w:pBdr>
          <w:bottom w:val="single" w:sz="4" w:space="1" w:color="385623"/>
        </w:pBdr>
        <w:ind w:left="0"/>
        <w:rPr>
          <w:rFonts w:ascii="Arial" w:hAnsi="Arial" w:cs="Arial"/>
          <w:b/>
          <w:color w:val="538135"/>
          <w:sz w:val="22"/>
          <w:szCs w:val="22"/>
        </w:rPr>
      </w:pPr>
      <w:r>
        <w:rPr>
          <w:rFonts w:ascii="Arial" w:hAnsi="Arial" w:cs="Arial"/>
          <w:b/>
          <w:color w:val="538135"/>
          <w:sz w:val="22"/>
          <w:szCs w:val="22"/>
        </w:rPr>
        <w:t xml:space="preserve">DATOS PENDIENTES DE VALIDAR CON JAVIER</w:t>
      </w:r>
    </w:p>
    <w:p>
      <w:pPr>
        <w:spacing w:after="120" w:line="300" w:lineRule="auto"/>
        <w:ind w:left="709" w:right="-28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Las siguientes cifras, nombres o hipótesis se incluyen en el plan con la mejor estimación profesional posible, pero requieren validación final antes de la presentación oficial a Wolaria / ICECYL: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Capital social escriturado de Ekio Bio Tech, S.L. y porcentajes exactos de participación.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Plan detallado de contrataciones por trimestre (número y perfil de FTEs por año).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PVP final del Deep 5™ y especificaciones técnicas finales del IGNIS™.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Listado nominal de competidores directos a citar específicamente en el apartado 2.3.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Cifras secundarias de mercado (Global Wellness Institute, Grand View Research, MarketsandMarkets) para validar tamaños de oportunidad en 2.1.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Entidades concretas de investigación de Castilla y León propuestas para colaboración en el marco Wolaria (apartado 3.4).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Porcentajes definitivos del esquema de financiación (apartado 5.4) en función de los instrumentos efectivamente concedidos.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Hipótesis financieras finas (mix B2C/B2B por año, mix internacional por año, evolución detallada del LTV y CAC).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Estado documental de la extensión PCT con Air Institute (referencia, alcance reivindicado, plazos).</w:t>
      </w:r>
    </w:p>
    <w:p>
      <w:pPr>
        <w:spacing w:after="80" w:line="280" w:lineRule="auto"/>
        <w:ind w:left="1069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Symbol" w:hAnsi="Symbol"/>
          <w:sz w:val="22"/>
        </w:rPr>
        <w:t xml:space="preserve">•   </w:t>
      </w:r>
      <w:r>
        <w:rPr>
          <w:rFonts w:ascii="Arial" w:hAnsi="Arial" w:cs="Arial"/>
          <w:color w:val="000000"/>
          <w:sz w:val="22"/>
          <w:szCs w:val="22"/>
        </w:rPr>
        <w:t xml:space="preserve">Estado actual de certificaciones por producto (CE, RoHS, REACH, EMC, fotométricos) y plan de obtención de las pendientes.</w:t>
      </w:r>
    </w:p>
    <w:sectPr w:rsidR="00F75280" w:rsidRPr="00D101DD" w:rsidSect="00424850">
      <w:headerReference w:type="default" r:id="rId7"/>
      <w:footerReference w:type="default" r:id="rId8"/>
      <w:pgSz w:w="11906" w:h="16838"/>
      <w:pgMar w:top="1417" w:right="1133" w:bottom="709" w:left="1701" w:header="426" w:footer="3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FEA63" w14:textId="77777777" w:rsidR="00CC40F3" w:rsidRDefault="00CC40F3" w:rsidP="00D101DD">
      <w:pPr>
        <w:spacing w:after="0" w:line="240" w:lineRule="auto"/>
      </w:pPr>
      <w:r>
        <w:separator/>
      </w:r>
    </w:p>
  </w:endnote>
  <w:endnote w:type="continuationSeparator" w:id="0">
    <w:p w14:paraId="7FDF05F3" w14:textId="77777777" w:rsidR="00CC40F3" w:rsidRDefault="00CC40F3" w:rsidP="00D10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2196994"/>
      <w:docPartObj>
        <w:docPartGallery w:val="Page Numbers (Bottom of Page)"/>
        <w:docPartUnique/>
      </w:docPartObj>
    </w:sdtPr>
    <w:sdtEndPr>
      <w:rPr>
        <w:rFonts w:ascii="Arial" w:hAnsi="Arial" w:cs="Arial"/>
        <w:sz w:val="16"/>
        <w:szCs w:val="16"/>
      </w:rPr>
    </w:sdtEndPr>
    <w:sdtContent>
      <w:p w14:paraId="6DAFDFAB" w14:textId="77777777" w:rsidR="00BB382C" w:rsidRPr="00BB382C" w:rsidRDefault="00BB382C">
        <w:pPr>
          <w:pStyle w:val="Piedepgina"/>
          <w:jc w:val="right"/>
          <w:rPr>
            <w:rFonts w:ascii="Arial" w:hAnsi="Arial" w:cs="Arial"/>
            <w:sz w:val="16"/>
            <w:szCs w:val="16"/>
          </w:rPr>
        </w:pPr>
        <w:r w:rsidRPr="00BB382C">
          <w:rPr>
            <w:rFonts w:ascii="Arial" w:hAnsi="Arial" w:cs="Arial"/>
            <w:sz w:val="16"/>
            <w:szCs w:val="16"/>
          </w:rPr>
          <w:fldChar w:fldCharType="begin"/>
        </w:r>
        <w:r w:rsidRPr="00BB382C">
          <w:rPr>
            <w:rFonts w:ascii="Arial" w:hAnsi="Arial" w:cs="Arial"/>
            <w:sz w:val="16"/>
            <w:szCs w:val="16"/>
          </w:rPr>
          <w:instrText>PAGE   \* MERGEFORMAT</w:instrText>
        </w:r>
        <w:r w:rsidRPr="00BB382C">
          <w:rPr>
            <w:rFonts w:ascii="Arial" w:hAnsi="Arial" w:cs="Arial"/>
            <w:sz w:val="16"/>
            <w:szCs w:val="16"/>
          </w:rPr>
          <w:fldChar w:fldCharType="separate"/>
        </w:r>
        <w:r w:rsidR="003B12BF">
          <w:rPr>
            <w:rFonts w:ascii="Arial" w:hAnsi="Arial" w:cs="Arial"/>
            <w:noProof/>
            <w:sz w:val="16"/>
            <w:szCs w:val="16"/>
          </w:rPr>
          <w:t>2</w:t>
        </w:r>
        <w:r w:rsidRPr="00BB382C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F248FEC" w14:textId="77777777" w:rsidR="00BB382C" w:rsidRDefault="00BB38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C3083" w14:textId="77777777" w:rsidR="00CC40F3" w:rsidRDefault="00CC40F3" w:rsidP="00D101DD">
      <w:pPr>
        <w:spacing w:after="0" w:line="240" w:lineRule="auto"/>
      </w:pPr>
      <w:r>
        <w:separator/>
      </w:r>
    </w:p>
  </w:footnote>
  <w:footnote w:type="continuationSeparator" w:id="0">
    <w:p w14:paraId="34EDB730" w14:textId="77777777" w:rsidR="00CC40F3" w:rsidRDefault="00CC40F3" w:rsidP="00D10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67" w:type="dxa"/>
      <w:tblInd w:w="-1276" w:type="dxa"/>
      <w:tblLayout w:type="fixed"/>
      <w:tblLook w:val="01E0" w:firstRow="1" w:lastRow="1" w:firstColumn="1" w:lastColumn="1" w:noHBand="0" w:noVBand="0"/>
    </w:tblPr>
    <w:tblGrid>
      <w:gridCol w:w="4962"/>
      <w:gridCol w:w="1843"/>
      <w:gridCol w:w="3862"/>
    </w:tblGrid>
    <w:tr w:rsidR="00BB382C" w14:paraId="72EFC262" w14:textId="77777777" w:rsidTr="000E3DA4">
      <w:trPr>
        <w:trHeight w:val="1421"/>
      </w:trPr>
      <w:tc>
        <w:tcPr>
          <w:tcW w:w="4962" w:type="dxa"/>
        </w:tcPr>
        <w:p w14:paraId="7972EBE7" w14:textId="31F6BDA6" w:rsidR="00BB382C" w:rsidRPr="003D64F8" w:rsidRDefault="00BB382C" w:rsidP="00BB382C">
          <w:pPr>
            <w:ind w:firstLine="709"/>
            <w:rPr>
              <w:sz w:val="38"/>
              <w:szCs w:val="38"/>
            </w:rPr>
          </w:pPr>
        </w:p>
        <w:p w14:paraId="48D101FE" w14:textId="0CC4AE7F" w:rsidR="00BB382C" w:rsidRDefault="00EF367E" w:rsidP="000E3DA4">
          <w:pPr>
            <w:ind w:right="-697"/>
          </w:pPr>
          <w:r>
            <w:rPr>
              <w:noProof/>
              <w:lang w:eastAsia="es-ES"/>
            </w:rPr>
            <w:drawing>
              <wp:inline distT="0" distB="0" distL="0" distR="0" wp14:anchorId="7841B8A3" wp14:editId="3616338E">
                <wp:extent cx="2341245" cy="756285"/>
                <wp:effectExtent l="0" t="0" r="1905" b="5715"/>
                <wp:docPr id="51332710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41245" cy="756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</w:tcPr>
        <w:p w14:paraId="15463788" w14:textId="77777777" w:rsidR="00BB382C" w:rsidRPr="00EA5336" w:rsidRDefault="00BB382C" w:rsidP="00BB382C">
          <w:pPr>
            <w:jc w:val="center"/>
            <w:rPr>
              <w:sz w:val="16"/>
              <w:szCs w:val="16"/>
            </w:rPr>
          </w:pPr>
        </w:p>
      </w:tc>
      <w:tc>
        <w:tcPr>
          <w:tcW w:w="3862" w:type="dxa"/>
          <w:vAlign w:val="bottom"/>
        </w:tcPr>
        <w:p w14:paraId="41CD101B" w14:textId="73FCC5F6" w:rsidR="00BB382C" w:rsidRDefault="00424850" w:rsidP="00BB382C">
          <w:pPr>
            <w:ind w:right="33"/>
            <w:jc w:val="right"/>
          </w:pPr>
          <w:r>
            <w:rPr>
              <w:noProof/>
            </w:rPr>
            <w:drawing>
              <wp:inline distT="0" distB="0" distL="0" distR="0" wp14:anchorId="43435CE3" wp14:editId="576FDA88">
                <wp:extent cx="1972310" cy="821165"/>
                <wp:effectExtent l="0" t="0" r="8890" b="0"/>
                <wp:docPr id="208659964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359302" name="Imagen 62135930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558" cy="8221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011CFD" w14:textId="04915EC0" w:rsidR="00BB382C" w:rsidRDefault="00424850" w:rsidP="00424850">
    <w:pPr>
      <w:pStyle w:val="Encabezado"/>
      <w:ind w:left="-993"/>
      <w:jc w:val="right"/>
    </w:pPr>
    <w:r>
      <w:t>Ed.</w:t>
    </w:r>
    <w:proofErr w:type="gramStart"/>
    <w:r>
      <w:t>;  29</w:t>
    </w:r>
    <w:proofErr w:type="gramEnd"/>
    <w:r>
      <w:t>/07/25</w:t>
    </w:r>
  </w:p>
  <w:p w14:paraId="0CC20BA0" w14:textId="77777777" w:rsidR="00BB382C" w:rsidRDefault="00BB382C" w:rsidP="00BB382C">
    <w:pPr>
      <w:pStyle w:val="Encabezado"/>
      <w:ind w:left="-993"/>
    </w:pPr>
  </w:p>
  <w:p w14:paraId="0B44BA64" w14:textId="77777777" w:rsidR="00BB382C" w:rsidRDefault="00BB382C" w:rsidP="00BB382C">
    <w:pPr>
      <w:pStyle w:val="Encabezado"/>
      <w:ind w:left="-99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170DF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20693057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5FE"/>
    <w:rsid w:val="000021A8"/>
    <w:rsid w:val="0003062C"/>
    <w:rsid w:val="00054975"/>
    <w:rsid w:val="0007225A"/>
    <w:rsid w:val="00084600"/>
    <w:rsid w:val="00085BFA"/>
    <w:rsid w:val="000A5D78"/>
    <w:rsid w:val="000B08D6"/>
    <w:rsid w:val="000B178D"/>
    <w:rsid w:val="000B344B"/>
    <w:rsid w:val="000C5193"/>
    <w:rsid w:val="000D2EB5"/>
    <w:rsid w:val="000D5952"/>
    <w:rsid w:val="000E3DA4"/>
    <w:rsid w:val="000F26A6"/>
    <w:rsid w:val="00102272"/>
    <w:rsid w:val="00106FA7"/>
    <w:rsid w:val="001172C9"/>
    <w:rsid w:val="00131408"/>
    <w:rsid w:val="00134B93"/>
    <w:rsid w:val="00144351"/>
    <w:rsid w:val="00151BEA"/>
    <w:rsid w:val="001745FE"/>
    <w:rsid w:val="001C5CA1"/>
    <w:rsid w:val="001C751A"/>
    <w:rsid w:val="001D2A8F"/>
    <w:rsid w:val="001E1011"/>
    <w:rsid w:val="001E1859"/>
    <w:rsid w:val="001E4A4E"/>
    <w:rsid w:val="001F08C6"/>
    <w:rsid w:val="001F459A"/>
    <w:rsid w:val="001F7030"/>
    <w:rsid w:val="00211270"/>
    <w:rsid w:val="00214CAA"/>
    <w:rsid w:val="00216C24"/>
    <w:rsid w:val="002271F5"/>
    <w:rsid w:val="00241557"/>
    <w:rsid w:val="00283CB8"/>
    <w:rsid w:val="002A7F47"/>
    <w:rsid w:val="002B37FD"/>
    <w:rsid w:val="002E125F"/>
    <w:rsid w:val="00307DB4"/>
    <w:rsid w:val="00315A4E"/>
    <w:rsid w:val="00316108"/>
    <w:rsid w:val="00316F43"/>
    <w:rsid w:val="003373F2"/>
    <w:rsid w:val="0035136A"/>
    <w:rsid w:val="00356B99"/>
    <w:rsid w:val="00357BF2"/>
    <w:rsid w:val="0036743F"/>
    <w:rsid w:val="00373D13"/>
    <w:rsid w:val="003A1B1B"/>
    <w:rsid w:val="003A5290"/>
    <w:rsid w:val="003B12BF"/>
    <w:rsid w:val="003B44F1"/>
    <w:rsid w:val="003B61B8"/>
    <w:rsid w:val="003C180C"/>
    <w:rsid w:val="003C240B"/>
    <w:rsid w:val="003C4974"/>
    <w:rsid w:val="003C58AC"/>
    <w:rsid w:val="003D48BD"/>
    <w:rsid w:val="003D58F4"/>
    <w:rsid w:val="003E0B55"/>
    <w:rsid w:val="003E5FC7"/>
    <w:rsid w:val="003E6E89"/>
    <w:rsid w:val="003F2F9D"/>
    <w:rsid w:val="003F617A"/>
    <w:rsid w:val="00424850"/>
    <w:rsid w:val="0043289B"/>
    <w:rsid w:val="0043493E"/>
    <w:rsid w:val="00454E48"/>
    <w:rsid w:val="00455DC1"/>
    <w:rsid w:val="00463607"/>
    <w:rsid w:val="00473DD8"/>
    <w:rsid w:val="00475D9E"/>
    <w:rsid w:val="00476D8F"/>
    <w:rsid w:val="004919A7"/>
    <w:rsid w:val="004948B5"/>
    <w:rsid w:val="00497299"/>
    <w:rsid w:val="004A14BC"/>
    <w:rsid w:val="004C2C5C"/>
    <w:rsid w:val="004C3280"/>
    <w:rsid w:val="004D2F6B"/>
    <w:rsid w:val="004E740A"/>
    <w:rsid w:val="00507512"/>
    <w:rsid w:val="005178CF"/>
    <w:rsid w:val="00527BC2"/>
    <w:rsid w:val="00543A43"/>
    <w:rsid w:val="0055078E"/>
    <w:rsid w:val="00555789"/>
    <w:rsid w:val="00555F6F"/>
    <w:rsid w:val="00560B48"/>
    <w:rsid w:val="00577FC1"/>
    <w:rsid w:val="00580A10"/>
    <w:rsid w:val="00585BF2"/>
    <w:rsid w:val="00586588"/>
    <w:rsid w:val="005A5A19"/>
    <w:rsid w:val="005B081B"/>
    <w:rsid w:val="005C218C"/>
    <w:rsid w:val="005C637C"/>
    <w:rsid w:val="005D0CF3"/>
    <w:rsid w:val="005D13DF"/>
    <w:rsid w:val="005D21D4"/>
    <w:rsid w:val="005E34F5"/>
    <w:rsid w:val="005F7B4D"/>
    <w:rsid w:val="006327CA"/>
    <w:rsid w:val="00647E6D"/>
    <w:rsid w:val="006515D1"/>
    <w:rsid w:val="006709D0"/>
    <w:rsid w:val="00673B75"/>
    <w:rsid w:val="00674995"/>
    <w:rsid w:val="00675B08"/>
    <w:rsid w:val="00676B03"/>
    <w:rsid w:val="00680D97"/>
    <w:rsid w:val="00682CB6"/>
    <w:rsid w:val="00697DB9"/>
    <w:rsid w:val="006B02C7"/>
    <w:rsid w:val="006C0853"/>
    <w:rsid w:val="006C729A"/>
    <w:rsid w:val="006D0020"/>
    <w:rsid w:val="006D15DE"/>
    <w:rsid w:val="006E4310"/>
    <w:rsid w:val="006F5F6B"/>
    <w:rsid w:val="006F6C19"/>
    <w:rsid w:val="006F763B"/>
    <w:rsid w:val="00701058"/>
    <w:rsid w:val="00703F58"/>
    <w:rsid w:val="00733622"/>
    <w:rsid w:val="00742CF5"/>
    <w:rsid w:val="00742F26"/>
    <w:rsid w:val="007544FD"/>
    <w:rsid w:val="007602F4"/>
    <w:rsid w:val="00760AF1"/>
    <w:rsid w:val="00773C1A"/>
    <w:rsid w:val="00786EAE"/>
    <w:rsid w:val="0079263D"/>
    <w:rsid w:val="00797AC5"/>
    <w:rsid w:val="007A046A"/>
    <w:rsid w:val="007D4B1B"/>
    <w:rsid w:val="007E6F29"/>
    <w:rsid w:val="007F6BAF"/>
    <w:rsid w:val="00816665"/>
    <w:rsid w:val="008318D8"/>
    <w:rsid w:val="00842269"/>
    <w:rsid w:val="00862059"/>
    <w:rsid w:val="00877E6F"/>
    <w:rsid w:val="00882782"/>
    <w:rsid w:val="00885931"/>
    <w:rsid w:val="00894111"/>
    <w:rsid w:val="008A0A03"/>
    <w:rsid w:val="008B133C"/>
    <w:rsid w:val="008B1E5D"/>
    <w:rsid w:val="008C068F"/>
    <w:rsid w:val="008C3FC7"/>
    <w:rsid w:val="008C4E02"/>
    <w:rsid w:val="008E04D2"/>
    <w:rsid w:val="008E19E3"/>
    <w:rsid w:val="008E684F"/>
    <w:rsid w:val="008E76D0"/>
    <w:rsid w:val="008F2E92"/>
    <w:rsid w:val="008F5DF7"/>
    <w:rsid w:val="009076C3"/>
    <w:rsid w:val="0092645E"/>
    <w:rsid w:val="00937545"/>
    <w:rsid w:val="00942273"/>
    <w:rsid w:val="00964628"/>
    <w:rsid w:val="00970F18"/>
    <w:rsid w:val="00972EB8"/>
    <w:rsid w:val="00976533"/>
    <w:rsid w:val="0099797B"/>
    <w:rsid w:val="009A4BC3"/>
    <w:rsid w:val="009C6B60"/>
    <w:rsid w:val="009D2EE8"/>
    <w:rsid w:val="009E2F57"/>
    <w:rsid w:val="009E5926"/>
    <w:rsid w:val="009E5AD4"/>
    <w:rsid w:val="009F12EF"/>
    <w:rsid w:val="00A11504"/>
    <w:rsid w:val="00A133E2"/>
    <w:rsid w:val="00A20864"/>
    <w:rsid w:val="00A25348"/>
    <w:rsid w:val="00A2779C"/>
    <w:rsid w:val="00A3117B"/>
    <w:rsid w:val="00A43EB9"/>
    <w:rsid w:val="00A4593C"/>
    <w:rsid w:val="00A50FE1"/>
    <w:rsid w:val="00A6079B"/>
    <w:rsid w:val="00A73B7E"/>
    <w:rsid w:val="00A74200"/>
    <w:rsid w:val="00A90952"/>
    <w:rsid w:val="00AA55BF"/>
    <w:rsid w:val="00AA6F45"/>
    <w:rsid w:val="00AC0361"/>
    <w:rsid w:val="00AC3AE3"/>
    <w:rsid w:val="00AC71E7"/>
    <w:rsid w:val="00AC7FBD"/>
    <w:rsid w:val="00AD04B9"/>
    <w:rsid w:val="00AD57CB"/>
    <w:rsid w:val="00AE6672"/>
    <w:rsid w:val="00AF38A7"/>
    <w:rsid w:val="00B001AF"/>
    <w:rsid w:val="00B13B21"/>
    <w:rsid w:val="00B146D0"/>
    <w:rsid w:val="00B23504"/>
    <w:rsid w:val="00B24951"/>
    <w:rsid w:val="00B353E2"/>
    <w:rsid w:val="00B45AAA"/>
    <w:rsid w:val="00B45F11"/>
    <w:rsid w:val="00B4750C"/>
    <w:rsid w:val="00B51AC6"/>
    <w:rsid w:val="00B53B95"/>
    <w:rsid w:val="00B60C22"/>
    <w:rsid w:val="00B67EC3"/>
    <w:rsid w:val="00BA13BD"/>
    <w:rsid w:val="00BA6644"/>
    <w:rsid w:val="00BB382C"/>
    <w:rsid w:val="00BE33D3"/>
    <w:rsid w:val="00BF1AB9"/>
    <w:rsid w:val="00BF481F"/>
    <w:rsid w:val="00C006A0"/>
    <w:rsid w:val="00C023AA"/>
    <w:rsid w:val="00C25269"/>
    <w:rsid w:val="00C304E2"/>
    <w:rsid w:val="00C3274E"/>
    <w:rsid w:val="00C344A7"/>
    <w:rsid w:val="00C5338A"/>
    <w:rsid w:val="00C620A8"/>
    <w:rsid w:val="00C644F1"/>
    <w:rsid w:val="00C679E1"/>
    <w:rsid w:val="00C72F11"/>
    <w:rsid w:val="00C74564"/>
    <w:rsid w:val="00C77A3A"/>
    <w:rsid w:val="00C84CBD"/>
    <w:rsid w:val="00C90156"/>
    <w:rsid w:val="00CA4A1A"/>
    <w:rsid w:val="00CC40F3"/>
    <w:rsid w:val="00CD5499"/>
    <w:rsid w:val="00CF3482"/>
    <w:rsid w:val="00CF3880"/>
    <w:rsid w:val="00D101DD"/>
    <w:rsid w:val="00D423F6"/>
    <w:rsid w:val="00D44C44"/>
    <w:rsid w:val="00D60DA5"/>
    <w:rsid w:val="00D70B7F"/>
    <w:rsid w:val="00D92A37"/>
    <w:rsid w:val="00DC0580"/>
    <w:rsid w:val="00DE346E"/>
    <w:rsid w:val="00DE669B"/>
    <w:rsid w:val="00DE6E17"/>
    <w:rsid w:val="00DE7A12"/>
    <w:rsid w:val="00E07BEC"/>
    <w:rsid w:val="00E12440"/>
    <w:rsid w:val="00E26501"/>
    <w:rsid w:val="00E42BA2"/>
    <w:rsid w:val="00E54316"/>
    <w:rsid w:val="00E7340E"/>
    <w:rsid w:val="00E90AE9"/>
    <w:rsid w:val="00EA40CE"/>
    <w:rsid w:val="00EA70CB"/>
    <w:rsid w:val="00EE00AD"/>
    <w:rsid w:val="00EE278F"/>
    <w:rsid w:val="00EE62E1"/>
    <w:rsid w:val="00EF367E"/>
    <w:rsid w:val="00EF3AB7"/>
    <w:rsid w:val="00F13F2A"/>
    <w:rsid w:val="00F179CC"/>
    <w:rsid w:val="00F232A8"/>
    <w:rsid w:val="00F334C0"/>
    <w:rsid w:val="00F474F5"/>
    <w:rsid w:val="00F560C1"/>
    <w:rsid w:val="00F5718A"/>
    <w:rsid w:val="00F57D84"/>
    <w:rsid w:val="00F617C7"/>
    <w:rsid w:val="00F75280"/>
    <w:rsid w:val="00F7534A"/>
    <w:rsid w:val="00F86F3D"/>
    <w:rsid w:val="00F951F6"/>
    <w:rsid w:val="00F96E5F"/>
    <w:rsid w:val="00FA707F"/>
    <w:rsid w:val="00FC1119"/>
    <w:rsid w:val="00FD74E9"/>
    <w:rsid w:val="00FD7AB2"/>
    <w:rsid w:val="00FE024B"/>
    <w:rsid w:val="00FF2B83"/>
    <w:rsid w:val="00FF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C7D13"/>
  <w15:chartTrackingRefBased/>
  <w15:docId w15:val="{039BE8D4-57AF-4F63-A188-390B0955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EC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7EC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EC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E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EC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EC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EC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EC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EC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E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67E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E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EC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EC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EC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EC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EC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EC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B67EC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9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efault">
    <w:name w:val="Default"/>
    <w:rsid w:val="005178C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Fuentedeprrafopredeter"/>
    <w:rsid w:val="00475D9E"/>
  </w:style>
  <w:style w:type="paragraph" w:styleId="Textodeglobo">
    <w:name w:val="Balloon Text"/>
    <w:basedOn w:val="Normal"/>
    <w:link w:val="TextodegloboCar"/>
    <w:uiPriority w:val="99"/>
    <w:semiHidden/>
    <w:unhideWhenUsed/>
    <w:rsid w:val="00CA4A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4A1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101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01DD"/>
  </w:style>
  <w:style w:type="paragraph" w:styleId="Piedepgina">
    <w:name w:val="footer"/>
    <w:basedOn w:val="Normal"/>
    <w:link w:val="PiedepginaCar"/>
    <w:uiPriority w:val="99"/>
    <w:unhideWhenUsed/>
    <w:rsid w:val="00D101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0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6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4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1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307</Words>
  <Characters>1691</Characters>
  <Application>Microsoft Office Word</Application>
  <DocSecurity>4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Sánchez Vadillo</dc:creator>
  <cp:keywords/>
  <dc:description/>
  <cp:lastModifiedBy>Marta de Pedro Vicente</cp:lastModifiedBy>
  <cp:revision>2</cp:revision>
  <cp:lastPrinted>2017-11-24T10:15:00Z</cp:lastPrinted>
  <dcterms:created xsi:type="dcterms:W3CDTF">2025-08-04T11:20:00Z</dcterms:created>
  <dcterms:modified xsi:type="dcterms:W3CDTF">2025-08-04T11:20:00Z</dcterms:modified>
</cp:coreProperties>
</file>