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Georgia" w:cs="Georgia" w:eastAsia="Georgia" w:hAnsi="Georgia"/>
          <w:b/>
          <w:bCs/>
          <w:color w:val="122638"/>
          <w:spacing w:val="60"/>
          <w:sz w:val="44"/>
          <w:szCs w:val="44"/>
        </w:rPr>
        <w:t xml:space="preserve">EKIO</w:t>
      </w:r>
    </w:p>
    <w:p>
      <w:pPr>
        <w:spacing w:after="0" w:before="40"/>
        <w:jc w:val="center"/>
      </w:pPr>
      <w:r>
        <w:rPr>
          <w:rFonts w:ascii="Helvetica Neue" w:cs="Helvetica Neue" w:eastAsia="Helvetica Neue" w:hAnsi="Helvetica Neue"/>
          <w:b/>
          <w:bCs/>
          <w:color w:val="64707C"/>
          <w:sz w:val="13"/>
          <w:szCs w:val="13"/>
        </w:rPr>
        <w:t xml:space="preserve">E L E C T R O S M O G   E S P A Ñ A</w:t>
      </w:r>
    </w:p>
    <w:p>
      <w:pPr>
        <w:pBdr>
          <w:bottom w:val="single" w:color="E7A84D" w:sz="12" w:space="1"/>
        </w:pBdr>
        <w:spacing w:after="0" w:before="260"/>
        <w:jc w:val="center"/>
      </w:pPr>
      <w:r>
        <w:rPr>
          <w:rFonts w:ascii="Helvetica Neue" w:cs="Helvetica Neue" w:eastAsia="Helvetica Neue" w:hAnsi="Helvetica Neue"/>
          <w:sz w:val="2"/>
          <w:szCs w:val="2"/>
        </w:rPr>
        <w:t xml:space="preserve"/>
      </w:r>
    </w:p>
    <w:p>
      <w:pPr>
        <w:spacing w:after="0" w:before="700"/>
        <w:jc w:val="center"/>
      </w:pPr>
      <w:r>
        <w:rPr>
          <w:rFonts w:ascii="Georgia" w:cs="Georgia" w:eastAsia="Georgia" w:hAnsi="Georgia"/>
          <w:b/>
          <w:bCs/>
          <w:color w:val="122638"/>
          <w:sz w:val="54"/>
          <w:szCs w:val="54"/>
        </w:rPr>
        <w:t xml:space="preserve">PLAN DE EMPRESA</w:t>
      </w:r>
    </w:p>
    <w:p>
      <w:pPr>
        <w:spacing w:after="0" w:before="180"/>
        <w:jc w:val="center"/>
      </w:pPr>
      <w:r>
        <w:rPr>
          <w:rFonts w:ascii="Georgia" w:cs="Georgia" w:eastAsia="Georgia" w:hAnsi="Georgia"/>
          <w:color w:val="1D5366"/>
          <w:sz w:val="30"/>
          <w:szCs w:val="30"/>
        </w:rPr>
        <w:t xml:space="preserve">Solicitud de cuenta de crédito</w:t>
      </w:r>
    </w:p>
    <w:p>
      <w:pPr>
        <w:spacing w:after="0" w:before="100"/>
        <w:jc w:val="center"/>
      </w:pPr>
      <w:r>
        <w:rPr>
          <w:rFonts w:ascii="Helvetica Neue" w:cs="Helvetica Neue" w:eastAsia="Helvetica Neue" w:hAnsi="Helvetica Neue"/>
          <w:color w:val="64707C"/>
          <w:sz w:val="22"/>
          <w:szCs w:val="22"/>
        </w:rPr>
        <w:t xml:space="preserve">Línea de circulante para financiación de existencias</w:t>
      </w:r>
    </w:p>
    <w:p>
      <w:pPr>
        <w:spacing w:after="0" w:before="30"/>
        <w:jc w:val="center"/>
      </w:pPr>
      <w:r>
        <w:rPr>
          <w:rFonts w:ascii="Helvetica Neue" w:cs="Helvetica Neue" w:eastAsia="Helvetica Neue" w:hAnsi="Helvetica Neue"/>
          <w:b/>
          <w:bCs/>
          <w:color w:val="9B661E"/>
          <w:sz w:val="22"/>
          <w:szCs w:val="22"/>
        </w:rPr>
        <w:t xml:space="preserve">CaixaBank Now</w:t>
      </w:r>
    </w:p>
    <w:p>
      <w:pPr>
        <w:spacing w:after="0" w:before="1100"/>
        <w:jc w:val="center"/>
      </w:pPr>
      <w:r>
        <w:rPr>
          <w:rFonts w:ascii="Helvetica Neue" w:cs="Helvetica Neue" w:eastAsia="Helvetica Neue" w:hAnsi="Helvetica Neue"/>
          <w:b/>
          <w:bCs/>
          <w:color w:val="122638"/>
          <w:sz w:val="30"/>
          <w:szCs w:val="30"/>
        </w:rPr>
        <w:t xml:space="preserve">EKIO BIOTECH, S.L.U.</w:t>
      </w:r>
    </w:p>
    <w:p>
      <w:pPr>
        <w:spacing w:after="0" w:before="70"/>
        <w:jc w:val="center"/>
      </w:pPr>
      <w:r>
        <w:rPr>
          <w:rFonts w:ascii="Helvetica Neue" w:cs="Helvetica Neue" w:eastAsia="Helvetica Neue" w:hAnsi="Helvetica Neue"/>
          <w:color w:val="64707C"/>
          <w:sz w:val="20"/>
          <w:szCs w:val="20"/>
        </w:rPr>
        <w:t xml:space="preserve">CIF B93860096  ·  Barrio de Arriba 39, 49327 Cubo de Benavente (Zamora)</w:t>
      </w:r>
    </w:p>
    <w:p>
      <w:pPr>
        <w:spacing w:after="0" w:before="900"/>
        <w:jc w:val="center"/>
      </w:pPr>
      <w:r>
        <w:rPr>
          <w:rFonts w:ascii="Helvetica Neue" w:cs="Helvetica Neue" w:eastAsia="Helvetica Neue" w:hAnsi="Helvetica Neue"/>
          <w:color w:val="64707C"/>
          <w:sz w:val="20"/>
          <w:szCs w:val="20"/>
        </w:rPr>
        <w:t xml:space="preserve">30 de agosto de 2026</w:t>
      </w:r>
    </w:p>
    <w:p>
      <w:pPr>
        <w:spacing w:after="0" w:before="40"/>
        <w:jc w:val="center"/>
      </w:pPr>
      <w:r>
        <w:rPr>
          <w:rFonts w:ascii="Helvetica Neue" w:cs="Helvetica Neue" w:eastAsia="Helvetica Neue" w:hAnsi="Helvetica Neue"/>
          <w:i/>
          <w:iCs/>
          <w:color w:val="64707C"/>
          <w:sz w:val="17"/>
          <w:szCs w:val="17"/>
        </w:rPr>
        <w:t xml:space="preserve">Documento confidencial — uso exclusivo para evaluación de riesgos de CaixaBank</w:t>
      </w:r>
    </w:p>
    <w:p>
      <w:r>
        <w:br w:type="page"/>
      </w:r>
    </w:p>
    <w:p>
      <w:pPr>
        <w:pStyle w:val="Heading1"/>
        <w:spacing w:after="160"/>
      </w:pPr>
      <w:r>
        <w:rPr>
          <w:rFonts w:ascii="Georgia" w:cs="Georgia" w:eastAsia="Georgia" w:hAnsi="Georgia"/>
          <w:b/>
          <w:bCs/>
          <w:color w:val="122638"/>
          <w:sz w:val="30"/>
          <w:szCs w:val="30"/>
        </w:rPr>
        <w:t xml:space="preserve">Índice</w:t>
      </w:r>
    </w:p>
    <w:p>
      <w:pPr>
        <w:tabs>
          <w:tab w:val="left" w:pos="340"/>
        </w:tabs>
        <w:spacing w:after="130" w:line="276"/>
        <w:ind w:left="340" w:hanging="340"/>
      </w:pPr>
      <w:r>
        <w:rPr>
          <w:rFonts w:ascii="Georgia" w:cs="Georgia" w:eastAsia="Georgia" w:hAnsi="Georgia"/>
          <w:b/>
          <w:bCs/>
          <w:color w:val="9B661E"/>
          <w:sz w:val="22"/>
          <w:szCs w:val="22"/>
        </w:rPr>
        <w:t xml:space="preserve">1.</w:t>
      </w:r>
      <w:r>
        <w:rPr>
          <w:rFonts w:ascii="Helvetica Neue" w:cs="Helvetica Neue" w:eastAsia="Helvetica Neue" w:hAnsi="Helvetica Neue"/>
          <w:color w:val="122638"/>
          <w:sz w:val="22"/>
          <w:szCs w:val="22"/>
        </w:rPr>
        <w:t xml:space="preserve">	Datos de la empresa</w:t>
      </w:r>
    </w:p>
    <w:p>
      <w:pPr>
        <w:tabs>
          <w:tab w:val="left" w:pos="340"/>
        </w:tabs>
        <w:spacing w:after="130" w:line="276"/>
        <w:ind w:left="340" w:hanging="340"/>
      </w:pPr>
      <w:r>
        <w:rPr>
          <w:rFonts w:ascii="Georgia" w:cs="Georgia" w:eastAsia="Georgia" w:hAnsi="Georgia"/>
          <w:b/>
          <w:bCs/>
          <w:color w:val="9B661E"/>
          <w:sz w:val="22"/>
          <w:szCs w:val="22"/>
        </w:rPr>
        <w:t xml:space="preserve">2.</w:t>
      </w:r>
      <w:r>
        <w:rPr>
          <w:rFonts w:ascii="Helvetica Neue" w:cs="Helvetica Neue" w:eastAsia="Helvetica Neue" w:hAnsi="Helvetica Neue"/>
          <w:color w:val="122638"/>
          <w:sz w:val="22"/>
          <w:szCs w:val="22"/>
        </w:rPr>
        <w:t xml:space="preserve">	Resumen ejecutivo</w:t>
      </w:r>
    </w:p>
    <w:p>
      <w:pPr>
        <w:tabs>
          <w:tab w:val="left" w:pos="340"/>
        </w:tabs>
        <w:spacing w:after="130" w:line="276"/>
        <w:ind w:left="340" w:hanging="340"/>
      </w:pPr>
      <w:r>
        <w:rPr>
          <w:rFonts w:ascii="Georgia" w:cs="Georgia" w:eastAsia="Georgia" w:hAnsi="Georgia"/>
          <w:b/>
          <w:bCs/>
          <w:color w:val="9B661E"/>
          <w:sz w:val="22"/>
          <w:szCs w:val="22"/>
        </w:rPr>
        <w:t xml:space="preserve">3.</w:t>
      </w:r>
      <w:r>
        <w:rPr>
          <w:rFonts w:ascii="Helvetica Neue" w:cs="Helvetica Neue" w:eastAsia="Helvetica Neue" w:hAnsi="Helvetica Neue"/>
          <w:color w:val="122638"/>
          <w:sz w:val="22"/>
          <w:szCs w:val="22"/>
        </w:rPr>
        <w:t xml:space="preserve">	Trayectoria y equipo</w:t>
      </w:r>
    </w:p>
    <w:p>
      <w:pPr>
        <w:tabs>
          <w:tab w:val="left" w:pos="340"/>
        </w:tabs>
        <w:spacing w:after="130" w:line="276"/>
        <w:ind w:left="340" w:hanging="340"/>
      </w:pPr>
      <w:r>
        <w:rPr>
          <w:rFonts w:ascii="Georgia" w:cs="Georgia" w:eastAsia="Georgia" w:hAnsi="Georgia"/>
          <w:b/>
          <w:bCs/>
          <w:color w:val="9B661E"/>
          <w:sz w:val="22"/>
          <w:szCs w:val="22"/>
        </w:rPr>
        <w:t xml:space="preserve">4.</w:t>
      </w:r>
      <w:r>
        <w:rPr>
          <w:rFonts w:ascii="Helvetica Neue" w:cs="Helvetica Neue" w:eastAsia="Helvetica Neue" w:hAnsi="Helvetica Neue"/>
          <w:color w:val="122638"/>
          <w:sz w:val="22"/>
          <w:szCs w:val="22"/>
        </w:rPr>
        <w:t xml:space="preserve">	Modelo de negocio y líneas de producto</w:t>
      </w:r>
    </w:p>
    <w:p>
      <w:pPr>
        <w:tabs>
          <w:tab w:val="left" w:pos="340"/>
        </w:tabs>
        <w:spacing w:after="130" w:line="276"/>
        <w:ind w:left="340" w:hanging="340"/>
      </w:pPr>
      <w:r>
        <w:rPr>
          <w:rFonts w:ascii="Georgia" w:cs="Georgia" w:eastAsia="Georgia" w:hAnsi="Georgia"/>
          <w:b/>
          <w:bCs/>
          <w:color w:val="9B661E"/>
          <w:sz w:val="22"/>
          <w:szCs w:val="22"/>
        </w:rPr>
        <w:t xml:space="preserve">5.</w:t>
      </w:r>
      <w:r>
        <w:rPr>
          <w:rFonts w:ascii="Helvetica Neue" w:cs="Helvetica Neue" w:eastAsia="Helvetica Neue" w:hAnsi="Helvetica Neue"/>
          <w:color w:val="122638"/>
          <w:sz w:val="22"/>
          <w:szCs w:val="22"/>
        </w:rPr>
        <w:t xml:space="preserve">	Mercado y validación externa</w:t>
      </w:r>
    </w:p>
    <w:p>
      <w:pPr>
        <w:tabs>
          <w:tab w:val="left" w:pos="340"/>
        </w:tabs>
        <w:spacing w:after="130" w:line="276"/>
        <w:ind w:left="340" w:hanging="340"/>
      </w:pPr>
      <w:r>
        <w:rPr>
          <w:rFonts w:ascii="Georgia" w:cs="Georgia" w:eastAsia="Georgia" w:hAnsi="Georgia"/>
          <w:b/>
          <w:bCs/>
          <w:color w:val="9B661E"/>
          <w:sz w:val="22"/>
          <w:szCs w:val="22"/>
        </w:rPr>
        <w:t xml:space="preserve">6.</w:t>
      </w:r>
      <w:r>
        <w:rPr>
          <w:rFonts w:ascii="Helvetica Neue" w:cs="Helvetica Neue" w:eastAsia="Helvetica Neue" w:hAnsi="Helvetica Neue"/>
          <w:color w:val="122638"/>
          <w:sz w:val="22"/>
          <w:szCs w:val="22"/>
        </w:rPr>
        <w:t xml:space="preserve">	Resultados históricos</w:t>
      </w:r>
    </w:p>
    <w:p>
      <w:pPr>
        <w:tabs>
          <w:tab w:val="left" w:pos="340"/>
        </w:tabs>
        <w:spacing w:after="130" w:line="276"/>
        <w:ind w:left="340" w:hanging="340"/>
      </w:pPr>
      <w:r>
        <w:rPr>
          <w:rFonts w:ascii="Georgia" w:cs="Georgia" w:eastAsia="Georgia" w:hAnsi="Georgia"/>
          <w:b/>
          <w:bCs/>
          <w:color w:val="9B661E"/>
          <w:sz w:val="22"/>
          <w:szCs w:val="22"/>
        </w:rPr>
        <w:t xml:space="preserve">7.</w:t>
      </w:r>
      <w:r>
        <w:rPr>
          <w:rFonts w:ascii="Helvetica Neue" w:cs="Helvetica Neue" w:eastAsia="Helvetica Neue" w:hAnsi="Helvetica Neue"/>
          <w:color w:val="122638"/>
          <w:sz w:val="22"/>
          <w:szCs w:val="22"/>
        </w:rPr>
        <w:t xml:space="preserve">	Plan comercial para los próximos 6 meses</w:t>
      </w:r>
    </w:p>
    <w:p>
      <w:pPr>
        <w:tabs>
          <w:tab w:val="left" w:pos="340"/>
        </w:tabs>
        <w:spacing w:after="130" w:line="276"/>
        <w:ind w:left="340" w:hanging="340"/>
      </w:pPr>
      <w:r>
        <w:rPr>
          <w:rFonts w:ascii="Georgia" w:cs="Georgia" w:eastAsia="Georgia" w:hAnsi="Georgia"/>
          <w:b/>
          <w:bCs/>
          <w:color w:val="9B661E"/>
          <w:sz w:val="22"/>
          <w:szCs w:val="22"/>
        </w:rPr>
        <w:t xml:space="preserve">8.</w:t>
      </w:r>
      <w:r>
        <w:rPr>
          <w:rFonts w:ascii="Helvetica Neue" w:cs="Helvetica Neue" w:eastAsia="Helvetica Neue" w:hAnsi="Helvetica Neue"/>
          <w:color w:val="122638"/>
          <w:sz w:val="22"/>
          <w:szCs w:val="22"/>
        </w:rPr>
        <w:t xml:space="preserve">	Visión y objetivos (2026–2027)</w:t>
      </w:r>
    </w:p>
    <w:p>
      <w:pPr>
        <w:tabs>
          <w:tab w:val="left" w:pos="340"/>
        </w:tabs>
        <w:spacing w:after="130" w:line="276"/>
        <w:ind w:left="340" w:hanging="340"/>
      </w:pPr>
      <w:r>
        <w:rPr>
          <w:rFonts w:ascii="Georgia" w:cs="Georgia" w:eastAsia="Georgia" w:hAnsi="Georgia"/>
          <w:b/>
          <w:bCs/>
          <w:color w:val="9B661E"/>
          <w:sz w:val="22"/>
          <w:szCs w:val="22"/>
        </w:rPr>
        <w:t xml:space="preserve">9.</w:t>
      </w:r>
      <w:r>
        <w:rPr>
          <w:rFonts w:ascii="Helvetica Neue" w:cs="Helvetica Neue" w:eastAsia="Helvetica Neue" w:hAnsi="Helvetica Neue"/>
          <w:color w:val="122638"/>
          <w:sz w:val="22"/>
          <w:szCs w:val="22"/>
        </w:rPr>
        <w:t xml:space="preserve">	Uso de los fondos solicitados</w:t>
      </w:r>
    </w:p>
    <w:p>
      <w:pPr>
        <w:tabs>
          <w:tab w:val="left" w:pos="340"/>
        </w:tabs>
        <w:spacing w:after="130" w:line="276"/>
        <w:ind w:left="340" w:hanging="340"/>
      </w:pPr>
      <w:r>
        <w:rPr>
          <w:rFonts w:ascii="Georgia" w:cs="Georgia" w:eastAsia="Georgia" w:hAnsi="Georgia"/>
          <w:b/>
          <w:bCs/>
          <w:color w:val="9B661E"/>
          <w:sz w:val="22"/>
          <w:szCs w:val="22"/>
        </w:rPr>
        <w:t xml:space="preserve">10.</w:t>
      </w:r>
      <w:r>
        <w:rPr>
          <w:rFonts w:ascii="Helvetica Neue" w:cs="Helvetica Neue" w:eastAsia="Helvetica Neue" w:hAnsi="Helvetica Neue"/>
          <w:color w:val="122638"/>
          <w:sz w:val="22"/>
          <w:szCs w:val="22"/>
        </w:rPr>
        <w:t xml:space="preserve">	Capacidad de devolución</w:t>
      </w:r>
    </w:p>
    <w:p>
      <w:pPr>
        <w:tabs>
          <w:tab w:val="left" w:pos="340"/>
        </w:tabs>
        <w:spacing w:after="130" w:line="276"/>
        <w:ind w:left="340" w:hanging="340"/>
      </w:pPr>
      <w:r>
        <w:rPr>
          <w:rFonts w:ascii="Georgia" w:cs="Georgia" w:eastAsia="Georgia" w:hAnsi="Georgia"/>
          <w:b/>
          <w:bCs/>
          <w:color w:val="9B661E"/>
          <w:sz w:val="22"/>
          <w:szCs w:val="22"/>
        </w:rPr>
        <w:t xml:space="preserve">11.</w:t>
      </w:r>
      <w:r>
        <w:rPr>
          <w:rFonts w:ascii="Helvetica Neue" w:cs="Helvetica Neue" w:eastAsia="Helvetica Neue" w:hAnsi="Helvetica Neue"/>
          <w:color w:val="122638"/>
          <w:sz w:val="22"/>
          <w:szCs w:val="22"/>
        </w:rPr>
        <w:t xml:space="preserve">	Anexos</w:t>
      </w:r>
    </w:p>
    <w:p>
      <w:r>
        <w:br w:type="page"/>
      </w:r>
    </w:p>
    <w:p>
      <w:pPr>
        <w:pStyle w:val="Heading1"/>
        <w:spacing w:after="160" w:before="320"/>
      </w:pPr>
      <w:r>
        <w:rPr>
          <w:rFonts w:ascii="Georgia" w:cs="Georgia" w:eastAsia="Georgia" w:hAnsi="Georgia"/>
          <w:b/>
          <w:bCs/>
          <w:color w:val="122638"/>
          <w:sz w:val="30"/>
          <w:szCs w:val="30"/>
        </w:rPr>
        <w:t xml:space="preserve">1. Datos de la empresa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600"/>
        <w:gridCol w:w="6426"/>
      </w:tblGrid>
      <w:tr>
        <w:trPr>
          <w:tblHeader/>
        </w:trPr>
        <w:tc>
          <w:tcPr>
            <w:tcW w:type="dxa" w:w="2600"/>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Campo</w:t>
            </w:r>
          </w:p>
        </w:tc>
        <w:tc>
          <w:tcPr>
            <w:tcW w:type="dxa" w:w="64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Dato</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Razón social</w:t>
            </w:r>
          </w:p>
        </w:tc>
        <w:tc>
          <w:tcPr>
            <w:tcW w:type="dxa" w:w="6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EKIO BIOTECH, S.L.U. (Sociedad Limitada Unipersonal)</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CIF</w:t>
            </w:r>
          </w:p>
        </w:tc>
        <w:tc>
          <w:tcPr>
            <w:tcW w:type="dxa" w:w="6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B93860096</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Domicilio social</w:t>
            </w:r>
          </w:p>
        </w:tc>
        <w:tc>
          <w:tcPr>
            <w:tcW w:type="dxa" w:w="6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Barrio de Arriba 39, 49327 Cubo de Benavente (Zamora)</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Actividad</w:t>
            </w:r>
          </w:p>
        </w:tc>
        <w:tc>
          <w:tcPr>
            <w:tcW w:type="dxa" w:w="6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Venta de tecnología de protección electromagnética (línea Spiro, en distribución)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Francisco Javier Andrés Andrés (NIF 09338115T)</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Marca comercial</w:t>
            </w:r>
          </w:p>
        </w:tc>
        <w:tc>
          <w:tcPr>
            <w:tcW w:type="dxa" w:w="6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Tienda online</w:t>
            </w:r>
          </w:p>
        </w:tc>
        <w:tc>
          <w:tcPr>
            <w:tcW w:type="dxa" w:w="6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electrosmogespana.com (plataforma Shopify)</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Constitución de la sociedad</w:t>
            </w:r>
          </w:p>
        </w:tc>
        <w:tc>
          <w:tcPr>
            <w:tcW w:type="dxa" w:w="6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Escritura de 29 de julio de 2026 (se adjunta)</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Fecha del documento</w:t>
            </w:r>
          </w:p>
        </w:tc>
        <w:tc>
          <w:tcPr>
            <w:tcW w:type="dxa" w:w="6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30 de agosto de 2026</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Persona de contacto</w:t>
            </w:r>
          </w:p>
        </w:tc>
        <w:tc>
          <w:tcPr>
            <w:tcW w:type="dxa" w:w="6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Francisco Javier Andrés Andrés · javier@electrosmogespana.com · 616 631 878</w:t>
            </w:r>
          </w:p>
        </w:tc>
      </w:tr>
    </w:tbl>
    <w:p>
      <w:pPr>
        <w:spacing w:after="80"/>
      </w:pPr>
    </w:p>
    <w:p>
      <w:pPr>
        <w:spacing w:after="120" w:line="288"/>
      </w:pPr>
      <w:r>
        <w:rPr>
          <w:rFonts w:ascii="Helvetica Neue" w:cs="Helvetica Neue" w:eastAsia="Helvetica Neue" w:hAnsi="Helvetica Neue"/>
          <w:b/>
          <w:bCs/>
          <w:sz w:val="22"/>
          <w:szCs w:val="22"/>
        </w:rPr>
        <w:t xml:space="preserve">Producto financiero solicitado: </w:t>
      </w:r>
      <w:r>
        <w:rPr>
          <w:rFonts w:ascii="Helvetica Neue" w:cs="Helvetica Neue" w:eastAsia="Helvetica Neue" w:hAnsi="Helvetica Neue"/>
          <w:sz w:val="22"/>
          <w:szCs w:val="22"/>
        </w:rPr>
        <w:t xml:space="preserve">cuenta de crédito (línea de circulante) en CaixaBank Now.</w:t>
      </w:r>
    </w:p>
    <w:p>
      <w:pPr>
        <w:spacing w:after="120" w:line="288"/>
      </w:pPr>
      <w:r>
        <w:rPr>
          <w:rFonts w:ascii="Helvetica Neue" w:cs="Helvetica Neue" w:eastAsia="Helvetica Neue" w:hAnsi="Helvetica Neue"/>
          <w:b/>
          <w:bCs/>
          <w:sz w:val="22"/>
          <w:szCs w:val="22"/>
        </w:rPr>
        <w:t xml:space="preserve">Importe solicitado: </w:t>
      </w:r>
      <w:r>
        <w:rPr>
          <w:rFonts w:ascii="Helvetica Neue" w:cs="Helvetica Neue" w:eastAsia="Helvetica Neue" w:hAnsi="Helvetica Neue"/>
          <w:sz w:val="22"/>
          <w:szCs w:val="22"/>
        </w:rPr>
        <w:t xml:space="preserve">250.000 € como límite de la línea.</w:t>
      </w:r>
    </w:p>
    <w:p>
      <w:pPr>
        <w:spacing w:after="120" w:line="288"/>
      </w:pPr>
      <w:r>
        <w:rPr>
          <w:rFonts w:ascii="Helvetica Neue" w:cs="Helvetica Neue" w:eastAsia="Helvetica Neue" w:hAnsi="Helvetica Neue"/>
          <w:b/>
          <w:bCs/>
          <w:sz w:val="22"/>
          <w:szCs w:val="22"/>
        </w:rPr>
        <w:t xml:space="preserve">Destino: </w:t>
      </w:r>
      <w:r>
        <w:rPr>
          <w:rFonts w:ascii="Helvetica Neue" w:cs="Helvetica Neue" w:eastAsia="Helvetica Neue" w:hAnsi="Helvetica Neue"/>
          <w:sz w:val="22"/>
          <w:szCs w:val="22"/>
        </w:rPr>
        <w:t xml:space="preserve">compra anticipada de existencias —filtros Spiro, paneles Ekio Light y accesorios de medición— para atender la campaña del cuarto trimestre.</w:t>
      </w:r>
    </w:p>
    <w:p>
      <w:pPr>
        <w:spacing w:after="120" w:line="288"/>
      </w:pPr>
      <w:r>
        <w:rPr>
          <w:rFonts w:ascii="Helvetica Neue" w:cs="Helvetica Neue" w:eastAsia="Helvetica Neue" w:hAnsi="Helvetica Neue"/>
          <w:b/>
          <w:bCs/>
          <w:sz w:val="22"/>
          <w:szCs w:val="22"/>
        </w:rPr>
        <w:t xml:space="preserve">Estructura: </w:t>
      </w:r>
      <w:r>
        <w:rPr>
          <w:rFonts w:ascii="Helvetica Neue" w:cs="Helvetica Neue" w:eastAsia="Helvetica Neue" w:hAnsi="Helvetica Neue"/>
          <w:sz w:val="22"/>
          <w:szCs w:val="22"/>
        </w:rPr>
        <w:t xml:space="preserve">la operación se plantea con la responsabilidad patrimonial de la sociedad, que mantiene un préstamo de 80.000 € con CaixaBank al corriente de pago (ver sección 9.4).</w:t>
      </w:r>
    </w:p>
    <w:p>
      <w:pPr>
        <w:pStyle w:val="Heading1"/>
        <w:spacing w:after="160" w:before="320"/>
      </w:pPr>
      <w:r>
        <w:rPr>
          <w:rFonts w:ascii="Georgia" w:cs="Georgia" w:eastAsia="Georgia" w:hAnsi="Georgia"/>
          <w:b/>
          <w:bCs/>
          <w:color w:val="122638"/>
          <w:sz w:val="30"/>
          <w:szCs w:val="30"/>
        </w:rPr>
        <w:t xml:space="preserve">2. Resumen ejecutivo</w:t>
      </w:r>
    </w:p>
    <w:p>
      <w:pPr>
        <w:spacing w:after="120" w:line="288"/>
      </w:pPr>
      <w:r>
        <w:rPr>
          <w:rFonts w:ascii="Helvetica Neue" w:cs="Helvetica Neue" w:eastAsia="Helvetica Neue" w:hAnsi="Helvetica Neue"/>
          <w:b/>
          <w:bCs/>
          <w:sz w:val="22"/>
          <w:szCs w:val="22"/>
        </w:rPr>
        <w:t xml:space="preserve">Quiénes somos. </w:t>
      </w:r>
      <w:r>
        <w:rPr>
          <w:rFonts w:ascii="Helvetica Neue" w:cs="Helvetica Neue" w:eastAsia="Helvetica Neue" w:hAnsi="Helvetica Neue"/>
          <w:sz w:val="22"/>
          <w:szCs w:val="22"/>
        </w:rPr>
        <w:t xml:space="preserve">Ekio vende tecnología para el bienestar desde 2023. Empezó distribuyendo en España la tecnología de protección electromagnética Spiro (Noxtak Corp., Miami) y desde 2025 tiene marca propia: Ekio Light, equipos de fotobiomodulación con diseño y especificación propios, Modelo de Utilidad registrado y software propio. La actividad se desarrolló como empresario individual (Francisco Javier Andrés Andrés) y en 2026 se aporta como negocio en funcionamiento a EKIO BIOTECH, S.L.U., que la continúa. La venta es digital, en electrosmogespana.com, y se cierra en la ficha de producto sin intervención comercial.</w:t>
      </w:r>
    </w:p>
    <w:p>
      <w:pPr>
        <w:spacing w:after="120" w:line="288"/>
      </w:pPr>
      <w:r>
        <w:rPr>
          <w:rFonts w:ascii="Helvetica Neue" w:cs="Helvetica Neue" w:eastAsia="Helvetica Neue" w:hAnsi="Helvetica Neue"/>
          <w:b/>
          <w:bCs/>
          <w:sz w:val="22"/>
          <w:szCs w:val="22"/>
        </w:rPr>
        <w:t xml:space="preserve">Qué solicitamos. </w:t>
      </w:r>
      <w:r>
        <w:rPr>
          <w:rFonts w:ascii="Helvetica Neue" w:cs="Helvetica Neue" w:eastAsia="Helvetica Neue" w:hAnsi="Helvetica Neue"/>
          <w:sz w:val="22"/>
          <w:szCs w:val="22"/>
        </w:rPr>
        <w:t xml:space="preserve">Una cuenta de crédito, con un límite solicitado de 250.000 €, para financiar la compra anticipada de stock de cara a la campaña del cuarto trimestre (ferias de octubre y campaña de Black Friday, Navidad y Reyes): filtros Spiro, paneles Ekio Light y accesorios de medición. El objetivo de ventas de esa campaña es de 350.000 € (275.000 € el año anterior). El coste del stock de campaña es de unos 195.000 €; el resto del límite es holgura para reponer las referencias más vendidas y para el stock de arranque de 2027. La empresa aporta el detalle de la compra prevista y la relación de proveedores para justificar el uso de los fondos.</w:t>
      </w:r>
    </w:p>
    <w:p>
      <w:pPr>
        <w:spacing w:after="120" w:line="288"/>
      </w:pPr>
      <w:r>
        <w:rPr>
          <w:rFonts w:ascii="Helvetica Neue" w:cs="Helvetica Neue" w:eastAsia="Helvetica Neue" w:hAnsi="Helvetica Neue"/>
          <w:b/>
          <w:bCs/>
          <w:sz w:val="22"/>
          <w:szCs w:val="22"/>
        </w:rPr>
        <w:t xml:space="preserve">Por qué la operación es solvente. </w:t>
      </w:r>
      <w:r>
        <w:rPr>
          <w:rFonts w:ascii="Helvetica Neue" w:cs="Helvetica Neue" w:eastAsia="Helvetica Neue" w:hAnsi="Helvetica Neue"/>
          <w:sz w:val="22"/>
          <w:szCs w:val="22"/>
        </w:rPr>
        <w:t xml:space="preserve">Tres ejes:</w:t>
      </w:r>
    </w:p>
    <w:p>
      <w:pPr>
        <w:pStyle w:val="ListParagraph"/>
        <w:numPr>
          <w:ilvl w:val="0"/>
          <w:numId w:val="2"/>
        </w:numPr>
        <w:spacing w:after="100" w:line="288"/>
      </w:pPr>
      <w:r>
        <w:rPr>
          <w:rFonts w:ascii="Helvetica Neue" w:cs="Helvetica Neue" w:eastAsia="Helvetica Neue" w:hAnsi="Helvetica Neue"/>
          <w:b/>
          <w:bCs/>
          <w:sz w:val="22"/>
          <w:szCs w:val="22"/>
        </w:rPr>
        <w:t xml:space="preserve">Trayectoria estable y en beneficios. </w:t>
      </w:r>
      <w:r>
        <w:rPr>
          <w:rFonts w:ascii="Helvetica Neue" w:cs="Helvetica Neue" w:eastAsia="Helvetica Neue" w:hAnsi="Helvetica Neue"/>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de 80.000 € formalizado con CaixaBank, en amortización y al corriente de pago; no hay capital de terceros ni otras líneas vivas.</w:t>
      </w:r>
    </w:p>
    <w:p>
      <w:pPr>
        <w:pStyle w:val="ListParagraph"/>
        <w:numPr>
          <w:ilvl w:val="0"/>
          <w:numId w:val="2"/>
        </w:numPr>
        <w:spacing w:after="100" w:line="288"/>
      </w:pPr>
      <w:r>
        <w:rPr>
          <w:rFonts w:ascii="Helvetica Neue" w:cs="Helvetica Neue" w:eastAsia="Helvetica Neue" w:hAnsi="Helvetica Neue"/>
          <w:b/>
          <w:bCs/>
          <w:sz w:val="22"/>
          <w:szCs w:val="22"/>
        </w:rPr>
        <w:t xml:space="preserve">Canal digital maduro y respaldo institucional. </w:t>
      </w:r>
      <w:r>
        <w:rPr>
          <w:rFonts w:ascii="Helvetica Neue" w:cs="Helvetica Neue" w:eastAsia="Helvetica Neue" w:hAnsi="Helvetica Neue"/>
          <w:sz w:val="22"/>
          <w:szCs w:val="22"/>
        </w:rPr>
        <w:t xml:space="preserve">Tres años de base de clientes y de contactos, tienda online operativa y herramientas de venta y marketing en funcionamiento; la venta se cierra en la ficha de producto, sin comercial. La empresa cuenta además con tres subvenciones concedidas por la Junta de Castilla y León (35.613,20 € en digitalización, innovación e I+D) y participa en su Plan ESG de Sostenibilidad 2025–2027 y en el Plan de Internacionalización a través de Marketplace de ICECYL, con el que ya vende en Europa a través de Ankorstore (sección 5.2).</w:t>
      </w:r>
    </w:p>
    <w:p>
      <w:pPr>
        <w:pStyle w:val="ListParagraph"/>
        <w:numPr>
          <w:ilvl w:val="0"/>
          <w:numId w:val="2"/>
        </w:numPr>
        <w:spacing w:after="100" w:line="288"/>
      </w:pPr>
      <w:r>
        <w:rPr>
          <w:rFonts w:ascii="Helvetica Neue" w:cs="Helvetica Neue" w:eastAsia="Helvetica Neue" w:hAnsi="Helvetica Neue"/>
          <w:b/>
          <w:bCs/>
          <w:sz w:val="22"/>
          <w:szCs w:val="22"/>
        </w:rPr>
        <w:t xml:space="preserve">Destino de los fondos claro y controlado. </w:t>
      </w:r>
      <w:r>
        <w:rPr>
          <w:rFonts w:ascii="Helvetica Neue" w:cs="Helvetica Neue" w:eastAsia="Helvetica Neue" w:hAnsi="Helvetica Neue"/>
          <w:sz w:val="22"/>
          <w:szCs w:val="22"/>
        </w:rPr>
        <w:t xml:space="preserve">Los fondos se destinan a existencias —producto físico de un catálogo ya en venta— para un pico de demanda concreto y acotado. No se financia circulante indefinido, gasto corriente ni la expansión internacional. La campaña equivalente del año anterior generó 275.000 € (más de la mitad de todo lo facturado en 2025). La línea es autoliquidable: se dispone en octubre para comprar el stock y se devuelve con el cobro de esas mismas ventas antes de que acabe el año (ver sección 10); la disposición máxima prevista (unos 72.000–150.000 € según el ritmo de compra) queda muy por debajo del límite solicitado.</w:t>
      </w:r>
    </w:p>
    <w:p>
      <w:pPr>
        <w:spacing w:after="120" w:line="288"/>
      </w:pPr>
      <w:r>
        <w:rPr>
          <w:rFonts w:ascii="Helvetica Neue" w:cs="Helvetica Neue" w:eastAsia="Helvetica Neue" w:hAnsi="Helvetica Neue"/>
          <w:b/>
          <w:bCs/>
          <w:sz w:val="22"/>
          <w:szCs w:val="22"/>
        </w:rPr>
        <w:t xml:space="preserve">Hacia dónde vamos. </w:t>
      </w:r>
      <w:r>
        <w:rPr>
          <w:rFonts w:ascii="Helvetica Neue" w:cs="Helvetica Neue" w:eastAsia="Helvetica Neue" w:hAnsi="Helvetica Neue"/>
          <w:sz w:val="22"/>
          <w:szCs w:val="22"/>
        </w:rPr>
        <w:t xml:space="preserve">La empresa quiere consolidar su marca propia Ekio Light como referente europeo en tecnología de bienestar personal, apoyada en propiedad industrial y software propios. El primer paso ya está en marcha: venta mayorista en Europa vía Ankorstore, dentro del Plan de Internacionalización de ICECYL. Es un recorrido de varios años, gradual y autofinanciado con el margen del negocio (sección 8). Esta línea de crédito no financia esa expansión: financia únicamente el stock de la campaña nacional de este cuarto trimestre.</w:t>
      </w:r>
    </w:p>
    <w:p>
      <w:pPr>
        <w:pStyle w:val="Heading1"/>
        <w:spacing w:after="160" w:before="320"/>
      </w:pPr>
      <w:r>
        <w:rPr>
          <w:rFonts w:ascii="Georgia" w:cs="Georgia" w:eastAsia="Georgia" w:hAnsi="Georgia"/>
          <w:b/>
          <w:bCs/>
          <w:color w:val="122638"/>
          <w:sz w:val="30"/>
          <w:szCs w:val="30"/>
        </w:rPr>
        <w:t xml:space="preserve">3. Trayectoria y equipo</w:t>
      </w:r>
    </w:p>
    <w:p>
      <w:pPr>
        <w:pStyle w:val="Heading2"/>
        <w:spacing w:after="120" w:before="220"/>
      </w:pPr>
      <w:r>
        <w:rPr>
          <w:rFonts w:ascii="Georgia" w:cs="Georgia" w:eastAsia="Georgia" w:hAnsi="Georgia"/>
          <w:b/>
          <w:bCs/>
          <w:color w:val="1D5366"/>
          <w:sz w:val="23"/>
          <w:szCs w:val="23"/>
        </w:rPr>
        <w:t xml:space="preserve">3.1. Tres años de construcción</w:t>
      </w:r>
    </w:p>
    <w:p>
      <w:pPr>
        <w:spacing w:after="120" w:line="288"/>
      </w:pPr>
      <w:r>
        <w:rPr>
          <w:rFonts w:ascii="Helvetica Neue" w:cs="Helvetica Neue" w:eastAsia="Helvetica Neue" w:hAnsi="Helvetica Neue"/>
          <w:b/>
          <w:bCs/>
          <w:sz w:val="22"/>
          <w:szCs w:val="22"/>
        </w:rPr>
        <w:t xml:space="preserve">2023–2024: distribución de Spiro en España. </w:t>
      </w:r>
      <w:r>
        <w:rPr>
          <w:rFonts w:ascii="Helvetica Neue" w:cs="Helvetica Neue" w:eastAsia="Helvetica Neue" w:hAnsi="Helvetica Neue"/>
          <w:sz w:val="22"/>
          <w:szCs w:val="22"/>
        </w:rPr>
        <w:t xml:space="preserve">El negocio nace en 2023 distribuyendo Spiro en España. En 2024 consolida esa distribución con 534.504 € de facturación y +52.493 € de resultado, y construye desde cero la base de clientes, la comunidad y el canal digital.</w:t>
      </w:r>
    </w:p>
    <w:p>
      <w:pPr>
        <w:spacing w:after="120" w:line="288"/>
      </w:pPr>
      <w:r>
        <w:rPr>
          <w:rFonts w:ascii="Helvetica Neue" w:cs="Helvetica Neue" w:eastAsia="Helvetica Neue" w:hAnsi="Helvetica Neue"/>
          <w:b/>
          <w:bCs/>
          <w:sz w:val="22"/>
          <w:szCs w:val="22"/>
        </w:rPr>
        <w:t xml:space="preserve">2025: inversión deliberada para lanzar marca propia. </w:t>
      </w:r>
      <w:r>
        <w:rPr>
          <w:rFonts w:ascii="Helvetica Neue" w:cs="Helvetica Neue" w:eastAsia="Helvetica Neue" w:hAnsi="Helvetica Neue"/>
          <w:sz w:val="22"/>
          <w:szCs w:val="22"/>
        </w:rPr>
        <w:t xml:space="preserve">La facturación se mantiene (537.845 €) y el resultado baja a +19.301 €, con 52.580 € adicionales invertidos en publicidad y servicios profesionales para lanzar Ekio Light.</w:t>
      </w:r>
    </w:p>
    <w:p>
      <w:pPr>
        <w:spacing w:after="120" w:line="288"/>
      </w:pPr>
      <w:r>
        <w:rPr>
          <w:rFonts w:ascii="Helvetica Neue" w:cs="Helvetica Neue" w:eastAsia="Helvetica Neue" w:hAnsi="Helvetica Neue"/>
          <w:b/>
          <w:bCs/>
          <w:sz w:val="22"/>
          <w:szCs w:val="22"/>
        </w:rPr>
        <w:t xml:space="preserve">2026: el giro a producto propio. </w:t>
      </w:r>
      <w:r>
        <w:rPr>
          <w:rFonts w:ascii="Helvetica Neue" w:cs="Helvetica Neue" w:eastAsia="Helvetica Neue" w:hAnsi="Helvetica Neue"/>
          <w:sz w:val="22"/>
          <w:szCs w:val="22"/>
        </w:rPr>
        <w:t xml:space="preserve">El primer semestre factura 207.815 € con un margen bruto del 55,9 % y un resultado de +78.738 €, coherente con el mayor peso de Ekio Light (margen superior al 50 %). La línea acumula unos 76.000 € desde su lanzamiento, repartidos entre la tienda anterior en WooCommerce y Shopify desde noviembre de 2025.</w:t>
      </w:r>
    </w:p>
    <w:p>
      <w:pPr>
        <w:spacing w:after="120" w:line="288"/>
      </w:pPr>
      <w:r>
        <w:rPr>
          <w:rFonts w:ascii="Helvetica Neue" w:cs="Helvetica Neue" w:eastAsia="Helvetica Neue" w:hAnsi="Helvetica Neue"/>
          <w:i/>
          <w:iCs/>
          <w:color w:val="64707C"/>
          <w:sz w:val="20"/>
          <w:szCs w:val="20"/>
        </w:rPr>
        <w:t xml:space="preserve">Las cifras de 2024, 2025 y 2026 (H1) proceden del P&amp;L de gestión de Holded de la tienda Ekio completa.</w:t>
      </w:r>
    </w:p>
    <w:p>
      <w:pPr>
        <w:pStyle w:val="Heading2"/>
        <w:spacing w:after="120" w:before="220"/>
      </w:pPr>
      <w:r>
        <w:rPr>
          <w:rFonts w:ascii="Georgia" w:cs="Georgia" w:eastAsia="Georgia" w:hAnsi="Georgia"/>
          <w:b/>
          <w:bCs/>
          <w:color w:val="1D5366"/>
          <w:sz w:val="23"/>
          <w:szCs w:val="23"/>
        </w:rPr>
        <w:t xml:space="preserve">3.2. Continuidad jurídica: de empresario individual a sociedad</w:t>
      </w:r>
    </w:p>
    <w:p>
      <w:pPr>
        <w:spacing w:after="120" w:line="288"/>
      </w:pPr>
      <w:r>
        <w:rPr>
          <w:rFonts w:ascii="Helvetica Neue" w:cs="Helvetica Neue" w:eastAsia="Helvetica Neue" w:hAnsi="Helvetica Neue"/>
          <w:sz w:val="22"/>
          <w:szCs w:val="22"/>
        </w:rPr>
        <w:t xml:space="preserve">La actividad se desarrolló desde 2023 como empresario individual (autónomo): Francisco Javier Andrés Andrés, NIF 09338115T. Mediante escritura de 29 de julio de 2026 ese negocio en funcionamiento se aporta a la sociedad EKIO BIOTECH, S.L.U. (CIF B93860096), que pasa a ser el vehículo jurídico de la misma actividad económica. La escritura de constitución y de aportación se acompaña a este plan, y en ella constan el detalle del patrimonio aportado, el objeto social y el alta censal de la sociedad.</w:t>
      </w:r>
    </w:p>
    <w:p>
      <w:pPr>
        <w:spacing w:after="120" w:line="288"/>
      </w:pPr>
      <w:r>
        <w:rPr>
          <w:rFonts w:ascii="Helvetica Neue" w:cs="Helvetica Neue" w:eastAsia="Helvetica Neue" w:hAnsi="Helvetica Neue"/>
          <w:sz w:val="22"/>
          <w:szCs w:val="22"/>
        </w:rPr>
        <w:t xml:space="preserve">El track record de ventas, comunidad y márgenes de este plan corresponde a esa misma actividad económica bajo el titular anterior; la SLU la continúa sin ruptura de negocio. La sociedad es nueva y aún no tiene cuentas anuales depositadas: el histórico se acredita con las declaraciones de IRPF, los modelos 130 y 390 y el P&amp;L de gestión de Holded.</w:t>
      </w:r>
    </w:p>
    <w:p>
      <w:pPr>
        <w:pStyle w:val="ListParagraph"/>
        <w:numPr>
          <w:ilvl w:val="0"/>
          <w:numId w:val="3"/>
        </w:numPr>
        <w:spacing w:after="100" w:line="288"/>
      </w:pPr>
      <w:r>
        <w:rPr>
          <w:rFonts w:ascii="Helvetica Neue" w:cs="Helvetica Neue" w:eastAsia="Helvetica Neue" w:hAnsi="Helvetica Neue"/>
          <w:sz w:val="22"/>
          <w:szCs w:val="22"/>
        </w:rPr>
        <w:t xml:space="preserve">La empresa está al corriente de sus obligaciones con la Agencia Tributaria y con la Tesorería General de la Seguridad Social. Los certificados correspondientes se acompañan a este plan.</w:t>
      </w:r>
    </w:p>
    <w:p>
      <w:pPr>
        <w:pStyle w:val="Heading2"/>
        <w:spacing w:after="120" w:before="220"/>
      </w:pPr>
      <w:r>
        <w:rPr>
          <w:rFonts w:ascii="Georgia" w:cs="Georgia" w:eastAsia="Georgia" w:hAnsi="Georgia"/>
          <w:b/>
          <w:bCs/>
          <w:color w:val="1D5366"/>
          <w:sz w:val="23"/>
          <w:szCs w:val="23"/>
        </w:rPr>
        <w:t xml:space="preserve">3.3. Equipo</w:t>
      </w:r>
    </w:p>
    <w:p>
      <w:pPr>
        <w:spacing w:after="120" w:line="288"/>
      </w:pPr>
      <w:r>
        <w:rPr>
          <w:rFonts w:ascii="Helvetica Neue" w:cs="Helvetica Neue" w:eastAsia="Helvetica Neue" w:hAnsi="Helvetica Neue"/>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Style w:val="Heading2"/>
        <w:spacing w:after="120" w:before="220"/>
      </w:pPr>
      <w:r>
        <w:rPr>
          <w:rFonts w:ascii="Georgia" w:cs="Georgia" w:eastAsia="Georgia" w:hAnsi="Georgia"/>
          <w:b/>
          <w:bCs/>
          <w:color w:val="1D5366"/>
          <w:sz w:val="23"/>
          <w:szCs w:val="23"/>
        </w:rPr>
        <w:t xml:space="preserve">3.4. Reseña profesional del fundador</w:t>
      </w:r>
    </w:p>
    <w:p>
      <w:pPr>
        <w:spacing w:after="120" w:line="288"/>
      </w:pPr>
      <w:r>
        <w:rPr>
          <w:rFonts w:ascii="Helvetica Neue" w:cs="Helvetica Neue" w:eastAsia="Helvetica Neue" w:hAnsi="Helvetica Neue"/>
          <w:sz w:val="22"/>
          <w:szCs w:val="22"/>
        </w:rPr>
        <w:t xml:space="preserve">Francisco Javier Andrés Andrés (NIF 09338115T) es fundador, socio único y administrador de EKIO BIOTECH, S.L.U.</w:t>
      </w:r>
    </w:p>
    <w:p>
      <w:pPr>
        <w:pStyle w:val="ListParagraph"/>
        <w:numPr>
          <w:ilvl w:val="0"/>
          <w:numId w:val="3"/>
        </w:numPr>
        <w:spacing w:after="100" w:line="288"/>
      </w:pPr>
      <w:r>
        <w:rPr>
          <w:rFonts w:ascii="Helvetica Neue" w:cs="Helvetica Neue" w:eastAsia="Helvetica Neue" w:hAnsi="Helvetica Neue"/>
          <w:b/>
          <w:bCs/>
          <w:sz w:val="22"/>
          <w:szCs w:val="22"/>
        </w:rPr>
        <w:t xml:space="preserve">Creación y dirección del negocio (2023–actualidad). </w:t>
      </w:r>
      <w:r>
        <w:rPr>
          <w:rFonts w:ascii="Helvetica Neue" w:cs="Helvetica Neue" w:eastAsia="Helvetica Neue" w:hAnsi="Helvetica Neue"/>
          <w:sz w:val="22"/>
          <w:szCs w:val="22"/>
        </w:rPr>
        <w:t xml:space="preserve">Puso en marcha la actividad en 2023 y la ha dirigido de forma continuada, primero como empresario individual y desde 2026 a través de la sociedad. Bajo su dirección la actividad ha superado 1,6 M€ de facturación acumulada y ha cerrado en beneficios todos sus ejercicios.</w:t>
      </w:r>
    </w:p>
    <w:p>
      <w:pPr>
        <w:pStyle w:val="ListParagraph"/>
        <w:numPr>
          <w:ilvl w:val="0"/>
          <w:numId w:val="3"/>
        </w:numPr>
        <w:spacing w:after="100" w:line="288"/>
      </w:pPr>
      <w:r>
        <w:rPr>
          <w:rFonts w:ascii="Helvetica Neue" w:cs="Helvetica Neue" w:eastAsia="Helvetica Neue" w:hAnsi="Helvetica Neue"/>
          <w:b/>
          <w:bCs/>
          <w:sz w:val="22"/>
          <w:szCs w:val="22"/>
        </w:rPr>
        <w:t xml:space="preserve">Paso a marca propia. </w:t>
      </w:r>
      <w:r>
        <w:rPr>
          <w:rFonts w:ascii="Helvetica Neue" w:cs="Helvetica Neue" w:eastAsia="Helvetica Neue" w:hAnsi="Helvetica Neue"/>
          <w:sz w:val="22"/>
          <w:szCs w:val="22"/>
        </w:rPr>
        <w:t xml:space="preserve">Diseñó y ejecutó la transición desde la distribución de producto de terceros (Spiro) a la marca propia Ekio Light, con desarrollo de propiedad industrial (Modelo de Utilidad Nº U202532624) y de software propio (aplicación de cliente Ekio Coach y sistema SFPA).</w:t>
      </w:r>
    </w:p>
    <w:p>
      <w:pPr>
        <w:pStyle w:val="ListParagraph"/>
        <w:numPr>
          <w:ilvl w:val="0"/>
          <w:numId w:val="3"/>
        </w:numPr>
        <w:spacing w:after="100" w:line="288"/>
      </w:pPr>
      <w:r>
        <w:rPr>
          <w:rFonts w:ascii="Helvetica Neue" w:cs="Helvetica Neue" w:eastAsia="Helvetica Neue" w:hAnsi="Helvetica Neue"/>
          <w:b/>
          <w:bCs/>
          <w:sz w:val="22"/>
          <w:szCs w:val="22"/>
        </w:rPr>
        <w:t xml:space="preserve">Dirección del departamento de I+D de Ekio. </w:t>
      </w:r>
      <w:r>
        <w:rPr>
          <w:rFonts w:ascii="Helvetica Neue" w:cs="Helvetica Neue" w:eastAsia="Helvetica Neue" w:hAnsi="Helvetica Neue"/>
          <w:sz w:val="22"/>
          <w:szCs w:val="22"/>
        </w:rPr>
        <w:t xml:space="preserve">Está al frente del área de investigación y desarrollo de la empresa, que coordina la revisión de la evidencia científica que respalda las afirmaciones de producto (fotobiomodulación y exposición electromagnética), la relación con AIR Institute y la agenda de patentes.</w:t>
      </w:r>
    </w:p>
    <w:p>
      <w:pPr>
        <w:pStyle w:val="ListParagraph"/>
        <w:numPr>
          <w:ilvl w:val="0"/>
          <w:numId w:val="3"/>
        </w:numPr>
        <w:spacing w:after="100" w:line="288"/>
      </w:pPr>
      <w:r>
        <w:rPr>
          <w:rFonts w:ascii="Helvetica Neue" w:cs="Helvetica Neue" w:eastAsia="Helvetica Neue" w:hAnsi="Helvetica Neue"/>
          <w:b/>
          <w:bCs/>
          <w:sz w:val="22"/>
          <w:szCs w:val="22"/>
        </w:rPr>
        <w:t xml:space="preserve">Divulgación. </w:t>
      </w:r>
      <w:r>
        <w:rPr>
          <w:rFonts w:ascii="Helvetica Neue" w:cs="Helvetica Neue" w:eastAsia="Helvetica Neue" w:hAnsi="Helvetica Neue"/>
          <w:sz w:val="22"/>
          <w:szCs w:val="22"/>
        </w:rPr>
        <w:t xml:space="preserve">Autor del libro «Guía de Higiene Electromagnética — El recetario de la energía perdida» (en preparación, ver sección 8.5), y responsable de la comunicación de marca en podcast y medios.</w:t>
      </w:r>
    </w:p>
    <w:p>
      <w:pPr>
        <w:pStyle w:val="ListParagraph"/>
        <w:numPr>
          <w:ilvl w:val="0"/>
          <w:numId w:val="3"/>
        </w:numPr>
        <w:spacing w:after="100" w:line="288"/>
      </w:pPr>
      <w:r>
        <w:rPr>
          <w:rFonts w:ascii="Helvetica Neue" w:cs="Helvetica Neue" w:eastAsia="Helvetica Neue" w:hAnsi="Helvetica Neue"/>
          <w:b/>
          <w:bCs/>
          <w:sz w:val="22"/>
          <w:szCs w:val="22"/>
        </w:rPr>
        <w:t xml:space="preserve">Relación institucional. </w:t>
      </w:r>
      <w:r>
        <w:rPr>
          <w:rFonts w:ascii="Helvetica Neue" w:cs="Helvetica Neue" w:eastAsia="Helvetica Neue" w:hAnsi="Helvetica Neue"/>
          <w:sz w:val="22"/>
          <w:szCs w:val="22"/>
        </w:rPr>
        <w:t xml:space="preserve">Ha situado a la empresa dentro del ecosistema de apoyo de la Junta de Castilla y León: tres subvenciones concedidas (digitalización, innovación e I+D), participación en el Plan ESG de Sostenibilidad 2025–2027 y en el Plan de Internacionalización a través de Marketplace de ICECYL, y acceso al programa Wolaria (sección 5.2).</w:t>
      </w:r>
    </w:p>
    <w:p>
      <w:pPr>
        <w:pStyle w:val="ListParagraph"/>
        <w:numPr>
          <w:ilvl w:val="0"/>
          <w:numId w:val="3"/>
        </w:numPr>
        <w:spacing w:after="100" w:line="288"/>
      </w:pPr>
      <w:r>
        <w:rPr>
          <w:rFonts w:ascii="Helvetica Neue" w:cs="Helvetica Neue" w:eastAsia="Helvetica Neue" w:hAnsi="Helvetica Neue"/>
          <w:b/>
          <w:bCs/>
          <w:sz w:val="22"/>
          <w:szCs w:val="22"/>
        </w:rPr>
        <w:t xml:space="preserve">Reconocimiento institucional. </w:t>
      </w:r>
      <w:r>
        <w:rPr>
          <w:rFonts w:ascii="Helvetica Neue" w:cs="Helvetica Neue" w:eastAsia="Helvetica Neue" w:hAnsi="Helvetica Neue"/>
          <w:sz w:val="22"/>
          <w:szCs w:val="22"/>
        </w:rPr>
        <w:t xml:space="preserve">Impulsó la incorporación de Ekio al programa de Wolaria / ICECYL y su presencia como stand propio en Startup OLÉ y Valencia Digital Summit 2026.</w:t>
      </w:r>
    </w:p>
    <w:p>
      <w:pPr>
        <w:pStyle w:val="Heading1"/>
        <w:spacing w:after="160" w:before="320"/>
      </w:pPr>
      <w:r>
        <w:rPr>
          <w:rFonts w:ascii="Georgia" w:cs="Georgia" w:eastAsia="Georgia" w:hAnsi="Georgia"/>
          <w:b/>
          <w:bCs/>
          <w:color w:val="122638"/>
          <w:sz w:val="30"/>
          <w:szCs w:val="30"/>
        </w:rPr>
        <w:t xml:space="preserve">4. Modelo de negocio y líneas de producto</w:t>
      </w:r>
    </w:p>
    <w:p>
      <w:pPr>
        <w:pStyle w:val="Heading2"/>
        <w:spacing w:after="120" w:before="220"/>
      </w:pPr>
      <w:r>
        <w:rPr>
          <w:rFonts w:ascii="Georgia" w:cs="Georgia" w:eastAsia="Georgia" w:hAnsi="Georgia"/>
          <w:b/>
          <w:bCs/>
          <w:color w:val="1D5366"/>
          <w:sz w:val="23"/>
          <w:szCs w:val="23"/>
        </w:rPr>
        <w:t xml:space="preserve">4.1. Línea Spiro — distribución en España</w:t>
      </w:r>
    </w:p>
    <w:p>
      <w:pPr>
        <w:spacing w:after="120" w:line="288"/>
      </w:pPr>
      <w:r>
        <w:rPr>
          <w:rFonts w:ascii="Helvetica Neue" w:cs="Helvetica Neue" w:eastAsia="Helvetica Neue" w:hAnsi="Helvetica Neue"/>
          <w:sz w:val="22"/>
          <w:szCs w:val="22"/>
        </w:rPr>
        <w:t xml:space="preserve">Ekio es distribuidor en España de la tecnología de protección electromagnética Spiro, fabricada por Noxtak Corp. / SG Labs (Miami). No es una distribución en exclusiva. Es la línea con la que nació el negocio y la que aporta el volumen y la base de clientes histórica.</w:t>
      </w:r>
    </w:p>
    <w:p>
      <w:pPr>
        <w:pStyle w:val="ListParagraph"/>
        <w:numPr>
          <w:ilvl w:val="0"/>
          <w:numId w:val="3"/>
        </w:numPr>
        <w:spacing w:after="100" w:line="288"/>
      </w:pPr>
      <w:r>
        <w:rPr>
          <w:rFonts w:ascii="Helvetica Neue" w:cs="Helvetica Neue" w:eastAsia="Helvetica Neue" w:hAnsi="Helvetica Neue"/>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Helvetica Neue" w:cs="Helvetica Neue" w:eastAsia="Helvetica Neue" w:hAnsi="Helvetica Neue"/>
          <w:sz w:val="22"/>
          <w:szCs w:val="22"/>
        </w:rPr>
        <w:t xml:space="preserve">Venta directa en la ficha de producto, sin llamada comercial.</w:t>
      </w:r>
    </w:p>
    <w:p>
      <w:pPr>
        <w:pStyle w:val="ListParagraph"/>
        <w:numPr>
          <w:ilvl w:val="0"/>
          <w:numId w:val="3"/>
        </w:numPr>
        <w:spacing w:after="100" w:line="288"/>
      </w:pPr>
      <w:r>
        <w:rPr>
          <w:rFonts w:ascii="Helvetica Neue" w:cs="Helvetica Neue" w:eastAsia="Helvetica Neue" w:hAnsi="Helvetica Neue"/>
          <w:sz w:val="22"/>
          <w:szCs w:val="22"/>
        </w:rPr>
        <w:t xml:space="preserve">Comunidad de clientes y seguidores construida en torno a la línea.</w:t>
      </w:r>
    </w:p>
    <w:p>
      <w:pPr>
        <w:pStyle w:val="ListParagraph"/>
        <w:numPr>
          <w:ilvl w:val="0"/>
          <w:numId w:val="3"/>
        </w:numPr>
        <w:spacing w:after="100" w:line="288"/>
      </w:pPr>
      <w:r>
        <w:rPr>
          <w:rFonts w:ascii="Helvetica Neue" w:cs="Helvetica Neue" w:eastAsia="Helvetica Neue" w:hAnsi="Helvetica Neue"/>
          <w:b/>
          <w:bCs/>
          <w:sz w:val="22"/>
          <w:szCs w:val="22"/>
        </w:rPr>
        <w:t xml:space="preserve">Respaldo del fabricante. </w:t>
      </w:r>
      <w:r>
        <w:rPr>
          <w:rFonts w:ascii="Helvetica Neue" w:cs="Helvetica Neue" w:eastAsia="Helvetica Neue" w:hAnsi="Helvetica Neue"/>
          <w:sz w:val="22"/>
          <w:szCs w:val="22"/>
        </w:rPr>
        <w:t xml:space="preserve">Según Noxtak, la tecnología SPIRO está protegida por 14 patentes. Su familia de patente principal —neutralización de contaminación electromagnética, con prioridad de 2016— figura como concedida en registros públicos (EPO / Google Patents) en Estados Unidos, la Unión Europea, España, Japón, Corea del Sur, Australia y Canadá. Noxtak ha recibido el German Innovation Award 2021 del German Design Council y un Edison Award 2020 en ciencia de materiales, y las propiedades físicas del filtro han sido medidas por laboratorios acreditados. SPIRO no es un producto sanitario y no se le atribuyen efectos de prevención, tratamiento o curación; su validación clínica independiente está pendiente y forma parte de la agenda de I+D de Ekio.</w:t>
      </w:r>
    </w:p>
    <w:p>
      <w:pPr>
        <w:spacing w:after="120" w:line="288"/>
      </w:pPr>
      <w:r>
        <w:rPr>
          <w:rFonts w:ascii="Helvetica Neue" w:cs="Helvetica Neue" w:eastAsia="Helvetica Neue" w:hAnsi="Helvetica Neue"/>
          <w:i/>
          <w:iCs/>
          <w:color w:val="64707C"/>
          <w:sz w:val="20"/>
          <w:szCs w:val="20"/>
        </w:rPr>
        <w:t xml:space="preserve">Estructura del catálogo Spiro (Shopify, agosto de 2026):</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5226"/>
        <w:gridCol w:w="1600"/>
        <w:gridCol w:w="2200"/>
      </w:tblGrid>
      <w:tr>
        <w:trPr>
          <w:tblHeader/>
        </w:trPr>
        <w:tc>
          <w:tcPr>
            <w:tcW w:type="dxa" w:w="52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Tramo</w:t>
            </w:r>
          </w:p>
        </w:tc>
        <w:tc>
          <w:tcPr>
            <w:tcW w:type="dxa" w:w="1600"/>
            <w:shd w:fill="122638" w:val="clear"/>
            <w:tcMar>
              <w:top w:type="dxa" w:w="60"/>
              <w:left w:type="dxa" w:w="90"/>
              <w:bottom w:type="dxa" w:w="60"/>
              <w:right w:type="dxa" w:w="90"/>
            </w:tcMar>
          </w:tcPr>
          <w:p>
            <w:pPr>
              <w:spacing w:after="0" w:line="264"/>
              <w:jc w:val="center"/>
            </w:pPr>
            <w:r>
              <w:rPr>
                <w:rFonts w:ascii="Helvetica Neue" w:cs="Helvetica Neue" w:eastAsia="Helvetica Neue" w:hAnsi="Helvetica Neue"/>
                <w:b/>
                <w:bCs/>
                <w:color w:val="FFFDF8"/>
                <w:sz w:val="20"/>
                <w:szCs w:val="20"/>
              </w:rPr>
              <w:t xml:space="preserve">Refs.</w:t>
            </w:r>
          </w:p>
        </w:tc>
        <w:tc>
          <w:tcPr>
            <w:tcW w:type="dxa" w:w="22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PVP (€)</w:t>
            </w:r>
          </w:p>
        </w:tc>
      </w:tr>
      <w:tr>
        <w:tc>
          <w:tcPr>
            <w:tcW w:type="dxa" w:w="52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Producto individual (Square, Square X, Stroom Master Pro)</w:t>
            </w:r>
          </w:p>
        </w:tc>
        <w:tc>
          <w:tcPr>
            <w:tcW w:type="dxa" w:w="16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3</w:t>
            </w:r>
          </w:p>
        </w:tc>
        <w:tc>
          <w:tcPr>
            <w:tcW w:type="dxa" w:w="22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147 – 257</w:t>
            </w:r>
          </w:p>
        </w:tc>
      </w:tr>
      <w:tr>
        <w:tc>
          <w:tcPr>
            <w:tcW w:type="dxa" w:w="52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Packs de protección (personal, hogar, oficina, infantil, familia, sueño)</w:t>
            </w:r>
          </w:p>
        </w:tc>
        <w:tc>
          <w:tcPr>
            <w:tcW w:type="dxa" w:w="1600"/>
            <w:shd w:fill="F6F0E6" w:val="clear"/>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6</w:t>
            </w:r>
          </w:p>
        </w:tc>
        <w:tc>
          <w:tcPr>
            <w:tcW w:type="dxa" w:w="22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350 – 470</w:t>
            </w:r>
          </w:p>
        </w:tc>
      </w:tr>
      <w:tr>
        <w:tc>
          <w:tcPr>
            <w:tcW w:type="dxa" w:w="52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Packs de gama alta (Stroom Master, Oasis Electromagnético)</w:t>
            </w:r>
          </w:p>
        </w:tc>
        <w:tc>
          <w:tcPr>
            <w:tcW w:type="dxa" w:w="16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2</w:t>
            </w:r>
          </w:p>
        </w:tc>
        <w:tc>
          <w:tcPr>
            <w:tcW w:type="dxa" w:w="22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655 – 825</w:t>
            </w:r>
          </w:p>
        </w:tc>
      </w:tr>
    </w:tbl>
    <w:p>
      <w:pPr>
        <w:spacing w:after="80"/>
      </w:pPr>
    </w:p>
    <w:p>
      <w:pPr>
        <w:pStyle w:val="Heading2"/>
        <w:spacing w:after="120" w:before="220"/>
      </w:pPr>
      <w:r>
        <w:rPr>
          <w:rFonts w:ascii="Georgia" w:cs="Georgia" w:eastAsia="Georgia" w:hAnsi="Georgia"/>
          <w:b/>
          <w:bCs/>
          <w:color w:val="1D5366"/>
          <w:sz w:val="23"/>
          <w:szCs w:val="23"/>
        </w:rPr>
        <w:t xml:space="preserve">4.2. Línea Ekio Light — marca propia</w:t>
      </w:r>
    </w:p>
    <w:p>
      <w:pPr>
        <w:spacing w:after="120" w:line="288"/>
      </w:pPr>
      <w:r>
        <w:rPr>
          <w:rFonts w:ascii="Helvetica Neue" w:cs="Helvetica Neue" w:eastAsia="Helvetica Neue" w:hAnsi="Helvetica Neue"/>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Helvetica Neue" w:cs="Helvetica Neue" w:eastAsia="Helvetica Neue" w:hAnsi="Helvetica Neue"/>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Helvetica Neue" w:cs="Helvetica Neue" w:eastAsia="Helvetica Neue" w:hAnsi="Helvetica Neue"/>
          <w:sz w:val="22"/>
          <w:szCs w:val="22"/>
        </w:rPr>
        <w:t xml:space="preserve">Margen bruto de la línea superior al 50 %. El margen bruto global de la tienda en el primer semestre de 2026 fue del 55,9 %.</w:t>
      </w:r>
    </w:p>
    <w:p>
      <w:pPr>
        <w:pStyle w:val="ListParagraph"/>
        <w:numPr>
          <w:ilvl w:val="0"/>
          <w:numId w:val="3"/>
        </w:numPr>
        <w:spacing w:after="100" w:line="288"/>
      </w:pPr>
      <w:r>
        <w:rPr>
          <w:rFonts w:ascii="Helvetica Neue" w:cs="Helvetica Neue" w:eastAsia="Helvetica Neue" w:hAnsi="Helvetica Neue"/>
          <w:b/>
          <w:bCs/>
          <w:sz w:val="22"/>
          <w:szCs w:val="22"/>
        </w:rPr>
        <w:t xml:space="preserve">Propiedad industrial: </w:t>
      </w:r>
      <w:r>
        <w:rPr>
          <w:rFonts w:ascii="Helvetica Neue" w:cs="Helvetica Neue" w:eastAsia="Helvetica Neue" w:hAnsi="Helvetica Neue"/>
          <w:sz w:val="22"/>
          <w:szCs w:val="22"/>
        </w:rPr>
        <w:t xml:space="preserve">Modelo de Utilidad español Nº U202532624 (panel multiespectral), registrado ante la OEPM; solicitud de 25 de diciembre de 2025. Es un elemento diferenciador frente a competidores.</w:t>
      </w:r>
    </w:p>
    <w:p>
      <w:pPr>
        <w:spacing w:after="120" w:line="288"/>
      </w:pPr>
      <w:r>
        <w:rPr>
          <w:rFonts w:ascii="Helvetica Neue" w:cs="Helvetica Neue" w:eastAsia="Helvetica Neue" w:hAnsi="Helvetica Neue"/>
          <w:i/>
          <w:iCs/>
          <w:color w:val="64707C"/>
          <w:sz w:val="20"/>
          <w:szCs w:val="20"/>
        </w:rPr>
        <w:t xml:space="preserve">Catálogo Ekio Light a la venta (extracción de Shopify, agosto de 2026):</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7026"/>
        <w:gridCol w:w="2000"/>
      </w:tblGrid>
      <w:tr>
        <w:trPr>
          <w:tblHeader/>
        </w:trPr>
        <w:tc>
          <w:tcPr>
            <w:tcW w:type="dxa" w:w="70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Producto</w:t>
            </w:r>
          </w:p>
        </w:tc>
        <w:tc>
          <w:tcPr>
            <w:tcW w:type="dxa" w:w="20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PVP (€)</w:t>
            </w:r>
          </w:p>
        </w:tc>
      </w:tr>
      <w:tr>
        <w:tc>
          <w:tcPr>
            <w:tcW w:type="dxa" w:w="7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BIO SPECTRUM 11 (gama alta; único con UV-A/UV-B)</w:t>
            </w:r>
          </w:p>
        </w:tc>
        <w:tc>
          <w:tcPr>
            <w:tcW w:type="dxa" w:w="20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2.500,00</w:t>
            </w:r>
          </w:p>
        </w:tc>
      </w:tr>
      <w:tr>
        <w:tc>
          <w:tcPr>
            <w:tcW w:type="dxa" w:w="7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BIO REGEN 7 (luz roja y cyan)</w:t>
            </w:r>
          </w:p>
        </w:tc>
        <w:tc>
          <w:tcPr>
            <w:tcW w:type="dxa" w:w="20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950,00</w:t>
            </w:r>
          </w:p>
        </w:tc>
      </w:tr>
      <w:tr>
        <w:tc>
          <w:tcPr>
            <w:tcW w:type="dxa" w:w="7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DEEP 5</w:t>
            </w:r>
          </w:p>
        </w:tc>
        <w:tc>
          <w:tcPr>
            <w:tcW w:type="dxa" w:w="20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650,00</w:t>
            </w:r>
          </w:p>
        </w:tc>
      </w:tr>
      <w:tr>
        <w:tc>
          <w:tcPr>
            <w:tcW w:type="dxa" w:w="7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CORE (portátil, terapia local)</w:t>
            </w:r>
          </w:p>
        </w:tc>
        <w:tc>
          <w:tcPr>
            <w:tcW w:type="dxa" w:w="20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147,00</w:t>
            </w:r>
          </w:p>
        </w:tc>
      </w:tr>
      <w:tr>
        <w:tc>
          <w:tcPr>
            <w:tcW w:type="dxa" w:w="7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120,00</w:t>
            </w:r>
          </w:p>
        </w:tc>
      </w:tr>
      <w:tr>
        <w:tc>
          <w:tcPr>
            <w:tcW w:type="dxa" w:w="7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Bombillas LED roja / ámbar y packs de iluminación</w:t>
            </w:r>
          </w:p>
        </w:tc>
        <w:tc>
          <w:tcPr>
            <w:tcW w:type="dxa" w:w="20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17,50 – 29,70</w:t>
            </w:r>
          </w:p>
        </w:tc>
      </w:tr>
    </w:tbl>
    <w:p>
      <w:pPr>
        <w:spacing w:after="80"/>
      </w:pPr>
    </w:p>
    <w:p>
      <w:pPr>
        <w:spacing w:after="120" w:line="288"/>
      </w:pPr>
      <w:r>
        <w:rPr>
          <w:rFonts w:ascii="Helvetica Neue" w:cs="Helvetica Neue" w:eastAsia="Helvetica Neue" w:hAnsi="Helvetica Neue"/>
          <w:sz w:val="22"/>
          <w:szCs w:val="22"/>
        </w:rPr>
        <w:t xml:space="preserve">Hay además versiones B2B preparadas para el canal mayorista, pendientes de publicación.</w:t>
      </w:r>
    </w:p>
    <w:p>
      <w:pPr>
        <w:pBdr>
          <w:top w:val="single" w:color="DED4C4" w:sz="4"/>
          <w:bottom w:val="single" w:color="DED4C4" w:sz="4"/>
          <w:left w:val="single" w:color="E7A84D" w:sz="16"/>
          <w:right w:val="single" w:color="DED4C4" w:sz="4"/>
        </w:pBdr>
        <w:shd w:fill="F6F0E6" w:val="clear"/>
        <w:spacing w:after="160" w:before="120" w:line="276"/>
      </w:pPr>
      <w:r>
        <w:rPr>
          <w:rFonts w:ascii="Helvetica Neue" w:cs="Helvetica Neue" w:eastAsia="Helvetica Neue" w:hAnsi="Helvetica Neue"/>
          <w:i/>
          <w:iCs/>
          <w:color w:val="64707C"/>
          <w:sz w:val="20"/>
          <w:szCs w:val="20"/>
        </w:rPr>
        <w:t xml:space="preserve">El catálogo de ambas líneas está operativo y a la venta. El inventario disponible a la fecha no cubre el volumen ni la velocidad de venta de la campaña de Q4: reponerlo por adelantado es el objeto de esta financiación (sección 9).</w:t>
      </w:r>
    </w:p>
    <w:p>
      <w:pPr>
        <w:pStyle w:val="Heading2"/>
        <w:spacing w:after="120" w:before="220"/>
      </w:pPr>
      <w:r>
        <w:rPr>
          <w:rFonts w:ascii="Georgia" w:cs="Georgia" w:eastAsia="Georgia" w:hAnsi="Georgia"/>
          <w:b/>
          <w:bCs/>
          <w:color w:val="1D5366"/>
          <w:sz w:val="23"/>
          <w:szCs w:val="23"/>
        </w:rPr>
        <w:t xml:space="preserve">4.3. Líneas complementarias</w:t>
      </w:r>
    </w:p>
    <w:p>
      <w:pPr>
        <w:spacing w:after="120" w:line="288"/>
      </w:pPr>
      <w:r>
        <w:rPr>
          <w:rFonts w:ascii="Helvetica Neue" w:cs="Helvetica Neue" w:eastAsia="Helvetica Neue" w:hAnsi="Helvetica Neue"/>
          <w:sz w:val="22"/>
          <w:szCs w:val="22"/>
        </w:rPr>
        <w:t xml:space="preserve">Accesorios de medición (detector de radiación 49 €, comprobador de enchufe 20,66 €, medidor de electricidad sucia 216,37 €): acompañan a las dos líneas principales, tienen buena rotación en campaña y SÍ forman parte del stock que se financia con esta línea (ver sección 9). Los suplementos de la marca Laittin (vitamina C, B, D3+K2 y packs) no son objeto de esta financiación.</w:t>
      </w:r>
    </w:p>
    <w:p>
      <w:pPr>
        <w:pStyle w:val="Heading2"/>
        <w:spacing w:after="120" w:before="220"/>
      </w:pPr>
      <w:r>
        <w:rPr>
          <w:rFonts w:ascii="Georgia" w:cs="Georgia" w:eastAsia="Georgia" w:hAnsi="Georgia"/>
          <w:b/>
          <w:bCs/>
          <w:color w:val="1D5366"/>
          <w:sz w:val="23"/>
          <w:szCs w:val="23"/>
        </w:rPr>
        <w:t xml:space="preserve">4.4. Canales de venta</w:t>
      </w:r>
    </w:p>
    <w:p>
      <w:pPr>
        <w:pStyle w:val="ListParagraph"/>
        <w:numPr>
          <w:ilvl w:val="0"/>
          <w:numId w:val="3"/>
        </w:numPr>
        <w:spacing w:after="100" w:line="288"/>
      </w:pPr>
      <w:r>
        <w:rPr>
          <w:rFonts w:ascii="Helvetica Neue" w:cs="Helvetica Neue" w:eastAsia="Helvetica Neue" w:hAnsi="Helvetica Neue"/>
          <w:b/>
          <w:bCs/>
          <w:sz w:val="22"/>
          <w:szCs w:val="22"/>
        </w:rPr>
        <w:t xml:space="preserve">D2C (venta directa): </w:t>
      </w:r>
      <w:r>
        <w:rPr>
          <w:rFonts w:ascii="Helvetica Neue" w:cs="Helvetica Neue" w:eastAsia="Helvetica Neue" w:hAnsi="Helvetica Neue"/>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Helvetica Neue" w:cs="Helvetica Neue" w:eastAsia="Helvetica Neue" w:hAnsi="Helvetica Neue"/>
          <w:b/>
          <w:bCs/>
          <w:sz w:val="22"/>
          <w:szCs w:val="22"/>
        </w:rPr>
        <w:t xml:space="preserve">Renting / suscripción: </w:t>
      </w:r>
      <w:r>
        <w:rPr>
          <w:rFonts w:ascii="Helvetica Neue" w:cs="Helvetica Neue" w:eastAsia="Helvetica Neue" w:hAnsi="Helvetica Neue"/>
          <w:sz w:val="22"/>
          <w:szCs w:val="22"/>
        </w:rPr>
        <w:t xml:space="preserve">opción de pago por uso para el consumidor a través de Sharpei (integrada en Shopify) y planteamiento B2B para clínicas, centros de estética y gimnasios. Línea incipiente, todavía sin volumen consolidado.</w:t>
      </w:r>
    </w:p>
    <w:p>
      <w:pPr>
        <w:pStyle w:val="ListParagraph"/>
        <w:numPr>
          <w:ilvl w:val="0"/>
          <w:numId w:val="3"/>
        </w:numPr>
        <w:spacing w:after="100" w:line="288"/>
      </w:pPr>
      <w:r>
        <w:rPr>
          <w:rFonts w:ascii="Helvetica Neue" w:cs="Helvetica Neue" w:eastAsia="Helvetica Neue" w:hAnsi="Helvetica Neue"/>
          <w:b/>
          <w:bCs/>
          <w:sz w:val="22"/>
          <w:szCs w:val="22"/>
        </w:rPr>
        <w:t xml:space="preserve">B2B / mayorista europeo: </w:t>
      </w:r>
      <w:r>
        <w:rPr>
          <w:rFonts w:ascii="Helvetica Neue" w:cs="Helvetica Neue" w:eastAsia="Helvetica Neue" w:hAnsi="Helvetica Neue"/>
          <w:sz w:val="22"/>
          <w:szCs w:val="22"/>
        </w:rPr>
        <w:t xml:space="preserve">venta iniciada en el marketplace Ankorstore dentro del Plan de Internacionalización de ICECYL, con foco en Alemania, Austria, Suiza, Países Bajos y Bélgica (sección 5.3). En fase inicial, sin volumen consolidado.</w:t>
      </w:r>
    </w:p>
    <w:p>
      <w:pPr>
        <w:pStyle w:val="Heading2"/>
        <w:spacing w:after="120" w:before="220"/>
      </w:pPr>
      <w:r>
        <w:rPr>
          <w:rFonts w:ascii="Georgia" w:cs="Georgia" w:eastAsia="Georgia" w:hAnsi="Georgia"/>
          <w:b/>
          <w:bCs/>
          <w:color w:val="1D5366"/>
          <w:sz w:val="23"/>
          <w:szCs w:val="23"/>
        </w:rPr>
        <w:t xml:space="preserve">4.5. Activos tecnológicos propios</w:t>
      </w:r>
    </w:p>
    <w:p>
      <w:pPr>
        <w:spacing w:after="120" w:line="288"/>
      </w:pPr>
      <w:r>
        <w:rPr>
          <w:rFonts w:ascii="Helvetica Neue" w:cs="Helvetica Neue" w:eastAsia="Helvetica Neue" w:hAnsi="Helvetica Neue"/>
          <w:sz w:val="22"/>
          <w:szCs w:val="22"/>
        </w:rPr>
        <w:t xml:space="preserve">Además del catálogo físico, Ekio ha desarrollado tecnología propia que refuerza la relación con el cliente y eleva la barrera de entrada:</w:t>
      </w:r>
    </w:p>
    <w:p>
      <w:pPr>
        <w:pStyle w:val="ListParagraph"/>
        <w:numPr>
          <w:ilvl w:val="0"/>
          <w:numId w:val="3"/>
        </w:numPr>
        <w:spacing w:after="100" w:line="288"/>
      </w:pPr>
      <w:r>
        <w:rPr>
          <w:rFonts w:ascii="Helvetica Neue" w:cs="Helvetica Neue" w:eastAsia="Helvetica Neue" w:hAnsi="Helvetica Neue"/>
          <w:b/>
          <w:bCs/>
          <w:sz w:val="22"/>
          <w:szCs w:val="22"/>
        </w:rPr>
        <w:t xml:space="preserve">Aplicación de gestión interna. </w:t>
      </w:r>
      <w:r>
        <w:rPr>
          <w:rFonts w:ascii="Helvetica Neue" w:cs="Helvetica Neue" w:eastAsia="Helvetica Neue" w:hAnsi="Helvetica Neue"/>
          <w:sz w:val="22"/>
          <w:szCs w:val="22"/>
        </w:rPr>
        <w:t xml:space="preserve">Herramienta propia para pedidos, inventario y atención al cliente.</w:t>
      </w:r>
    </w:p>
    <w:p>
      <w:pPr>
        <w:pStyle w:val="ListParagraph"/>
        <w:numPr>
          <w:ilvl w:val="0"/>
          <w:numId w:val="3"/>
        </w:numPr>
        <w:spacing w:after="100" w:line="288"/>
      </w:pPr>
      <w:r>
        <w:rPr>
          <w:rFonts w:ascii="Helvetica Neue" w:cs="Helvetica Neue" w:eastAsia="Helvetica Neue" w:hAnsi="Helvetica Neue"/>
          <w:b/>
          <w:bCs/>
          <w:sz w:val="22"/>
          <w:szCs w:val="22"/>
        </w:rPr>
        <w:t xml:space="preserve">Aplicación de cliente «Ekio Coach». </w:t>
      </w:r>
      <w:r>
        <w:rPr>
          <w:rFonts w:ascii="Helvetica Neue" w:cs="Helvetica Neue" w:eastAsia="Helvetica Neue" w:hAnsi="Helvetica Neue"/>
          <w:sz w:val="22"/>
          <w:szCs w:val="22"/>
        </w:rPr>
        <w:t xml:space="preserve">Guía de uso, seguimiento de sesiones y protocolos personalizados, ya con usuarios registrados. Convierte la venta de un equipo en una relación continuada y genera datos de uso propios.</w:t>
      </w:r>
    </w:p>
    <w:p>
      <w:pPr>
        <w:pStyle w:val="ListParagraph"/>
        <w:numPr>
          <w:ilvl w:val="0"/>
          <w:numId w:val="3"/>
        </w:numPr>
        <w:spacing w:after="100" w:line="288"/>
      </w:pPr>
      <w:r>
        <w:rPr>
          <w:rFonts w:ascii="Helvetica Neue" w:cs="Helvetica Neue" w:eastAsia="Helvetica Neue" w:hAnsi="Helvetica Neue"/>
          <w:b/>
          <w:bCs/>
          <w:sz w:val="22"/>
          <w:szCs w:val="22"/>
        </w:rPr>
        <w:t xml:space="preserve">Sistema SFPA (Sistema de Fotobiomodulación Personalizada con IA). </w:t>
      </w:r>
      <w:r>
        <w:rPr>
          <w:rFonts w:ascii="Helvetica Neue" w:cs="Helvetica Neue" w:eastAsia="Helvetica Neue" w:hAnsi="Helvetica Neue"/>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Todavía sin producto comercial; su lanzamiento se describe en la sección 8.2.</w:t>
      </w:r>
    </w:p>
    <w:p>
      <w:pPr>
        <w:pStyle w:val="Heading1"/>
        <w:spacing w:after="160" w:before="320"/>
      </w:pPr>
      <w:r>
        <w:rPr>
          <w:rFonts w:ascii="Georgia" w:cs="Georgia" w:eastAsia="Georgia" w:hAnsi="Georgia"/>
          <w:b/>
          <w:bCs/>
          <w:color w:val="122638"/>
          <w:sz w:val="30"/>
          <w:szCs w:val="30"/>
        </w:rPr>
        <w:t xml:space="preserve">5. Mercado y validación externa</w:t>
      </w:r>
    </w:p>
    <w:p>
      <w:pPr>
        <w:pStyle w:val="Heading2"/>
        <w:spacing w:after="120" w:before="220"/>
      </w:pPr>
      <w:r>
        <w:rPr>
          <w:rFonts w:ascii="Georgia" w:cs="Georgia" w:eastAsia="Georgia" w:hAnsi="Georgia"/>
          <w:b/>
          <w:bCs/>
          <w:color w:val="1D5366"/>
          <w:sz w:val="23"/>
          <w:szCs w:val="23"/>
        </w:rPr>
        <w:t xml:space="preserve">5.1. Contexto de mercado</w:t>
      </w:r>
    </w:p>
    <w:p>
      <w:pPr>
        <w:spacing w:after="120" w:line="288"/>
      </w:pPr>
      <w:r>
        <w:rPr>
          <w:rFonts w:ascii="Helvetica Neue" w:cs="Helvetica Neue" w:eastAsia="Helvetica Neue" w:hAnsi="Helvetica Neue"/>
          <w:sz w:val="22"/>
          <w:szCs w:val="22"/>
        </w:rPr>
        <w:t xml:space="preserve">Ekio opera en dos segmentos del mercado del bienestar y la salud preventiva de consumo:</w:t>
      </w:r>
    </w:p>
    <w:p>
      <w:pPr>
        <w:pStyle w:val="ListParagraph"/>
        <w:numPr>
          <w:ilvl w:val="0"/>
          <w:numId w:val="3"/>
        </w:numPr>
        <w:spacing w:after="100" w:line="288"/>
      </w:pPr>
      <w:r>
        <w:rPr>
          <w:rFonts w:ascii="Helvetica Neue" w:cs="Helvetica Neue" w:eastAsia="Helvetica Neue" w:hAnsi="Helvetica Neue"/>
          <w:b/>
          <w:bCs/>
          <w:sz w:val="22"/>
          <w:szCs w:val="22"/>
        </w:rPr>
        <w:t xml:space="preserve">Protección frente a la exposición electromagnética. </w:t>
      </w:r>
      <w:r>
        <w:rPr>
          <w:rFonts w:ascii="Helvetica Neue" w:cs="Helvetica Neue" w:eastAsia="Helvetica Neue" w:hAnsi="Helvetica Neue"/>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Helvetica Neue" w:cs="Helvetica Neue" w:eastAsia="Helvetica Neue" w:hAnsi="Helvetica Neue"/>
          <w:b/>
          <w:bCs/>
          <w:sz w:val="22"/>
          <w:szCs w:val="22"/>
        </w:rPr>
        <w:t xml:space="preserve">Fotobiomodulación (terapia de luz roja e infrarroja). </w:t>
      </w:r>
      <w:r>
        <w:rPr>
          <w:rFonts w:ascii="Helvetica Neue" w:cs="Helvetica Neue" w:eastAsia="Helvetica Neue" w:hAnsi="Helvetica Neue"/>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spacing w:after="120" w:line="288"/>
      </w:pPr>
      <w:r>
        <w:rPr>
          <w:rFonts w:ascii="Helvetica Neue" w:cs="Helvetica Neue" w:eastAsia="Helvetica Neue" w:hAnsi="Helvetica Neue"/>
          <w:b/>
          <w:bCs/>
          <w:sz w:val="22"/>
          <w:szCs w:val="22"/>
        </w:rPr>
        <w:t xml:space="preserve">Un cruce poco disputado. </w:t>
      </w:r>
      <w:r>
        <w:rPr>
          <w:rFonts w:ascii="Helvetica Neue" w:cs="Helvetica Neue" w:eastAsia="Helvetica Neue" w:hAnsi="Helvetica Neue"/>
          <w:sz w:val="22"/>
          <w:szCs w:val="22"/>
        </w:rPr>
        <w:t xml:space="preserve">El valor diferencial de Ekio está en atender los dos segmentos a la vez y con criterio propio. Los fabricantes de equipos de fotobiomodulación no diseñan pensando en bajo campo electromagnético ni en la ausencia de parpadeo (flicker); los fabricantes de soluciones de protección electromagnética no fabrican luz. Ekio ocupa esa intersección —"tecnología que cuida"— con producto propio (Ekio Light), propiedad industrial (Modelo de Utilidad y solicitud PCT del SFPA), software propio (Ekio Coach) y una comunidad construida durante tres años. Son activos que un competidor no obtiene comprando producto, y que la empresa quiere reforzar para consolidarse como referente del nicho, primero en España y por etapas en Europa (ver sección 8).</w:t>
      </w:r>
    </w:p>
    <w:p>
      <w:pPr>
        <w:pStyle w:val="Heading2"/>
        <w:spacing w:after="120" w:before="220"/>
      </w:pPr>
      <w:r>
        <w:rPr>
          <w:rFonts w:ascii="Georgia" w:cs="Georgia" w:eastAsia="Georgia" w:hAnsi="Georgia"/>
          <w:b/>
          <w:bCs/>
          <w:color w:val="1D5366"/>
          <w:sz w:val="23"/>
          <w:szCs w:val="23"/>
        </w:rPr>
        <w:t xml:space="preserve">5.2. Respaldo institucional</w:t>
      </w:r>
    </w:p>
    <w:p>
      <w:pPr>
        <w:spacing w:after="120" w:line="288"/>
      </w:pPr>
      <w:r>
        <w:rPr>
          <w:rFonts w:ascii="Helvetica Neue" w:cs="Helvetica Neue" w:eastAsia="Helvetica Neue" w:hAnsi="Helvetica Neue"/>
          <w:sz w:val="22"/>
          <w:szCs w:val="22"/>
        </w:rPr>
        <w:t xml:space="preserve">Ekio no opera al margen del ecosistema público de apoyo empresarial de su comunidad autónoma: participa en tres programas de la Junta de Castilla y León y tiene tres subvenciones concedidas.</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2500"/>
        <w:gridCol w:w="2500"/>
      </w:tblGrid>
      <w:tr>
        <w:trPr>
          <w:tblHeader/>
        </w:trPr>
        <w:tc>
          <w:tcPr>
            <w:tcW w:type="dxa" w:w="40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Programa / ayuda</w:t>
            </w:r>
          </w:p>
        </w:tc>
        <w:tc>
          <w:tcPr>
            <w:tcW w:type="dxa" w:w="2500"/>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Organismo</w:t>
            </w:r>
          </w:p>
        </w:tc>
        <w:tc>
          <w:tcPr>
            <w:tcW w:type="dxa" w:w="2500"/>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Situación</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Subvención de digitalización</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Concedida</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Subvención de innovación</w:t>
            </w:r>
          </w:p>
        </w:tc>
        <w:tc>
          <w:tcPr>
            <w:tcW w:type="dxa" w:w="25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Junta de Castilla y León</w:t>
            </w:r>
          </w:p>
        </w:tc>
        <w:tc>
          <w:tcPr>
            <w:tcW w:type="dxa" w:w="25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Concedida</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Subvención de investigación y desarrollo</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Concedida</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Importe conjunto de las tres subvenciones</w:t>
            </w:r>
          </w:p>
        </w:tc>
        <w:tc>
          <w:tcPr>
            <w:tcW w:type="dxa" w:w="25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w:t>
            </w:r>
          </w:p>
        </w:tc>
        <w:tc>
          <w:tcPr>
            <w:tcW w:type="dxa" w:w="25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35.613,20 €</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Plan ESG de Sostenibilidad 2025–2027</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Empresa participante</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Plan de Internacionalización de Empresas a través de Marketplace</w:t>
            </w:r>
          </w:p>
        </w:tc>
        <w:tc>
          <w:tcPr>
            <w:tcW w:type="dxa" w:w="25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ICECYL</w:t>
            </w:r>
          </w:p>
        </w:tc>
        <w:tc>
          <w:tcPr>
            <w:tcW w:type="dxa" w:w="25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Empresa participante</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Programa Wolaria (aceleración)</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ICECYL</w:t>
            </w:r>
          </w:p>
        </w:tc>
        <w:tc>
          <w:tcPr>
            <w:tcW w:type="dxa" w:w="25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Stand propio en Startup OLÉ y Valencia Digital Summit, oct. 2026</w:t>
            </w:r>
          </w:p>
        </w:tc>
      </w:tr>
    </w:tbl>
    <w:p>
      <w:pPr>
        <w:spacing w:after="80"/>
      </w:pPr>
    </w:p>
    <w:p>
      <w:pPr>
        <w:spacing w:after="120" w:line="288"/>
      </w:pPr>
      <w:r>
        <w:rPr>
          <w:rFonts w:ascii="Helvetica Neue" w:cs="Helvetica Neue" w:eastAsia="Helvetica Neue" w:hAnsi="Helvetica Neue"/>
          <w:b/>
          <w:bCs/>
          <w:sz w:val="22"/>
          <w:szCs w:val="22"/>
        </w:rPr>
        <w:t xml:space="preserve">Lectura de este respaldo. </w:t>
      </w:r>
      <w:r>
        <w:rPr>
          <w:rFonts w:ascii="Helvetica Neue" w:cs="Helvetica Neue" w:eastAsia="Helvetica Neue" w:hAnsi="Helvetica Neue"/>
          <w:sz w:val="22"/>
          <w:szCs w:val="22"/>
        </w:rPr>
        <w:t xml:space="preserve">Las tres subvenciones concedidas acreditan que proyectos de digitalización, innovación e I+D de la empresa han superado una evaluación técnica externa. La pertenencia al Plan ESG y al Plan de Internacionalización sitúa a Ekio dentro de la política industrial autonómica y le da acompañamiento en su salida a Europa. Ninguna de estas ayudas se computa como ingreso en las proyecciones de este plan.</w:t>
      </w:r>
    </w:p>
    <w:p>
      <w:pPr>
        <w:spacing w:after="120" w:line="288"/>
      </w:pPr>
      <w:r>
        <w:rPr>
          <w:rFonts w:ascii="Helvetica Neue" w:cs="Helvetica Neue" w:eastAsia="Helvetica Neue" w:hAnsi="Helvetica Neue"/>
          <w:i/>
          <w:iCs/>
          <w:color w:val="64707C"/>
          <w:sz w:val="20"/>
          <w:szCs w:val="20"/>
        </w:rPr>
        <w:t xml:space="preserve">Las resoluciones de concesión de las tres subvenciones se acompañan a este plan.</w:t>
      </w:r>
    </w:p>
    <w:p>
      <w:pPr>
        <w:pStyle w:val="Heading2"/>
        <w:spacing w:after="120" w:before="220"/>
      </w:pPr>
      <w:r>
        <w:rPr>
          <w:rFonts w:ascii="Georgia" w:cs="Georgia" w:eastAsia="Georgia" w:hAnsi="Georgia"/>
          <w:b/>
          <w:bCs/>
          <w:color w:val="1D5366"/>
          <w:sz w:val="23"/>
          <w:szCs w:val="23"/>
        </w:rPr>
        <w:t xml:space="preserve">5.3. Salida a Europa a través de Ankorstore</w:t>
      </w:r>
    </w:p>
    <w:p>
      <w:pPr>
        <w:spacing w:after="120" w:line="288"/>
      </w:pPr>
      <w:r>
        <w:rPr>
          <w:rFonts w:ascii="Helvetica Neue" w:cs="Helvetica Neue" w:eastAsia="Helvetica Neue" w:hAnsi="Helvetica Neue"/>
          <w:sz w:val="22"/>
          <w:szCs w:val="22"/>
        </w:rPr>
        <w:t xml:space="preserve">Dentro del Plan de Internacionalización de Empresas a través de Marketplace de ICECYL, Ekio ha iniciado la venta mayorista en Europa a través de la plataforma B2B Ankorstore (es.ankorstore.com), que conecta marcas con comercios minoristas de toda Europa.</w:t>
      </w:r>
    </w:p>
    <w:p>
      <w:pPr>
        <w:pStyle w:val="ListParagraph"/>
        <w:numPr>
          <w:ilvl w:val="0"/>
          <w:numId w:val="3"/>
        </w:numPr>
        <w:spacing w:after="100" w:line="288"/>
      </w:pPr>
      <w:r>
        <w:rPr>
          <w:rFonts w:ascii="Helvetica Neue" w:cs="Helvetica Neue" w:eastAsia="Helvetica Neue" w:hAnsi="Helvetica Neue"/>
          <w:b/>
          <w:bCs/>
          <w:sz w:val="22"/>
          <w:szCs w:val="22"/>
        </w:rPr>
        <w:t xml:space="preserve">Mercados objetivo: </w:t>
      </w:r>
      <w:r>
        <w:rPr>
          <w:rFonts w:ascii="Helvetica Neue" w:cs="Helvetica Neue" w:eastAsia="Helvetica Neue" w:hAnsi="Helvetica Neue"/>
          <w:sz w:val="22"/>
          <w:szCs w:val="22"/>
        </w:rPr>
        <w:t xml:space="preserve">Alemania, Austria, Suiza, Países Bajos y Bélgica, por su mayor sensibilidad y gasto en producto de bienestar y salud preventiva.</w:t>
      </w:r>
    </w:p>
    <w:p>
      <w:pPr>
        <w:pStyle w:val="ListParagraph"/>
        <w:numPr>
          <w:ilvl w:val="0"/>
          <w:numId w:val="3"/>
        </w:numPr>
        <w:spacing w:after="100" w:line="288"/>
      </w:pPr>
      <w:r>
        <w:rPr>
          <w:rFonts w:ascii="Helvetica Neue" w:cs="Helvetica Neue" w:eastAsia="Helvetica Neue" w:hAnsi="Helvetica Neue"/>
          <w:b/>
          <w:bCs/>
          <w:sz w:val="22"/>
          <w:szCs w:val="22"/>
        </w:rPr>
        <w:t xml:space="preserve">Qué aporta al negocio: </w:t>
      </w:r>
      <w:r>
        <w:rPr>
          <w:rFonts w:ascii="Helvetica Neue" w:cs="Helvetica Neue" w:eastAsia="Helvetica Neue" w:hAnsi="Helvetica Neue"/>
          <w:sz w:val="22"/>
          <w:szCs w:val="22"/>
        </w:rPr>
        <w:t xml:space="preserve">acceso a comercio minorista europeo sin abrir filial ni red comercial propia, pedidos de mayor volumen unitario que el canal directo, y facturación menos dependiente del pico estacional español.</w:t>
      </w:r>
    </w:p>
    <w:p>
      <w:pPr>
        <w:pStyle w:val="ListParagraph"/>
        <w:numPr>
          <w:ilvl w:val="0"/>
          <w:numId w:val="3"/>
        </w:numPr>
        <w:spacing w:after="100" w:line="288"/>
      </w:pPr>
      <w:r>
        <w:rPr>
          <w:rFonts w:ascii="Helvetica Neue" w:cs="Helvetica Neue" w:eastAsia="Helvetica Neue" w:hAnsi="Helvetica Neue"/>
          <w:b/>
          <w:bCs/>
          <w:sz w:val="22"/>
          <w:szCs w:val="22"/>
        </w:rPr>
        <w:t xml:space="preserve">Estado: </w:t>
      </w:r>
      <w:r>
        <w:rPr>
          <w:rFonts w:ascii="Helvetica Neue" w:cs="Helvetica Neue" w:eastAsia="Helvetica Neue" w:hAnsi="Helvetica Neue"/>
          <w:sz w:val="22"/>
          <w:szCs w:val="22"/>
        </w:rPr>
        <w:t xml:space="preserve">canal en fase inicial, con el catálogo de lanzamiento en preparación. Todavía sin volumen consolidado, por lo que no se ha incorporado a ninguna proyección de ingresos de este documento.</w:t>
      </w:r>
    </w:p>
    <w:p>
      <w:pPr>
        <w:pStyle w:val="Heading2"/>
        <w:spacing w:after="120" w:before="220"/>
      </w:pPr>
      <w:r>
        <w:rPr>
          <w:rFonts w:ascii="Georgia" w:cs="Georgia" w:eastAsia="Georgia" w:hAnsi="Georgia"/>
          <w:b/>
          <w:bCs/>
          <w:color w:val="1D5366"/>
          <w:sz w:val="23"/>
          <w:szCs w:val="23"/>
        </w:rPr>
        <w:t xml:space="preserve">5.4. Otros activos de la empresa</w:t>
      </w:r>
    </w:p>
    <w:p>
      <w:pPr>
        <w:pStyle w:val="ListParagraph"/>
        <w:numPr>
          <w:ilvl w:val="0"/>
          <w:numId w:val="3"/>
        </w:numPr>
        <w:spacing w:after="100" w:line="288"/>
      </w:pPr>
      <w:r>
        <w:rPr>
          <w:rFonts w:ascii="Helvetica Neue" w:cs="Helvetica Neue" w:eastAsia="Helvetica Neue" w:hAnsi="Helvetica Neue"/>
          <w:b/>
          <w:bCs/>
          <w:sz w:val="22"/>
          <w:szCs w:val="22"/>
        </w:rPr>
        <w:t xml:space="preserve">Colaboración científica. </w:t>
      </w:r>
      <w:r>
        <w:rPr>
          <w:rFonts w:ascii="Helvetica Neue" w:cs="Helvetica Neue" w:eastAsia="Helvetica Neue" w:hAnsi="Helvetica Neue"/>
          <w:sz w:val="22"/>
          <w:szCs w:val="22"/>
        </w:rPr>
        <w:t xml:space="preserve">AIR Institute (Salamanca), para el desarrollo del sistema SFPA (ver sección 4.5).</w:t>
      </w:r>
    </w:p>
    <w:p>
      <w:pPr>
        <w:pStyle w:val="ListParagraph"/>
        <w:numPr>
          <w:ilvl w:val="0"/>
          <w:numId w:val="3"/>
        </w:numPr>
        <w:spacing w:after="100" w:line="288"/>
      </w:pPr>
      <w:r>
        <w:rPr>
          <w:rFonts w:ascii="Helvetica Neue" w:cs="Helvetica Neue" w:eastAsia="Helvetica Neue" w:hAnsi="Helvetica Neue"/>
          <w:b/>
          <w:bCs/>
          <w:sz w:val="22"/>
          <w:szCs w:val="22"/>
        </w:rPr>
        <w:t xml:space="preserve">Comunidad y base de datos. </w:t>
      </w:r>
      <w:r>
        <w:rPr>
          <w:rFonts w:ascii="Helvetica Neue" w:cs="Helvetica Neue" w:eastAsia="Helvetica Neue" w:hAnsi="Helvetica Neue"/>
          <w:sz w:val="22"/>
          <w:szCs w:val="22"/>
        </w:rPr>
        <w:t xml:space="preserve">Unos 44.550 seguidores en redes, más de 12.000 contactos y más de 7.600 clientes históricos de la línea Spiro (datos de gestión a agosto de 2026).</w:t>
      </w:r>
    </w:p>
    <w:p>
      <w:pPr>
        <w:pStyle w:val="ListParagraph"/>
        <w:numPr>
          <w:ilvl w:val="0"/>
          <w:numId w:val="3"/>
        </w:numPr>
        <w:spacing w:after="100" w:line="288"/>
      </w:pPr>
      <w:r>
        <w:rPr>
          <w:rFonts w:ascii="Helvetica Neue" w:cs="Helvetica Neue" w:eastAsia="Helvetica Neue" w:hAnsi="Helvetica Neue"/>
          <w:b/>
          <w:bCs/>
          <w:sz w:val="22"/>
          <w:szCs w:val="22"/>
        </w:rPr>
        <w:t xml:space="preserve">Canal digital operativo. </w:t>
      </w:r>
      <w:r>
        <w:rPr>
          <w:rFonts w:ascii="Helvetica Neue" w:cs="Helvetica Neue" w:eastAsia="Helvetica Neue" w:hAnsi="Helvetica Neue"/>
          <w:sz w:val="22"/>
          <w:szCs w:val="22"/>
        </w:rPr>
        <w:t xml:space="preserve">Shopify, Klaviyo, ManyChat, Meta Ads, Google Search Console y Microsoft Clarity, además del software propio descrito en la sección 4.5.</w:t>
      </w:r>
    </w:p>
    <w:p>
      <w:pPr>
        <w:pStyle w:val="Heading1"/>
        <w:spacing w:after="160" w:before="320"/>
      </w:pPr>
      <w:r>
        <w:rPr>
          <w:rFonts w:ascii="Georgia" w:cs="Georgia" w:eastAsia="Georgia" w:hAnsi="Georgia"/>
          <w:b/>
          <w:bCs/>
          <w:color w:val="122638"/>
          <w:sz w:val="30"/>
          <w:szCs w:val="30"/>
        </w:rPr>
        <w:t xml:space="preserve">6. Resultados históricos</w:t>
      </w:r>
    </w:p>
    <w:p>
      <w:pPr>
        <w:spacing w:after="120" w:line="288"/>
      </w:pPr>
      <w:r>
        <w:rPr>
          <w:rFonts w:ascii="Helvetica Neue" w:cs="Helvetica Neue" w:eastAsia="Helvetica Neue" w:hAnsi="Helvetica Neue"/>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Georgia" w:cs="Georgia" w:eastAsia="Georgia" w:hAnsi="Georgia"/>
          <w:b/>
          <w:bCs/>
          <w:color w:val="1D5366"/>
          <w:sz w:val="23"/>
          <w:szCs w:val="23"/>
        </w:rPr>
        <w:t xml:space="preserve">6.1. Cuenta de resultados histórica simplificada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826"/>
        <w:gridCol w:w="1550"/>
        <w:gridCol w:w="1550"/>
        <w:gridCol w:w="1550"/>
        <w:gridCol w:w="1550"/>
      </w:tblGrid>
      <w:tr>
        <w:trPr>
          <w:tblHeader/>
        </w:trPr>
        <w:tc>
          <w:tcPr>
            <w:tcW w:type="dxa" w:w="28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Concepto</w:t>
            </w:r>
          </w:p>
        </w:tc>
        <w:tc>
          <w:tcPr>
            <w:tcW w:type="dxa" w:w="155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2023 (jun–dic)</w:t>
            </w:r>
          </w:p>
        </w:tc>
        <w:tc>
          <w:tcPr>
            <w:tcW w:type="dxa" w:w="155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2024</w:t>
            </w:r>
          </w:p>
        </w:tc>
        <w:tc>
          <w:tcPr>
            <w:tcW w:type="dxa" w:w="155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2025</w:t>
            </w:r>
          </w:p>
        </w:tc>
        <w:tc>
          <w:tcPr>
            <w:tcW w:type="dxa" w:w="155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2026 (H1)</w:t>
            </w:r>
          </w:p>
        </w:tc>
      </w:tr>
      <w:tr>
        <w:tc>
          <w:tcPr>
            <w:tcW w:type="dxa" w:w="28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390.000</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534.504</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537.845</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207.815</w:t>
            </w:r>
          </w:p>
        </w:tc>
      </w:tr>
      <w:tr>
        <w:tc>
          <w:tcPr>
            <w:tcW w:type="dxa" w:w="28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Margen bruto (%)</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n.d.</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38,4 %</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24,5 %</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55,9 %</w:t>
            </w:r>
          </w:p>
        </w:tc>
      </w:tr>
      <w:tr>
        <w:tc>
          <w:tcPr>
            <w:tcW w:type="dxa" w:w="28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n.d.</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205.250</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131.772</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116.169</w:t>
            </w:r>
          </w:p>
        </w:tc>
      </w:tr>
      <w:tr>
        <w:tc>
          <w:tcPr>
            <w:tcW w:type="dxa" w:w="28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Coste de ventas implícito (€)</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n.d.</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329.254</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406.073</w:t>
            </w:r>
          </w:p>
        </w:tc>
        <w:tc>
          <w:tcPr>
            <w:tcW w:type="dxa" w:w="155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91.646</w:t>
            </w:r>
          </w:p>
        </w:tc>
      </w:tr>
      <w:tr>
        <w:tc>
          <w:tcPr>
            <w:tcW w:type="dxa" w:w="28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n.d.</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+52.493</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+19.301</w:t>
            </w:r>
          </w:p>
        </w:tc>
        <w:tc>
          <w:tcPr>
            <w:tcW w:type="dxa" w:w="155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+78.738</w:t>
            </w:r>
          </w:p>
        </w:tc>
      </w:tr>
    </w:tbl>
    <w:p>
      <w:pPr>
        <w:spacing w:after="80"/>
      </w:pPr>
    </w:p>
    <w:p>
      <w:pPr>
        <w:spacing w:after="120" w:line="288"/>
      </w:pPr>
      <w:r>
        <w:rPr>
          <w:rFonts w:ascii="Helvetica Neue" w:cs="Helvetica Neue" w:eastAsia="Helvetica Neue" w:hAnsi="Helvetica Neue"/>
          <w:i/>
          <w:iCs/>
          <w:color w:val="64707C"/>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spacing w:after="120" w:line="288"/>
      </w:pPr>
      <w:r>
        <w:rPr>
          <w:rFonts w:ascii="Helvetica Neue" w:cs="Helvetica Neue" w:eastAsia="Helvetica Neue" w:hAnsi="Helvetica Neue"/>
          <w:b/>
          <w:bCs/>
          <w:sz w:val="22"/>
          <w:szCs w:val="22"/>
        </w:rPr>
        <w:t xml:space="preserve">Comparabilidad entre periodos. </w:t>
      </w:r>
      <w:r>
        <w:rPr>
          <w:rFonts w:ascii="Helvetica Neue" w:cs="Helvetica Neue" w:eastAsia="Helvetica Neue" w:hAnsi="Helvetica Neue"/>
          <w:sz w:val="22"/>
          <w:szCs w:val="22"/>
        </w:rPr>
        <w:t xml:space="preserve">El negocio es marcadamente estacional. El tramo junio–diciembre de 2023 contiene la campaña completa de fin de año, mientras que 2024 y 2025 la diluyen entre doce meses y el primer semestre de 2026 no la incluye. Con la estructura de 2025 (275.000 € de campaña y unos 26.300 €/mes fuera de ella), un periodo de siete meses con campaña arrojaría del orden de 406.000 €: los 390.000 € de 2023 quedan un 4 % por debajo de esa referencia, plenamente coherentes con el patrón estacional. Por el mismo motivo, anualizar el primer semestre de 2026 subestima el ejercicio.</w:t>
      </w:r>
    </w:p>
    <w:p>
      <w:pPr>
        <w:pStyle w:val="Heading2"/>
        <w:spacing w:after="120" w:before="220"/>
      </w:pPr>
      <w:r>
        <w:rPr>
          <w:rFonts w:ascii="Georgia" w:cs="Georgia" w:eastAsia="Georgia" w:hAnsi="Georgia"/>
          <w:b/>
          <w:bCs/>
          <w:color w:val="1D5366"/>
          <w:sz w:val="23"/>
          <w:szCs w:val="23"/>
        </w:rPr>
        <w:t xml:space="preserve">6.2. Lectura de gestión</w:t>
      </w:r>
    </w:p>
    <w:p>
      <w:pPr>
        <w:pStyle w:val="ListParagraph"/>
        <w:numPr>
          <w:ilvl w:val="0"/>
          <w:numId w:val="3"/>
        </w:numPr>
        <w:spacing w:after="100" w:line="288"/>
      </w:pPr>
      <w:r>
        <w:rPr>
          <w:rFonts w:ascii="Helvetica Neue" w:cs="Helvetica Neue" w:eastAsia="Helvetica Neue" w:hAnsi="Helvetica Neue"/>
          <w:b/>
          <w:bCs/>
          <w:sz w:val="22"/>
          <w:szCs w:val="22"/>
        </w:rPr>
        <w:t xml:space="preserve">Trayectoria estable y en beneficios. </w:t>
      </w:r>
      <w:r>
        <w:rPr>
          <w:rFonts w:ascii="Helvetica Neue" w:cs="Helvetica Neue" w:eastAsia="Helvetica Neue" w:hAnsi="Helvetica Neue"/>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Helvetica Neue" w:cs="Helvetica Neue" w:eastAsia="Helvetica Neue" w:hAnsi="Helvetica Neue"/>
          <w:b/>
          <w:bCs/>
          <w:sz w:val="22"/>
          <w:szCs w:val="22"/>
        </w:rPr>
        <w:t xml:space="preserve">Volumen y margen. </w:t>
      </w:r>
      <w:r>
        <w:rPr>
          <w:rFonts w:ascii="Helvetica Neue" w:cs="Helvetica Neue" w:eastAsia="Helvetica Neue" w:hAnsi="Helvetica Neue"/>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responde al cambio de mix de producto: el peso creciente de Ekio Light, de marca propia y margen superior al 50 %, frente a la distribución de Spiro. El menor resultado de 2025 procede de la caída del margen bruto de ese ejercicio (unos 73.000 € menos de margen), a la que se sumó la inversión de lanzamiento de Ekio Light: 34.316 € adicionales en publicidad y 18.264 € en servicios profesionales.</w:t>
      </w:r>
    </w:p>
    <w:p>
      <w:pPr>
        <w:pStyle w:val="ListParagraph"/>
        <w:numPr>
          <w:ilvl w:val="0"/>
          <w:numId w:val="3"/>
        </w:numPr>
        <w:spacing w:after="100" w:line="288"/>
      </w:pPr>
      <w:r>
        <w:rPr>
          <w:rFonts w:ascii="Helvetica Neue" w:cs="Helvetica Neue" w:eastAsia="Helvetica Neue" w:hAnsi="Helvetica Neue"/>
          <w:b/>
          <w:bCs/>
          <w:sz w:val="22"/>
          <w:szCs w:val="22"/>
        </w:rPr>
        <w:t xml:space="preserve">Sin capital de terceros. </w:t>
      </w:r>
      <w:r>
        <w:rPr>
          <w:rFonts w:ascii="Helvetica Neue" w:cs="Helvetica Neue" w:eastAsia="Helvetica Neue" w:hAnsi="Helvetica Neue"/>
          <w:sz w:val="22"/>
          <w:szCs w:val="22"/>
        </w:rPr>
        <w:t xml:space="preserve">La única deuda financiera de la actividad es un préstamo de 80.000 € formalizado con CaixaBank, en amortización y al corriente de pago. No hay inversores en el capital ni otras líneas vivas. La empresa ya es cliente de la entidad y ha atendido puntualmente ese compromiso.</w:t>
      </w:r>
    </w:p>
    <w:p>
      <w:pPr>
        <w:pBdr>
          <w:top w:val="single" w:color="DED4C4" w:sz="4"/>
          <w:bottom w:val="single" w:color="DED4C4" w:sz="4"/>
          <w:left w:val="single" w:color="E7A84D" w:sz="16"/>
          <w:right w:val="single" w:color="DED4C4" w:sz="4"/>
        </w:pBdr>
        <w:shd w:fill="F6F0E6" w:val="clear"/>
        <w:spacing w:after="160" w:before="120" w:line="276"/>
      </w:pPr>
      <w:r>
        <w:rPr>
          <w:rFonts w:ascii="Helvetica Neue" w:cs="Helvetica Neue" w:eastAsia="Helvetica Neue" w:hAnsi="Helvetica Neue"/>
          <w:b/>
          <w:bCs/>
          <w:i/>
          <w:iCs/>
          <w:color w:val="64707C"/>
          <w:sz w:val="20"/>
          <w:szCs w:val="20"/>
        </w:rPr>
        <w:t xml:space="preserve">Nota metodológica. </w:t>
      </w:r>
      <w:r>
        <w:rPr>
          <w:rFonts w:ascii="Helvetica Neue" w:cs="Helvetica Neue" w:eastAsia="Helvetica Neue" w:hAnsi="Helvetica Neue"/>
          <w:i/>
          <w:iCs/>
          <w:color w:val="64707C"/>
          <w:sz w:val="20"/>
          <w:szCs w:val="20"/>
        </w:rPr>
        <w:t xml:space="preserve">El margen bruto en euros y el coste de ventas se derivan de la facturación y del margen bruto de gestión. El resultado histórico corresponde a la actividad como empresario individual y es anterior al IRPF, que es un impuesto personal; a partir de 2026 la sociedad tributa por el Impuesto sobre Sociedades. Las declaraciones de IRPF y los modelos 130 y 390 de todos los ejercicios acompañan a este plan.</w:t>
      </w:r>
    </w:p>
    <w:p>
      <w:pPr>
        <w:pStyle w:val="Heading1"/>
        <w:spacing w:after="160" w:before="320"/>
      </w:pPr>
      <w:r>
        <w:rPr>
          <w:rFonts w:ascii="Georgia" w:cs="Georgia" w:eastAsia="Georgia" w:hAnsi="Georgia"/>
          <w:b/>
          <w:bCs/>
          <w:color w:val="122638"/>
          <w:sz w:val="30"/>
          <w:szCs w:val="30"/>
        </w:rPr>
        <w:t xml:space="preserve">7. Plan comercial para los próximos 6 meses (septiembre 2026 – febrero 2027)</w:t>
      </w:r>
    </w:p>
    <w:p>
      <w:pPr>
        <w:pStyle w:val="Heading2"/>
        <w:spacing w:after="120" w:before="220"/>
      </w:pPr>
      <w:r>
        <w:rPr>
          <w:rFonts w:ascii="Georgia" w:cs="Georgia" w:eastAsia="Georgia" w:hAnsi="Georgia"/>
          <w:b/>
          <w:bCs/>
          <w:color w:val="1D5366"/>
          <w:sz w:val="23"/>
          <w:szCs w:val="23"/>
        </w:rPr>
        <w:t xml:space="preserve">7.1. Septiembre – octubre: refuerzo de comunicación y ferias</w:t>
      </w:r>
    </w:p>
    <w:p>
      <w:pPr>
        <w:pStyle w:val="ListParagraph"/>
        <w:numPr>
          <w:ilvl w:val="0"/>
          <w:numId w:val="3"/>
        </w:numPr>
        <w:spacing w:after="100" w:line="288"/>
      </w:pPr>
      <w:r>
        <w:rPr>
          <w:rFonts w:ascii="Helvetica Neue" w:cs="Helvetica Neue" w:eastAsia="Helvetica Neue" w:hAnsi="Helvetica Neue"/>
          <w:b/>
          <w:bCs/>
          <w:sz w:val="22"/>
          <w:szCs w:val="22"/>
        </w:rPr>
        <w:t xml:space="preserve">Desde septiembre: </w:t>
      </w:r>
      <w:r>
        <w:rPr>
          <w:rFonts w:ascii="Helvetica Neue" w:cs="Helvetica Neue" w:eastAsia="Helvetica Neue" w:hAnsi="Helvetica Neue"/>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Helvetica Neue" w:cs="Helvetica Neue" w:eastAsia="Helvetica Neue" w:hAnsi="Helvetica Neue"/>
          <w:b/>
          <w:bCs/>
          <w:sz w:val="22"/>
          <w:szCs w:val="22"/>
        </w:rPr>
        <w:t xml:space="preserve">Octubre — ferias. </w:t>
      </w:r>
      <w:r>
        <w:rPr>
          <w:rFonts w:ascii="Helvetica Neue" w:cs="Helvetica Neue" w:eastAsia="Helvetica Neue" w:hAnsi="Helvetica Neue"/>
          <w:sz w:val="22"/>
          <w:szCs w:val="22"/>
        </w:rPr>
        <w:t xml:space="preserve">Stand propio en Startup OLÉ (Salamanca, 13–15 de octubre) y en el Valencia Digital Summit (22 de octubre, con pitch a inversores), por invitación de Wolaria / ICECYL. Sirven a tres fines: venta y captación en el stand, apertura del canal B2B y contacto con inversores y compradores internacionales. Su coste va en el presupuesto ordinario de marketing, no en la línea solicitada.</w:t>
      </w:r>
    </w:p>
    <w:p>
      <w:pPr>
        <w:pStyle w:val="ListParagraph"/>
        <w:numPr>
          <w:ilvl w:val="0"/>
          <w:numId w:val="3"/>
        </w:numPr>
        <w:spacing w:after="100" w:line="288"/>
      </w:pPr>
      <w:r>
        <w:rPr>
          <w:rFonts w:ascii="Helvetica Neue" w:cs="Helvetica Neue" w:eastAsia="Helvetica Neue" w:hAnsi="Helvetica Neue"/>
          <w:b/>
          <w:bCs/>
          <w:sz w:val="22"/>
          <w:szCs w:val="22"/>
        </w:rPr>
        <w:t xml:space="preserve">11 de noviembre — publicación del libro. </w:t>
      </w:r>
      <w:r>
        <w:rPr>
          <w:rFonts w:ascii="Helvetica Neue" w:cs="Helvetica Neue" w:eastAsia="Helvetica Neue" w:hAnsi="Helvetica Neue"/>
          <w:sz w:val="22"/>
          <w:szCs w:val="22"/>
        </w:rPr>
        <w:t xml:space="preserve">Lanzamiento de la obra divulgativa de la empresa (ver sección 8.5), que refuerza la notoriedad justo antes del Black Friday.</w:t>
      </w:r>
    </w:p>
    <w:p>
      <w:pPr>
        <w:pStyle w:val="Heading2"/>
        <w:spacing w:after="120" w:before="220"/>
      </w:pPr>
      <w:r>
        <w:rPr>
          <w:rFonts w:ascii="Georgia" w:cs="Georgia" w:eastAsia="Georgia" w:hAnsi="Georgia"/>
          <w:b/>
          <w:bCs/>
          <w:color w:val="1D5366"/>
          <w:sz w:val="23"/>
          <w:szCs w:val="23"/>
        </w:rPr>
        <w:t xml:space="preserve">7.2. Noviembre – enero: campaña de fin de año</w:t>
      </w:r>
    </w:p>
    <w:p>
      <w:pPr>
        <w:spacing w:after="120" w:line="288"/>
      </w:pPr>
      <w:r>
        <w:rPr>
          <w:rFonts w:ascii="Helvetica Neue" w:cs="Helvetica Neue" w:eastAsia="Helvetica Neue" w:hAnsi="Helvetica Neue"/>
          <w:sz w:val="22"/>
          <w:szCs w:val="22"/>
        </w:rPr>
        <w:t xml:space="preserve">El periodo Black Friday → Navidad → Reyes es el pico de demanda del año. La campaña equivalente del año anterior generó 275.000 € de venta bruta, cifra que supera el 50 % de todo lo facturado en 2025 (537.845 €). Q4 concentra, por tanto, una parte muy alta de la actividad anual.</w:t>
      </w:r>
    </w:p>
    <w:p>
      <w:pPr>
        <w:pStyle w:val="Heading2"/>
        <w:spacing w:after="120" w:before="220"/>
      </w:pPr>
      <w:r>
        <w:rPr>
          <w:rFonts w:ascii="Georgia" w:cs="Georgia" w:eastAsia="Georgia" w:hAnsi="Georgia"/>
          <w:b/>
          <w:bCs/>
          <w:color w:val="1D5366"/>
          <w:sz w:val="23"/>
          <w:szCs w:val="23"/>
        </w:rPr>
        <w:t xml:space="preserve">7.3. Papel de la línea de crédito</w:t>
      </w:r>
    </w:p>
    <w:p>
      <w:pPr>
        <w:spacing w:after="120" w:line="288"/>
      </w:pPr>
      <w:r>
        <w:rPr>
          <w:rFonts w:ascii="Helvetica Neue" w:cs="Helvetica Neue" w:eastAsia="Helvetica Neue" w:hAnsi="Helvetica Neue"/>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Helvetica Neue" w:cs="Helvetica Neue" w:eastAsia="Helvetica Neue" w:hAnsi="Helvetica Neue"/>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Georgia" w:cs="Georgia" w:eastAsia="Georgia" w:hAnsi="Georgia"/>
          <w:b/>
          <w:bCs/>
          <w:color w:val="122638"/>
          <w:sz w:val="30"/>
          <w:szCs w:val="30"/>
        </w:rPr>
        <w:t xml:space="preserve">8. Visión y objetivos (2026–2027)</w:t>
      </w:r>
    </w:p>
    <w:p>
      <w:pPr>
        <w:spacing w:after="120" w:line="288"/>
      </w:pPr>
      <w:r>
        <w:rPr>
          <w:rFonts w:ascii="Helvetica Neue" w:cs="Helvetica Neue" w:eastAsia="Helvetica Neue" w:hAnsi="Helvetica Neue"/>
          <w:sz w:val="22"/>
          <w:szCs w:val="22"/>
        </w:rPr>
        <w:t xml:space="preserve">Esta solicitud financia el circulante de una campaña concreta, pero conviene exponer hacia dónde va la empresa: explica por qué invierte en propiedad industrial y software, y por qué esos activos sostienen el margen que hace viable la devolución.</w:t>
      </w:r>
    </w:p>
    <w:p>
      <w:pPr>
        <w:pStyle w:val="Heading2"/>
        <w:spacing w:after="120" w:before="220"/>
      </w:pPr>
      <w:r>
        <w:rPr>
          <w:rFonts w:ascii="Georgia" w:cs="Georgia" w:eastAsia="Georgia" w:hAnsi="Georgia"/>
          <w:b/>
          <w:bCs/>
          <w:color w:val="1D5366"/>
          <w:sz w:val="23"/>
          <w:szCs w:val="23"/>
        </w:rPr>
        <w:t xml:space="preserve">8.1. Visión</w:t>
      </w:r>
    </w:p>
    <w:p>
      <w:pPr>
        <w:spacing w:after="120" w:line="288"/>
      </w:pPr>
      <w:r>
        <w:rPr>
          <w:rFonts w:ascii="Helvetica Neue" w:cs="Helvetica Neue" w:eastAsia="Helvetica Neue" w:hAnsi="Helvetica Neue"/>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Helvetica Neue" w:cs="Helvetica Neue" w:eastAsia="Helvetica Neue" w:hAnsi="Helvetica Neue"/>
          <w:b/>
          <w:bCs/>
          <w:sz w:val="22"/>
          <w:szCs w:val="22"/>
        </w:rPr>
        <w:t xml:space="preserve">Por qué la empresa cree que puede liderar ese nicho. </w:t>
      </w:r>
      <w:r>
        <w:rPr>
          <w:rFonts w:ascii="Helvetica Neue" w:cs="Helvetica Neue" w:eastAsia="Helvetica Neue" w:hAnsi="Helvetica Neue"/>
          <w:sz w:val="22"/>
          <w:szCs w:val="22"/>
        </w:rPr>
        <w:t xml:space="preserve">El segmento en el que compite —equipos de bienestar personal diseñados a la vez con criterio de fotobiomodulación y de seguridad electromagnética— está hoy poco disputado: los fabricantes de terapia de luz no incorporan el criterio de bajo campo electromagnético ni de ausencia de parpadeo, y los especialistas en protección electromagnética no fabrican equipos de luz. Ekio ya opera en ese cruce, con producto propio, propiedad industrial, software y comunidad. La estrategia de los próximos años es defender esa posición ("blindar" el producto) antes de que el nicho se pueble: registrar y extender la propiedad industrial, acumular datos de uso propios a través de la aplicación Ekio Coach, y consolidar la relación con la comunidad de clientes. Son ventajas acumulativas, difíciles de replicar comprando producto.</w:t>
      </w:r>
    </w:p>
    <w:p>
      <w:pPr>
        <w:spacing w:after="120" w:line="288"/>
      </w:pPr>
      <w:r>
        <w:rPr>
          <w:rFonts w:ascii="Helvetica Neue" w:cs="Helvetica Neue" w:eastAsia="Helvetica Neue" w:hAnsi="Helvetica Neue"/>
          <w:b/>
          <w:bCs/>
          <w:sz w:val="22"/>
          <w:szCs w:val="22"/>
        </w:rPr>
        <w:t xml:space="preserve">El primer paso ya está dado. </w:t>
      </w:r>
      <w:r>
        <w:rPr>
          <w:rFonts w:ascii="Helvetica Neue" w:cs="Helvetica Neue" w:eastAsia="Helvetica Neue" w:hAnsi="Helvetica Neue"/>
          <w:sz w:val="22"/>
          <w:szCs w:val="22"/>
        </w:rPr>
        <w:t xml:space="preserve">La salida a Europa no es una intención: Ekio está dentro del Plan de Internacionalización de Empresas a través de Marketplace de ICECYL y ha empezado a vender en Ankorstore hacia Alemania, Austria, Suiza, Países Bajos y Bélgica (sección 5.3). El recorrido es gradual y autofinanciado con el margen del negocio: consolidación del mercado nacional y del canal B2B, expansión europea vía marketplace, y solo más adelante —condicionada a la extensión efectiva de la protección industrial (fases nacionales de la solicitud PCT) y a la certificación aplicable— la entrada en Estados Unidos.</w:t>
      </w:r>
    </w:p>
    <w:p>
      <w:pPr>
        <w:pBdr>
          <w:top w:val="single" w:color="DED4C4" w:sz="4"/>
          <w:bottom w:val="single" w:color="DED4C4" w:sz="4"/>
          <w:left w:val="single" w:color="E7A84D" w:sz="16"/>
          <w:right w:val="single" w:color="DED4C4" w:sz="4"/>
        </w:pBdr>
        <w:shd w:fill="F6F0E6" w:val="clear"/>
        <w:spacing w:after="160" w:before="120" w:line="276"/>
      </w:pPr>
      <w:r>
        <w:rPr>
          <w:rFonts w:ascii="Helvetica Neue" w:cs="Helvetica Neue" w:eastAsia="Helvetica Neue" w:hAnsi="Helvetica Neue"/>
          <w:b/>
          <w:bCs/>
          <w:i/>
          <w:iCs/>
          <w:color w:val="64707C"/>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Georgia" w:cs="Georgia" w:eastAsia="Georgia" w:hAnsi="Georgia"/>
          <w:b/>
          <w:bCs/>
          <w:color w:val="1D5366"/>
          <w:sz w:val="23"/>
          <w:szCs w:val="23"/>
        </w:rPr>
        <w:t xml:space="preserve">8.2. Objetivo financiero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1600"/>
        <w:gridCol w:w="2400"/>
        <w:gridCol w:w="5026"/>
      </w:tblGrid>
      <w:tr>
        <w:trPr>
          <w:tblHeader/>
        </w:trPr>
        <w:tc>
          <w:tcPr>
            <w:tcW w:type="dxa" w:w="1600"/>
            <w:shd w:fill="122638" w:val="clear"/>
            <w:tcMar>
              <w:top w:type="dxa" w:w="60"/>
              <w:left w:type="dxa" w:w="90"/>
              <w:bottom w:type="dxa" w:w="60"/>
              <w:right w:type="dxa" w:w="90"/>
            </w:tcMar>
          </w:tcPr>
          <w:p>
            <w:pPr>
              <w:spacing w:after="0" w:line="264"/>
              <w:jc w:val="center"/>
            </w:pPr>
            <w:r>
              <w:rPr>
                <w:rFonts w:ascii="Helvetica Neue" w:cs="Helvetica Neue" w:eastAsia="Helvetica Neue" w:hAnsi="Helvetica Neue"/>
                <w:b/>
                <w:bCs/>
                <w:color w:val="FFFDF8"/>
                <w:sz w:val="20"/>
                <w:szCs w:val="20"/>
              </w:rPr>
              <w:t xml:space="preserve">Ejercicio</w:t>
            </w:r>
          </w:p>
        </w:tc>
        <w:tc>
          <w:tcPr>
            <w:tcW w:type="dxa" w:w="24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Objetivo de facturación</w:t>
            </w:r>
          </w:p>
        </w:tc>
        <w:tc>
          <w:tcPr>
            <w:tcW w:type="dxa" w:w="50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Palanca principal</w:t>
            </w:r>
          </w:p>
        </w:tc>
      </w:tr>
      <w:tr>
        <w:tc>
          <w:tcPr>
            <w:tcW w:type="dxa" w:w="16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2026</w:t>
            </w:r>
          </w:p>
        </w:tc>
        <w:tc>
          <w:tcPr>
            <w:tcW w:type="dxa" w:w="24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530.000 – 550.000 €</w:t>
            </w:r>
          </w:p>
        </w:tc>
        <w:tc>
          <w:tcPr>
            <w:tcW w:type="dxa" w:w="5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Recuperar volumen en la campaña de Q4 sin ceder el margen bruto ganado (superior al 50 %)</w:t>
            </w:r>
          </w:p>
        </w:tc>
      </w:tr>
      <w:tr>
        <w:tc>
          <w:tcPr>
            <w:tcW w:type="dxa" w:w="1600"/>
            <w:shd w:fill="F6F0E6" w:val="clear"/>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2027</w:t>
            </w:r>
          </w:p>
        </w:tc>
        <w:tc>
          <w:tcPr>
            <w:tcW w:type="dxa" w:w="24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1.000.000 €</w:t>
            </w:r>
          </w:p>
        </w:tc>
        <w:tc>
          <w:tcPr>
            <w:tcW w:type="dxa" w:w="5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Todas las líneas de negocio en marcha: canal mayorista europeo (Ankorstore), B2B nacional, renting y accesorios</w:t>
            </w:r>
          </w:p>
        </w:tc>
      </w:tr>
    </w:tbl>
    <w:p>
      <w:pPr>
        <w:spacing w:after="80"/>
      </w:pPr>
    </w:p>
    <w:p>
      <w:pPr>
        <w:spacing w:after="120" w:line="288"/>
      </w:pPr>
      <w:r>
        <w:rPr>
          <w:rFonts w:ascii="Helvetica Neue" w:cs="Helvetica Neue" w:eastAsia="Helvetica Neue" w:hAnsi="Helvetica Neue"/>
          <w:sz w:val="22"/>
          <w:szCs w:val="22"/>
        </w:rPr>
        <w:t xml:space="preserve">El objetivo de 2027 supone prácticamente duplicar la facturación. No descansa en vender más de lo mismo, sino en que en ese ejercicio estén operativas de forma simultánea líneas que hoy aportan poco o nada: la venta mayorista en Europa a través de Ankorstore, el B2B nacional a clínicas y centros, el renting y la línea de accesorios. Alcanzado ese punto, la empresa valorará la incorporación de inversores para acelerar el desarrollo del sistema SFPA y la expansión internacional.</w:t>
      </w:r>
    </w:p>
    <w:p>
      <w:pPr>
        <w:pBdr>
          <w:top w:val="single" w:color="DED4C4" w:sz="4"/>
          <w:bottom w:val="single" w:color="DED4C4" w:sz="4"/>
          <w:left w:val="single" w:color="E7A84D" w:sz="16"/>
          <w:right w:val="single" w:color="DED4C4" w:sz="4"/>
        </w:pBdr>
        <w:shd w:fill="F6F0E6" w:val="clear"/>
        <w:spacing w:after="160" w:before="120" w:line="276"/>
      </w:pPr>
      <w:r>
        <w:rPr>
          <w:rFonts w:ascii="Helvetica Neue" w:cs="Helvetica Neue" w:eastAsia="Helvetica Neue" w:hAnsi="Helvetica Neue"/>
          <w:b/>
          <w:bCs/>
          <w:i/>
          <w:iCs/>
          <w:color w:val="64707C"/>
          <w:sz w:val="20"/>
          <w:szCs w:val="20"/>
        </w:rPr>
        <w:t xml:space="preserve">Este objetivo es una meta de gestión, no una proyección comprometida, y no interviene en el cálculo de la capacidad de devolución de la línea solicitada: esa capacidad se acredita únicamente con la campaña del cuarto trimestre de 2026 (sección 10).</w:t>
      </w:r>
    </w:p>
    <w:p>
      <w:pPr>
        <w:pStyle w:val="Heading2"/>
        <w:spacing w:after="120" w:before="220"/>
      </w:pPr>
      <w:r>
        <w:rPr>
          <w:rFonts w:ascii="Georgia" w:cs="Georgia" w:eastAsia="Georgia" w:hAnsi="Georgia"/>
          <w:b/>
          <w:bCs/>
          <w:color w:val="1D5366"/>
          <w:sz w:val="23"/>
          <w:szCs w:val="23"/>
        </w:rPr>
        <w:t xml:space="preserve">8.3. Palancas de crecimiento</w:t>
      </w:r>
    </w:p>
    <w:p>
      <w:pPr>
        <w:pStyle w:val="ListParagraph"/>
        <w:numPr>
          <w:ilvl w:val="0"/>
          <w:numId w:val="2"/>
        </w:numPr>
        <w:spacing w:after="100" w:line="288"/>
      </w:pPr>
      <w:r>
        <w:rPr>
          <w:rFonts w:ascii="Helvetica Neue" w:cs="Helvetica Neue" w:eastAsia="Helvetica Neue" w:hAnsi="Helvetica Neue"/>
          <w:b/>
          <w:bCs/>
          <w:sz w:val="22"/>
          <w:szCs w:val="22"/>
        </w:rPr>
        <w:t xml:space="preserve">Mayor peso del producto propio. </w:t>
      </w:r>
      <w:r>
        <w:rPr>
          <w:rFonts w:ascii="Helvetica Neue" w:cs="Helvetica Neue" w:eastAsia="Helvetica Neue" w:hAnsi="Helvetica Neue"/>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Helvetica Neue" w:cs="Helvetica Neue" w:eastAsia="Helvetica Neue" w:hAnsi="Helvetica Neue"/>
          <w:b/>
          <w:bCs/>
          <w:sz w:val="22"/>
          <w:szCs w:val="22"/>
        </w:rPr>
        <w:t xml:space="preserve">Canal mayorista europeo. </w:t>
      </w:r>
      <w:r>
        <w:rPr>
          <w:rFonts w:ascii="Helvetica Neue" w:cs="Helvetica Neue" w:eastAsia="Helvetica Neue" w:hAnsi="Helvetica Neue"/>
          <w:sz w:val="22"/>
          <w:szCs w:val="22"/>
        </w:rPr>
        <w:t xml:space="preserve">Escalar la venta B2B en Ankorstore hacia Alemania, Austria, Suiza, Países Bajos y Bélgica, dentro del Plan de Internacionalización de ICECYL (sección 5.3), y abrir el B2B nacional en clínicas, centros de estética y gimnasios. Aporta pedidos de mayor volumen y reduce la dependencia del pico estacional español.</w:t>
      </w:r>
    </w:p>
    <w:p>
      <w:pPr>
        <w:pStyle w:val="ListParagraph"/>
        <w:numPr>
          <w:ilvl w:val="0"/>
          <w:numId w:val="2"/>
        </w:numPr>
        <w:spacing w:after="100" w:line="288"/>
      </w:pPr>
      <w:r>
        <w:rPr>
          <w:rFonts w:ascii="Helvetica Neue" w:cs="Helvetica Neue" w:eastAsia="Helvetica Neue" w:hAnsi="Helvetica Neue"/>
          <w:b/>
          <w:bCs/>
          <w:sz w:val="22"/>
          <w:szCs w:val="22"/>
        </w:rPr>
        <w:t xml:space="preserve">Lanzamiento del sistema SFPA. </w:t>
      </w:r>
      <w:r>
        <w:rPr>
          <w:rFonts w:ascii="Helvetica Neue" w:cs="Helvetica Neue" w:eastAsia="Helvetica Neue" w:hAnsi="Helvetica Neue"/>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Helvetica Neue" w:cs="Helvetica Neue" w:eastAsia="Helvetica Neue" w:hAnsi="Helvetica Neue"/>
          <w:b/>
          <w:bCs/>
          <w:sz w:val="22"/>
          <w:szCs w:val="22"/>
        </w:rPr>
        <w:t xml:space="preserve">Comunidad y recompra. </w:t>
      </w:r>
      <w:r>
        <w:rPr>
          <w:rFonts w:ascii="Helvetica Neue" w:cs="Helvetica Neue" w:eastAsia="Helvetica Neue" w:hAnsi="Helvetica Neue"/>
          <w:sz w:val="22"/>
          <w:szCs w:val="22"/>
        </w:rPr>
        <w:t xml:space="preserve">Explotar la aplicación Ekio Coach y la base de datos (unos 44.550 seguidores y más de 12.000 contactos) como motor de recompra y venta cruzada.</w:t>
      </w:r>
    </w:p>
    <w:p>
      <w:pPr>
        <w:pStyle w:val="ListParagraph"/>
        <w:numPr>
          <w:ilvl w:val="0"/>
          <w:numId w:val="2"/>
        </w:numPr>
        <w:spacing w:after="100" w:line="288"/>
      </w:pPr>
      <w:r>
        <w:rPr>
          <w:rFonts w:ascii="Helvetica Neue" w:cs="Helvetica Neue" w:eastAsia="Helvetica Neue" w:hAnsi="Helvetica Neue"/>
          <w:b/>
          <w:bCs/>
          <w:sz w:val="22"/>
          <w:szCs w:val="22"/>
        </w:rPr>
        <w:t xml:space="preserve">Presencia en ferias. </w:t>
      </w:r>
      <w:r>
        <w:rPr>
          <w:rFonts w:ascii="Helvetica Neue" w:cs="Helvetica Neue" w:eastAsia="Helvetica Neue" w:hAnsi="Helvetica Neue"/>
          <w:sz w:val="22"/>
          <w:szCs w:val="22"/>
        </w:rPr>
        <w:t xml:space="preserve">Startup OLÉ y Valencia Digital Summit en octubre de 2026 como puerta de entrada al canal profesional; en ejercicios siguientes, ferias europeas del sector, con presupuesto ordinario de marketing.</w:t>
      </w:r>
    </w:p>
    <w:p>
      <w:pPr>
        <w:pStyle w:val="Heading2"/>
        <w:spacing w:after="120" w:before="220"/>
      </w:pPr>
      <w:r>
        <w:rPr>
          <w:rFonts w:ascii="Georgia" w:cs="Georgia" w:eastAsia="Georgia" w:hAnsi="Georgia"/>
          <w:b/>
          <w:bCs/>
          <w:color w:val="1D5366"/>
          <w:sz w:val="23"/>
          <w:szCs w:val="23"/>
        </w:rPr>
        <w:t xml:space="preserve">8.4. Propiedad industrial y software: la base de la ambición internacional</w:t>
      </w:r>
    </w:p>
    <w:p>
      <w:pPr>
        <w:spacing w:after="120" w:line="288"/>
      </w:pPr>
      <w:r>
        <w:rPr>
          <w:rFonts w:ascii="Helvetica Neue" w:cs="Helvetica Neue" w:eastAsia="Helvetica Neue" w:hAnsi="Helvetica Neue"/>
          <w:sz w:val="22"/>
          <w:szCs w:val="22"/>
        </w:rPr>
        <w:t xml:space="preserve">El esfuerzo en patentes y desarrollo propio es la condición para competir fuera de España con margen, sin quedar reducida a distribuidora de producto de terceros.</w:t>
      </w:r>
    </w:p>
    <w:p>
      <w:pPr>
        <w:pStyle w:val="ListParagraph"/>
        <w:numPr>
          <w:ilvl w:val="0"/>
          <w:numId w:val="3"/>
        </w:numPr>
        <w:spacing w:after="100" w:line="288"/>
      </w:pPr>
      <w:r>
        <w:rPr>
          <w:rFonts w:ascii="Helvetica Neue" w:cs="Helvetica Neue" w:eastAsia="Helvetica Neue" w:hAnsi="Helvetica Neue"/>
          <w:b/>
          <w:bCs/>
          <w:sz w:val="22"/>
          <w:szCs w:val="22"/>
        </w:rPr>
        <w:t xml:space="preserve">Modelo de Utilidad Nº U202532624 </w:t>
      </w:r>
      <w:r>
        <w:rPr>
          <w:rFonts w:ascii="Helvetica Neue" w:cs="Helvetica Neue" w:eastAsia="Helvetica Neue" w:hAnsi="Helvetica Neue"/>
          <w:sz w:val="22"/>
          <w:szCs w:val="22"/>
        </w:rPr>
        <w:t xml:space="preserve">(panel multiespectral), registrado ante la OEPM; se acompaña el título del expediente.</w:t>
      </w:r>
    </w:p>
    <w:p>
      <w:pPr>
        <w:pStyle w:val="ListParagraph"/>
        <w:numPr>
          <w:ilvl w:val="0"/>
          <w:numId w:val="3"/>
        </w:numPr>
        <w:spacing w:after="100" w:line="288"/>
      </w:pPr>
      <w:r>
        <w:rPr>
          <w:rFonts w:ascii="Helvetica Neue" w:cs="Helvetica Neue" w:eastAsia="Helvetica Neue" w:hAnsi="Helvetica Neue"/>
          <w:b/>
          <w:bCs/>
          <w:sz w:val="22"/>
          <w:szCs w:val="22"/>
        </w:rPr>
        <w:t xml:space="preserve">Patente internacional (PCT) del sistema SFPA, </w:t>
      </w:r>
      <w:r>
        <w:rPr>
          <w:rFonts w:ascii="Helvetica Neue" w:cs="Helvetica Neue" w:eastAsia="Helvetica Neue" w:hAnsi="Helvetica Neue"/>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spacing w:after="120" w:line="288"/>
      </w:pPr>
      <w:r>
        <w:rPr>
          <w:rFonts w:ascii="Helvetica Neue" w:cs="Helvetica Neue" w:eastAsia="Helvetica Neue" w:hAnsi="Helvetica Neue"/>
          <w:sz w:val="22"/>
          <w:szCs w:val="22"/>
        </w:rPr>
        <w:t xml:space="preserve">Según el resultado de la PCT se evaluará una extensión internacional selectiva a los mercados con mayor demanda. Los costes de tramitación se asumen con recursos propios.</w:t>
      </w:r>
    </w:p>
    <w:p>
      <w:pPr>
        <w:pStyle w:val="Heading2"/>
        <w:spacing w:after="120" w:before="220"/>
      </w:pPr>
      <w:r>
        <w:rPr>
          <w:rFonts w:ascii="Georgia" w:cs="Georgia" w:eastAsia="Georgia" w:hAnsi="Georgia"/>
          <w:b/>
          <w:bCs/>
          <w:color w:val="1D5366"/>
          <w:sz w:val="23"/>
          <w:szCs w:val="23"/>
        </w:rPr>
        <w:t xml:space="preserve">8.5. Divulgación y marca: publicación de un libro</w:t>
      </w:r>
    </w:p>
    <w:p>
      <w:pPr>
        <w:spacing w:after="120" w:line="288"/>
      </w:pPr>
      <w:r>
        <w:rPr>
          <w:rFonts w:ascii="Helvetica Neue" w:cs="Helvetica Neue" w:eastAsia="Helvetica Neue" w:hAnsi="Helvetica Neue"/>
          <w:sz w:val="22"/>
          <w:szCs w:val="22"/>
        </w:rPr>
        <w:t xml:space="preserve">Javier Andrés, fundador y administrador de la empresa, tiene en preparación el libro divulgativo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5000"/>
      </w:tblGrid>
      <w:tr>
        <w:trPr>
          <w:tblHeader/>
        </w:trPr>
        <w:tc>
          <w:tcPr>
            <w:tcW w:type="dxa" w:w="40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Concepto</w:t>
            </w:r>
          </w:p>
        </w:tc>
        <w:tc>
          <w:tcPr>
            <w:tcW w:type="dxa" w:w="5000"/>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Previsión</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Autor</w:t>
            </w:r>
          </w:p>
        </w:tc>
        <w:tc>
          <w:tcPr>
            <w:tcW w:type="dxa" w:w="50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Javier Andrés (fundador y administrador de EKIO BIOTECH, S.L.U.)</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Canal de publicación</w:t>
            </w:r>
          </w:p>
        </w:tc>
        <w:tc>
          <w:tcPr>
            <w:tcW w:type="dxa" w:w="50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Autopublicación en Amazon (KDP), con ISBN propio</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Fecha de lanzamiento prevista</w:t>
            </w:r>
          </w:p>
        </w:tc>
        <w:tc>
          <w:tcPr>
            <w:tcW w:type="dxa" w:w="50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11 de noviembre de 2026</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Precio de lanzamiento previsto</w:t>
            </w:r>
          </w:p>
        </w:tc>
        <w:tc>
          <w:tcPr>
            <w:tcW w:type="dxa" w:w="50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11,11 €</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Estado de redacción</w:t>
            </w:r>
          </w:p>
        </w:tc>
        <w:tc>
          <w:tcPr>
            <w:tcW w:type="dxa" w:w="50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En curso; guion cerrado y primeros capítulos redactados</w:t>
            </w:r>
          </w:p>
        </w:tc>
      </w:tr>
    </w:tbl>
    <w:p>
      <w:pPr>
        <w:spacing w:after="80"/>
      </w:pPr>
    </w:p>
    <w:p>
      <w:pPr>
        <w:spacing w:after="120" w:line="288"/>
      </w:pPr>
      <w:r>
        <w:rPr>
          <w:rFonts w:ascii="Helvetica Neue" w:cs="Helvetica Neue" w:eastAsia="Helvetica Neue" w:hAnsi="Helvetica Neue"/>
          <w:sz w:val="22"/>
          <w:szCs w:val="22"/>
        </w:rPr>
        <w:t xml:space="preserve">Su función no es la venta de ejemplares —marginal y no incorporada a ninguna proyección— sino actuar como activo de marca y captación: refuerza la autoridad de la empresa, se publica dos semanas antes del Black Friday y dirige lectores a la tienda. Su coste se asume con recursos propios.</w:t>
      </w:r>
    </w:p>
    <w:p>
      <w:pPr>
        <w:pStyle w:val="Heading2"/>
        <w:spacing w:after="120" w:before="220"/>
      </w:pPr>
      <w:r>
        <w:rPr>
          <w:rFonts w:ascii="Georgia" w:cs="Georgia" w:eastAsia="Georgia" w:hAnsi="Georgia"/>
          <w:b/>
          <w:bCs/>
          <w:color w:val="1D5366"/>
          <w:sz w:val="23"/>
          <w:szCs w:val="23"/>
        </w:rPr>
        <w:t xml:space="preserve">8.6. Estructura y encaje con esta financiación</w:t>
      </w:r>
    </w:p>
    <w:p>
      <w:pPr>
        <w:spacing w:after="120" w:line="288"/>
      </w:pPr>
      <w:r>
        <w:rPr>
          <w:rFonts w:ascii="Helvetica Neue" w:cs="Helvetica Neue" w:eastAsia="Helvetica Neue" w:hAnsi="Helvetica Neue"/>
          <w:sz w:val="22"/>
          <w:szCs w:val="22"/>
        </w:rPr>
        <w:t xml:space="preserve">La empresa mantendrá su estructura ligera mientras el margen no justifique incorporaciones; las primeras contrataciones previstas —operaciones y canal B2B— se ligarán a hitos de facturación, no a la financiación.</w:t>
      </w:r>
    </w:p>
    <w:p>
      <w:pPr>
        <w:spacing w:after="120" w:line="288"/>
      </w:pPr>
      <w:r>
        <w:rPr>
          <w:rFonts w:ascii="Helvetica Neue" w:cs="Helvetica Neue" w:eastAsia="Helvetica Neue" w:hAnsi="Helvetica Neue"/>
          <w:sz w:val="22"/>
          <w:szCs w:val="22"/>
        </w:rPr>
        <w:t xml:space="preserve">Gestionar con orden el circulante de esta campaña es el paso más inmediato de ese plan. Un buen comportamiento de la línea —disposición acotada y devolución dentro del ciclo— es la base sobre la que Ekio quiere construir una relación bancaria estable que acompañe el crecimiento descrito.</w:t>
      </w:r>
    </w:p>
    <w:p>
      <w:pPr>
        <w:pStyle w:val="Heading1"/>
        <w:spacing w:after="160" w:before="320"/>
      </w:pPr>
      <w:r>
        <w:rPr>
          <w:rFonts w:ascii="Georgia" w:cs="Georgia" w:eastAsia="Georgia" w:hAnsi="Georgia"/>
          <w:b/>
          <w:bCs/>
          <w:color w:val="122638"/>
          <w:sz w:val="30"/>
          <w:szCs w:val="30"/>
        </w:rPr>
        <w:t xml:space="preserve">9. Uso de los fondos solicitados</w:t>
      </w:r>
    </w:p>
    <w:p>
      <w:pPr>
        <w:pStyle w:val="Heading2"/>
        <w:spacing w:after="120" w:before="220"/>
      </w:pPr>
      <w:r>
        <w:rPr>
          <w:rFonts w:ascii="Georgia" w:cs="Georgia" w:eastAsia="Georgia" w:hAnsi="Georgia"/>
          <w:b/>
          <w:bCs/>
          <w:color w:val="1D5366"/>
          <w:sz w:val="23"/>
          <w:szCs w:val="23"/>
        </w:rPr>
        <w:t xml:space="preserve">9.1. Importe solicitado y destino</w:t>
      </w:r>
    </w:p>
    <w:p>
      <w:pPr>
        <w:spacing w:after="120" w:line="288"/>
      </w:pPr>
      <w:r>
        <w:rPr>
          <w:rFonts w:ascii="Helvetica Neue" w:cs="Helvetica Neue" w:eastAsia="Helvetica Neue" w:hAnsi="Helvetica Neue"/>
          <w:b/>
          <w:bCs/>
          <w:sz w:val="22"/>
          <w:szCs w:val="22"/>
        </w:rPr>
        <w:t xml:space="preserve">Importe solicitado: 250.000 €</w:t>
      </w:r>
      <w:r>
        <w:rPr>
          <w:rFonts w:ascii="Helvetica Neue" w:cs="Helvetica Neue" w:eastAsia="Helvetica Neue" w:hAnsi="Helvetica Neue"/>
          <w:sz w:val="22"/>
          <w:szCs w:val="22"/>
        </w:rPr>
        <w:t xml:space="preserve"> como límite de una cuenta de crédito (línea de circulante) para la campaña del cuarto trimestre.</w:t>
      </w:r>
    </w:p>
    <w:p>
      <w:pPr>
        <w:spacing w:after="120" w:line="288"/>
      </w:pPr>
      <w:r>
        <w:rPr>
          <w:rFonts w:ascii="Helvetica Neue" w:cs="Helvetica Neue" w:eastAsia="Helvetica Neue" w:hAnsi="Helvetica Neue"/>
          <w:sz w:val="22"/>
          <w:szCs w:val="22"/>
        </w:rPr>
        <w:t xml:space="preserve">El destino es la compra anticipada de existencias de tres grupos de producto para la campaña de ferias de octubre y de Black Friday, Navidad y Reyes:</w:t>
      </w:r>
    </w:p>
    <w:p>
      <w:pPr>
        <w:pStyle w:val="ListParagraph"/>
        <w:numPr>
          <w:ilvl w:val="0"/>
          <w:numId w:val="3"/>
        </w:numPr>
        <w:spacing w:after="100" w:line="288"/>
      </w:pPr>
      <w:r>
        <w:rPr>
          <w:rFonts w:ascii="Helvetica Neue" w:cs="Helvetica Neue" w:eastAsia="Helvetica Neue" w:hAnsi="Helvetica Neue"/>
          <w:b/>
          <w:bCs/>
          <w:sz w:val="22"/>
          <w:szCs w:val="22"/>
        </w:rPr>
        <w:t xml:space="preserve">Spiro </w:t>
      </w:r>
      <w:r>
        <w:rPr>
          <w:rFonts w:ascii="Helvetica Neue" w:cs="Helvetica Neue" w:eastAsia="Helvetica Neue" w:hAnsi="Helvetica Neue"/>
          <w:sz w:val="22"/>
          <w:szCs w:val="22"/>
        </w:rPr>
        <w:t xml:space="preserve">(distribución): filtros y packs de protección electromagnética.</w:t>
      </w:r>
    </w:p>
    <w:p>
      <w:pPr>
        <w:pStyle w:val="ListParagraph"/>
        <w:numPr>
          <w:ilvl w:val="0"/>
          <w:numId w:val="3"/>
        </w:numPr>
        <w:spacing w:after="100" w:line="288"/>
      </w:pPr>
      <w:r>
        <w:rPr>
          <w:rFonts w:ascii="Helvetica Neue" w:cs="Helvetica Neue" w:eastAsia="Helvetica Neue" w:hAnsi="Helvetica Neue"/>
          <w:b/>
          <w:bCs/>
          <w:sz w:val="22"/>
          <w:szCs w:val="22"/>
        </w:rPr>
        <w:t xml:space="preserve">Ekio Light </w:t>
      </w:r>
      <w:r>
        <w:rPr>
          <w:rFonts w:ascii="Helvetica Neue" w:cs="Helvetica Neue" w:eastAsia="Helvetica Neue" w:hAnsi="Helvetica Neue"/>
          <w:sz w:val="22"/>
          <w:szCs w:val="22"/>
        </w:rPr>
        <w:t xml:space="preserve">(marca propia): paneles de fotobiomodulación y accesorios de iluminación.</w:t>
      </w:r>
    </w:p>
    <w:p>
      <w:pPr>
        <w:pStyle w:val="ListParagraph"/>
        <w:numPr>
          <w:ilvl w:val="0"/>
          <w:numId w:val="3"/>
        </w:numPr>
        <w:spacing w:after="100" w:line="288"/>
      </w:pPr>
      <w:r>
        <w:rPr>
          <w:rFonts w:ascii="Helvetica Neue" w:cs="Helvetica Neue" w:eastAsia="Helvetica Neue" w:hAnsi="Helvetica Neue"/>
          <w:b/>
          <w:bCs/>
          <w:sz w:val="22"/>
          <w:szCs w:val="22"/>
        </w:rPr>
        <w:t xml:space="preserve">Accesorios de medición </w:t>
      </w:r>
      <w:r>
        <w:rPr>
          <w:rFonts w:ascii="Helvetica Neue" w:cs="Helvetica Neue" w:eastAsia="Helvetica Neue" w:hAnsi="Helvetica Neue"/>
          <w:sz w:val="22"/>
          <w:szCs w:val="22"/>
        </w:rPr>
        <w:t xml:space="preserve">(medidores de campo, detectores de radiación, comprobadores de instalación), que acompañan a las dos líneas anteriores y tienen buena rotación en campaña.</w:t>
      </w:r>
    </w:p>
    <w:p>
      <w:pPr>
        <w:spacing w:after="120" w:line="288"/>
      </w:pPr>
      <w:r>
        <w:rPr>
          <w:rFonts w:ascii="Helvetica Neue" w:cs="Helvetica Neue" w:eastAsia="Helvetica Neue" w:hAnsi="Helvetica Neue"/>
          <w:sz w:val="22"/>
          <w:szCs w:val="22"/>
        </w:rPr>
        <w:t xml:space="preserve">No se financia gasto corriente, ni circulante indefinido, ni activo fijo: se financia inventario concreto de un catálogo ya en venta, para un pico de demanda acotado en el tiempo. El inventario disponible a la fecha no cubre el volumen ni la velocidad de venta de la campaña: reponerlo por adelantado es precisamente el objeto de esta financiación.</w:t>
      </w:r>
    </w:p>
    <w:p>
      <w:pPr>
        <w:spacing w:after="120" w:line="288"/>
      </w:pPr>
      <w:r>
        <w:rPr>
          <w:rFonts w:ascii="Helvetica Neue" w:cs="Helvetica Neue" w:eastAsia="Helvetica Neue" w:hAnsi="Helvetica Neue"/>
          <w:b/>
          <w:bCs/>
          <w:sz w:val="22"/>
          <w:szCs w:val="22"/>
        </w:rPr>
        <w:t xml:space="preserve">Riesgos de aprovisionamiento asociados. </w:t>
      </w:r>
      <w:r>
        <w:rPr>
          <w:rFonts w:ascii="Helvetica Neue" w:cs="Helvetica Neue" w:eastAsia="Helvetica Neue" w:hAnsi="Helvetica Neue"/>
          <w:sz w:val="22"/>
          <w:szCs w:val="22"/>
        </w:rPr>
        <w:t xml:space="preserve">La línea Spiro se importa desde Estados Unidos: la compra está expuesta al tipo de cambio EUR/USD, a los costes de transporte y a los derechos de importación. Ekio es distribuidor de Spiro en España (no en exclusiva), por lo que también existe el riesgo de que otros distribuidores concurran en el mercado; se mitiga con la comunidad, la marca y el servicio propios de Ekio, y con el mayor peso creciente de la marca propia Ekio Light. La empresa asume estos riesgos con su margen y los tiene en cuenta al fijar el precio de venta.</w:t>
      </w:r>
    </w:p>
    <w:p>
      <w:pPr>
        <w:pStyle w:val="Heading2"/>
        <w:spacing w:after="120" w:before="220"/>
      </w:pPr>
      <w:r>
        <w:rPr>
          <w:rFonts w:ascii="Georgia" w:cs="Georgia" w:eastAsia="Georgia" w:hAnsi="Georgia"/>
          <w:b/>
          <w:bCs/>
          <w:color w:val="1D5366"/>
          <w:sz w:val="23"/>
          <w:szCs w:val="23"/>
        </w:rPr>
        <w:t xml:space="preserve">9.2. Por qué mejora la posición de la empresa</w:t>
      </w:r>
    </w:p>
    <w:p>
      <w:pPr>
        <w:pStyle w:val="ListParagraph"/>
        <w:numPr>
          <w:ilvl w:val="0"/>
          <w:numId w:val="2"/>
        </w:numPr>
        <w:spacing w:after="100" w:line="288"/>
      </w:pPr>
      <w:r>
        <w:rPr>
          <w:rFonts w:ascii="Helvetica Neue" w:cs="Helvetica Neue" w:eastAsia="Helvetica Neue" w:hAnsi="Helvetica Neue"/>
          <w:b/>
          <w:bCs/>
          <w:sz w:val="22"/>
          <w:szCs w:val="22"/>
        </w:rPr>
        <w:t xml:space="preserve">Evita la rotura de stock en el pico. </w:t>
      </w:r>
      <w:r>
        <w:rPr>
          <w:rFonts w:ascii="Helvetica Neue" w:cs="Helvetica Neue" w:eastAsia="Helvetica Neue" w:hAnsi="Helvetica Neue"/>
          <w:sz w:val="22"/>
          <w:szCs w:val="22"/>
        </w:rPr>
        <w:t xml:space="preserve">La campaña de fin de año concentra más del 50 % de la facturación anual (275.000 € frente a 537.845 € de todo 2025). Quedarse sin las referencias más vendidas en ese momento es el mayor riesgo comercial del ejercicio.</w:t>
      </w:r>
    </w:p>
    <w:p>
      <w:pPr>
        <w:pStyle w:val="ListParagraph"/>
        <w:numPr>
          <w:ilvl w:val="0"/>
          <w:numId w:val="2"/>
        </w:numPr>
        <w:spacing w:after="100" w:line="288"/>
      </w:pPr>
      <w:r>
        <w:rPr>
          <w:rFonts w:ascii="Helvetica Neue" w:cs="Helvetica Neue" w:eastAsia="Helvetica Neue" w:hAnsi="Helvetica Neue"/>
          <w:b/>
          <w:bCs/>
          <w:sz w:val="22"/>
          <w:szCs w:val="22"/>
        </w:rPr>
        <w:t xml:space="preserve">Mejora las condiciones de compra. </w:t>
      </w:r>
      <w:r>
        <w:rPr>
          <w:rFonts w:ascii="Helvetica Neue" w:cs="Helvetica Neue" w:eastAsia="Helvetica Neue" w:hAnsi="Helvetica Neue"/>
          <w:sz w:val="22"/>
          <w:szCs w:val="22"/>
        </w:rPr>
        <w:t xml:space="preserve">Consolidar el pedido de campaña, en lugar de reponer a goteo, mejora la posición negociadora frente a los proveedores y reduce el coste unitario y logístico.</w:t>
      </w:r>
    </w:p>
    <w:p>
      <w:pPr>
        <w:pStyle w:val="ListParagraph"/>
        <w:numPr>
          <w:ilvl w:val="0"/>
          <w:numId w:val="2"/>
        </w:numPr>
        <w:spacing w:after="100" w:line="288"/>
      </w:pPr>
      <w:r>
        <w:rPr>
          <w:rFonts w:ascii="Helvetica Neue" w:cs="Helvetica Neue" w:eastAsia="Helvetica Neue" w:hAnsi="Helvetica Neue"/>
          <w:b/>
          <w:bCs/>
          <w:sz w:val="22"/>
          <w:szCs w:val="22"/>
        </w:rPr>
        <w:t xml:space="preserve">Libera la caja para el marketing. </w:t>
      </w:r>
      <w:r>
        <w:rPr>
          <w:rFonts w:ascii="Helvetica Neue" w:cs="Helvetica Neue" w:eastAsia="Helvetica Neue" w:hAnsi="Helvetica Neue"/>
          <w:sz w:val="22"/>
          <w:szCs w:val="22"/>
        </w:rPr>
        <w:t xml:space="preserve">Si el inventario se financia con la línea, la tesorería propia queda disponible para la inversión publicitaria que activa la demanda. La línea financia el producto; la caja propia, la venta.</w:t>
      </w:r>
    </w:p>
    <w:p>
      <w:pPr>
        <w:pStyle w:val="Heading2"/>
        <w:spacing w:after="120" w:before="220"/>
      </w:pPr>
      <w:r>
        <w:rPr>
          <w:rFonts w:ascii="Georgia" w:cs="Georgia" w:eastAsia="Georgia" w:hAnsi="Georgia"/>
          <w:b/>
          <w:bCs/>
          <w:color w:val="1D5366"/>
          <w:sz w:val="23"/>
          <w:szCs w:val="23"/>
        </w:rPr>
        <w:t xml:space="preserve">9.3. De qué se compone el importe solicitado</w:t>
      </w:r>
    </w:p>
    <w:p>
      <w:pPr>
        <w:spacing w:after="120" w:line="288"/>
      </w:pPr>
      <w:r>
        <w:rPr>
          <w:rFonts w:ascii="Helvetica Neue" w:cs="Helvetica Neue" w:eastAsia="Helvetica Neue" w:hAnsi="Helvetica Neue"/>
          <w:b/>
          <w:bCs/>
          <w:sz w:val="22"/>
          <w:szCs w:val="22"/>
        </w:rPr>
        <w:t xml:space="preserve">Paso 1 — Objetivo de ventas de la campaña 2026. </w:t>
      </w:r>
      <w:r>
        <w:rPr>
          <w:rFonts w:ascii="Helvetica Neue" w:cs="Helvetica Neue" w:eastAsia="Helvetica Neue" w:hAnsi="Helvetica Neue"/>
          <w:sz w:val="22"/>
          <w:szCs w:val="22"/>
        </w:rPr>
        <w:t xml:space="preserve">275.000 € el año anterior; objetivo para 2026: 350.000 € (+27 %), apoyado en el refuerzo de comunicación desde septiembre, la presencia en las dos ferias de octubre, el mayor peso de la marca propia y la incorporación de los accesorios de medición a la campaña.</w:t>
      </w:r>
    </w:p>
    <w:p>
      <w:pPr>
        <w:spacing w:after="120" w:line="288"/>
      </w:pPr>
      <w:r>
        <w:rPr>
          <w:rFonts w:ascii="Helvetica Neue" w:cs="Helvetica Neue" w:eastAsia="Helvetica Neue" w:hAnsi="Helvetica Neue"/>
          <w:b/>
          <w:bCs/>
          <w:sz w:val="22"/>
          <w:szCs w:val="22"/>
        </w:rPr>
        <w:t xml:space="preserve">Paso 2 — Coste de la mercancía de campaña por grupo de producto.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426"/>
        <w:gridCol w:w="1100"/>
        <w:gridCol w:w="1900"/>
        <w:gridCol w:w="1400"/>
        <w:gridCol w:w="2200"/>
      </w:tblGrid>
      <w:tr>
        <w:trPr>
          <w:tblHeader/>
        </w:trPr>
        <w:tc>
          <w:tcPr>
            <w:tcW w:type="dxa" w:w="24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Grupo</w:t>
            </w:r>
          </w:p>
        </w:tc>
        <w:tc>
          <w:tcPr>
            <w:tcW w:type="dxa" w:w="1100"/>
            <w:shd w:fill="122638" w:val="clear"/>
            <w:tcMar>
              <w:top w:type="dxa" w:w="60"/>
              <w:left w:type="dxa" w:w="90"/>
              <w:bottom w:type="dxa" w:w="60"/>
              <w:right w:type="dxa" w:w="90"/>
            </w:tcMar>
          </w:tcPr>
          <w:p>
            <w:pPr>
              <w:spacing w:after="0" w:line="264"/>
              <w:jc w:val="center"/>
            </w:pPr>
            <w:r>
              <w:rPr>
                <w:rFonts w:ascii="Helvetica Neue" w:cs="Helvetica Neue" w:eastAsia="Helvetica Neue" w:hAnsi="Helvetica Neue"/>
                <w:b/>
                <w:bCs/>
                <w:color w:val="FFFDF8"/>
                <w:sz w:val="20"/>
                <w:szCs w:val="20"/>
              </w:rPr>
              <w:t xml:space="preserve">Reparto</w:t>
            </w:r>
          </w:p>
        </w:tc>
        <w:tc>
          <w:tcPr>
            <w:tcW w:type="dxa" w:w="19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Ventas campaña (€)</w:t>
            </w:r>
          </w:p>
        </w:tc>
        <w:tc>
          <w:tcPr>
            <w:tcW w:type="dxa" w:w="1400"/>
            <w:shd w:fill="122638" w:val="clear"/>
            <w:tcMar>
              <w:top w:type="dxa" w:w="60"/>
              <w:left w:type="dxa" w:w="90"/>
              <w:bottom w:type="dxa" w:w="60"/>
              <w:right w:type="dxa" w:w="90"/>
            </w:tcMar>
          </w:tcPr>
          <w:p>
            <w:pPr>
              <w:spacing w:after="0" w:line="264"/>
              <w:jc w:val="center"/>
            </w:pPr>
            <w:r>
              <w:rPr>
                <w:rFonts w:ascii="Helvetica Neue" w:cs="Helvetica Neue" w:eastAsia="Helvetica Neue" w:hAnsi="Helvetica Neue"/>
                <w:b/>
                <w:bCs/>
                <w:color w:val="FFFDF8"/>
                <w:sz w:val="20"/>
                <w:szCs w:val="20"/>
              </w:rPr>
              <w:t xml:space="preserve">Coste merc. (%)</w:t>
            </w:r>
          </w:p>
        </w:tc>
        <w:tc>
          <w:tcPr>
            <w:tcW w:type="dxa" w:w="22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Coste de la mercancía (€)</w:t>
            </w:r>
          </w:p>
        </w:tc>
      </w:tr>
      <w:tr>
        <w:tc>
          <w:tcPr>
            <w:tcW w:type="dxa" w:w="2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Spiro (distribución)</w:t>
            </w:r>
          </w:p>
        </w:tc>
        <w:tc>
          <w:tcPr>
            <w:tcW w:type="dxa" w:w="11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65 %</w:t>
            </w:r>
          </w:p>
        </w:tc>
        <w:tc>
          <w:tcPr>
            <w:tcW w:type="dxa" w:w="19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227.500</w:t>
            </w:r>
          </w:p>
        </w:tc>
        <w:tc>
          <w:tcPr>
            <w:tcW w:type="dxa" w:w="14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60 %</w:t>
            </w:r>
          </w:p>
        </w:tc>
        <w:tc>
          <w:tcPr>
            <w:tcW w:type="dxa" w:w="22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136.500</w:t>
            </w:r>
          </w:p>
        </w:tc>
      </w:tr>
      <w:tr>
        <w:tc>
          <w:tcPr>
            <w:tcW w:type="dxa" w:w="2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Ekio Light (marca propia)</w:t>
            </w:r>
          </w:p>
        </w:tc>
        <w:tc>
          <w:tcPr>
            <w:tcW w:type="dxa" w:w="1100"/>
            <w:shd w:fill="F6F0E6" w:val="clear"/>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25 %</w:t>
            </w:r>
          </w:p>
        </w:tc>
        <w:tc>
          <w:tcPr>
            <w:tcW w:type="dxa" w:w="19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87.500</w:t>
            </w:r>
          </w:p>
        </w:tc>
        <w:tc>
          <w:tcPr>
            <w:tcW w:type="dxa" w:w="1400"/>
            <w:shd w:fill="F6F0E6" w:val="clear"/>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45 %</w:t>
            </w:r>
          </w:p>
        </w:tc>
        <w:tc>
          <w:tcPr>
            <w:tcW w:type="dxa" w:w="22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39.375</w:t>
            </w:r>
          </w:p>
        </w:tc>
      </w:tr>
      <w:tr>
        <w:tc>
          <w:tcPr>
            <w:tcW w:type="dxa" w:w="24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Accesorios de medición</w:t>
            </w:r>
          </w:p>
        </w:tc>
        <w:tc>
          <w:tcPr>
            <w:tcW w:type="dxa" w:w="11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10 %</w:t>
            </w:r>
          </w:p>
        </w:tc>
        <w:tc>
          <w:tcPr>
            <w:tcW w:type="dxa" w:w="19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35.000</w:t>
            </w:r>
          </w:p>
        </w:tc>
        <w:tc>
          <w:tcPr>
            <w:tcW w:type="dxa" w:w="1400"/>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55 %</w:t>
            </w:r>
          </w:p>
        </w:tc>
        <w:tc>
          <w:tcPr>
            <w:tcW w:type="dxa" w:w="22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19.250</w:t>
            </w:r>
          </w:p>
        </w:tc>
      </w:tr>
      <w:tr>
        <w:tc>
          <w:tcPr>
            <w:tcW w:type="dxa" w:w="24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Total campaña</w:t>
            </w:r>
          </w:p>
        </w:tc>
        <w:tc>
          <w:tcPr>
            <w:tcW w:type="dxa" w:w="1100"/>
            <w:shd w:fill="F6F0E6" w:val="clear"/>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100 %</w:t>
            </w:r>
          </w:p>
        </w:tc>
        <w:tc>
          <w:tcPr>
            <w:tcW w:type="dxa" w:w="19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350.000</w:t>
            </w:r>
          </w:p>
        </w:tc>
        <w:tc>
          <w:tcPr>
            <w:tcW w:type="dxa" w:w="1400"/>
            <w:shd w:fill="F6F0E6" w:val="clear"/>
            <w:tcMar>
              <w:top w:type="dxa" w:w="60"/>
              <w:left w:type="dxa" w:w="90"/>
              <w:bottom w:type="dxa" w:w="60"/>
              <w:right w:type="dxa" w:w="90"/>
            </w:tcMar>
          </w:tcPr>
          <w:p>
            <w:pPr>
              <w:spacing w:after="0" w:line="264"/>
              <w:jc w:val="center"/>
            </w:pPr>
            <w:r>
              <w:rPr>
                <w:rFonts w:ascii="Helvetica Neue" w:cs="Helvetica Neue" w:eastAsia="Helvetica Neue" w:hAnsi="Helvetica Neue"/>
                <w:sz w:val="20"/>
                <w:szCs w:val="20"/>
              </w:rPr>
              <w:t xml:space="preserve">—</w:t>
            </w:r>
          </w:p>
        </w:tc>
        <w:tc>
          <w:tcPr>
            <w:tcW w:type="dxa" w:w="22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195.125</w:t>
            </w:r>
          </w:p>
        </w:tc>
      </w:tr>
    </w:tbl>
    <w:p>
      <w:pPr>
        <w:spacing w:after="80"/>
      </w:pPr>
    </w:p>
    <w:p>
      <w:pPr>
        <w:spacing w:after="120" w:line="288"/>
      </w:pPr>
      <w:r>
        <w:rPr>
          <w:rFonts w:ascii="Helvetica Neue" w:cs="Helvetica Neue" w:eastAsia="Helvetica Neue" w:hAnsi="Helvetica Neue"/>
          <w:b/>
          <w:bCs/>
          <w:sz w:val="22"/>
          <w:szCs w:val="22"/>
        </w:rPr>
        <w:t xml:space="preserve">Paso 3 — Del coste de la mercancía al importe solicitado.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6026"/>
        <w:gridCol w:w="3000"/>
      </w:tblGrid>
      <w:tr>
        <w:trPr>
          <w:tblHeader/>
        </w:trPr>
        <w:tc>
          <w:tcPr>
            <w:tcW w:type="dxa" w:w="60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Concepto</w:t>
            </w:r>
          </w:p>
        </w:tc>
        <w:tc>
          <w:tcPr>
            <w:tcW w:type="dxa" w:w="30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Importe (€)</w:t>
            </w:r>
          </w:p>
        </w:tc>
      </w:tr>
      <w:tr>
        <w:tc>
          <w:tcPr>
            <w:tcW w:type="dxa" w:w="6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Coste total del stock de campaña (los tres grupos)</w:t>
            </w:r>
          </w:p>
        </w:tc>
        <w:tc>
          <w:tcPr>
            <w:tcW w:type="dxa" w:w="30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195.125</w:t>
            </w:r>
          </w:p>
        </w:tc>
      </w:tr>
      <w:tr>
        <w:tc>
          <w:tcPr>
            <w:tcW w:type="dxa" w:w="6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Margen adicional para reposición de referencias más vendidas durante la campaña y para el stock de arranque del primer trimestre de 2027</w:t>
            </w:r>
          </w:p>
        </w:tc>
        <w:tc>
          <w:tcPr>
            <w:tcW w:type="dxa" w:w="30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 54.875</w:t>
            </w:r>
          </w:p>
        </w:tc>
      </w:tr>
      <w:tr>
        <w:tc>
          <w:tcPr>
            <w:tcW w:type="dxa" w:w="6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Importe solicitado de la línea</w:t>
            </w:r>
          </w:p>
        </w:tc>
        <w:tc>
          <w:tcPr>
            <w:tcW w:type="dxa" w:w="30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250.000</w:t>
            </w:r>
          </w:p>
        </w:tc>
      </w:tr>
    </w:tbl>
    <w:p>
      <w:pPr>
        <w:spacing w:after="80"/>
      </w:pPr>
    </w:p>
    <w:p>
      <w:pPr>
        <w:spacing w:after="120" w:line="288"/>
      </w:pPr>
      <w:r>
        <w:rPr>
          <w:rFonts w:ascii="Helvetica Neue" w:cs="Helvetica Neue" w:eastAsia="Helvetica Neue" w:hAnsi="Helvetica Neue"/>
          <w:sz w:val="22"/>
          <w:szCs w:val="22"/>
        </w:rPr>
        <w:t xml:space="preserve">Se solicita el importe como límite de una línea revolvente, no como deuda a plazo: la empresa dispone de él a medida que compra y lo devuelve a medida que vende y cobra. La disposición efectiva máxima prevista es sensiblemente inferior al límite (ver sección 10): con compra escalonada, el pico ronda los 72.000 €; incluso comprando todo el stock por adelantado en octubre, el pico ronda los 150.000 €. El margen entre esa disposición y el límite de 250.000 € da holgura para reponer sin volver a solicitar y para no agotar la línea si la campaña supera el objetivo.</w:t>
      </w:r>
    </w:p>
    <w:p>
      <w:pPr>
        <w:pBdr>
          <w:top w:val="single" w:color="DED4C4" w:sz="4"/>
          <w:bottom w:val="single" w:color="DED4C4" w:sz="4"/>
          <w:left w:val="single" w:color="E7A84D" w:sz="16"/>
          <w:right w:val="single" w:color="DED4C4" w:sz="4"/>
        </w:pBdr>
        <w:shd w:fill="F6F0E6" w:val="clear"/>
        <w:spacing w:after="160" w:before="120" w:line="276"/>
      </w:pPr>
      <w:r>
        <w:rPr>
          <w:rFonts w:ascii="Helvetica Neue" w:cs="Helvetica Neue" w:eastAsia="Helvetica Neue" w:hAnsi="Helvetica Neue"/>
          <w:b/>
          <w:bCs/>
          <w:i/>
          <w:iCs/>
          <w:color w:val="64707C"/>
          <w:sz w:val="20"/>
          <w:szCs w:val="20"/>
        </w:rPr>
        <w:t xml:space="preserve">Bases del cálculo. </w:t>
      </w:r>
      <w:r>
        <w:rPr>
          <w:rFonts w:ascii="Helvetica Neue" w:cs="Helvetica Neue" w:eastAsia="Helvetica Neue" w:hAnsi="Helvetica Neue"/>
          <w:i/>
          <w:iCs/>
          <w:color w:val="64707C"/>
          <w:sz w:val="20"/>
          <w:szCs w:val="20"/>
        </w:rPr>
        <w:t xml:space="preserve">Objetivo de campaña 350.000 €; reparto 65 % Spiro / 25 % Ekio Light / 10 % accesorios; coste de mercancía del 60 %, 45 % y 55 % respectivamente, coherente con los márgenes de gestión de cada línea; compra escalonada 60 % en octubre, 30 % en noviembre y 10 % en diciembre, con pago al contado al realizar el pedido y cobro inmediato a través de la pasarela.</w:t>
      </w:r>
    </w:p>
    <w:p>
      <w:pPr>
        <w:pStyle w:val="Heading2"/>
        <w:spacing w:after="120" w:before="220"/>
      </w:pPr>
      <w:r>
        <w:rPr>
          <w:rFonts w:ascii="Georgia" w:cs="Georgia" w:eastAsia="Georgia" w:hAnsi="Georgia"/>
          <w:b/>
          <w:bCs/>
          <w:color w:val="1D5366"/>
          <w:sz w:val="23"/>
          <w:szCs w:val="23"/>
        </w:rPr>
        <w:t xml:space="preserve">9.4. Estructura de la operación</w:t>
      </w:r>
    </w:p>
    <w:p>
      <w:pPr>
        <w:spacing w:after="120" w:line="288"/>
      </w:pPr>
      <w:r>
        <w:rPr>
          <w:rFonts w:ascii="Helvetica Neue" w:cs="Helvetica Neue" w:eastAsia="Helvetica Neue" w:hAnsi="Helvetica Neue"/>
          <w:sz w:val="22"/>
          <w:szCs w:val="22"/>
        </w:rPr>
        <w:t xml:space="preserve">La operación se plantea con la responsabilidad patrimonial de EKIO BIOTECH, S.L.U. La empresa aporta como respaldo su historial de cumplimiento: el préstamo de 80.000 € que mantiene con la propia entidad está al corriente de pago, la actividad ha cerrado en beneficios todos sus ejercicios y está al corriente con la Agencia Tributaria y la Seguridad Social. La estructura y las condiciones definitivas de la línea se acordarán con CaixaBank.</w:t>
      </w:r>
    </w:p>
    <w:p>
      <w:pPr>
        <w:pStyle w:val="Heading1"/>
        <w:spacing w:after="160" w:before="320"/>
      </w:pPr>
      <w:r>
        <w:rPr>
          <w:rFonts w:ascii="Georgia" w:cs="Georgia" w:eastAsia="Georgia" w:hAnsi="Georgia"/>
          <w:b/>
          <w:bCs/>
          <w:color w:val="122638"/>
          <w:sz w:val="30"/>
          <w:szCs w:val="30"/>
        </w:rPr>
        <w:t xml:space="preserve">10. Capacidad de devolución</w:t>
      </w:r>
    </w:p>
    <w:p>
      <w:pPr>
        <w:spacing w:after="120" w:line="288"/>
      </w:pPr>
      <w:r>
        <w:rPr>
          <w:rFonts w:ascii="Helvetica Neue" w:cs="Helvetica Neue" w:eastAsia="Helvetica Neue" w:hAnsi="Helvetica Neue"/>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Georgia" w:cs="Georgia" w:eastAsia="Georgia" w:hAnsi="Georgia"/>
          <w:b/>
          <w:bCs/>
          <w:color w:val="1D5366"/>
          <w:sz w:val="23"/>
          <w:szCs w:val="23"/>
        </w:rPr>
        <w:t xml:space="preserve">10.1. Flujo de caja de campaña (escenario base, octubre 2026 – febrero 2027)</w:t>
      </w:r>
    </w:p>
    <w:p>
      <w:pPr>
        <w:spacing w:after="120" w:line="288"/>
      </w:pPr>
      <w:r>
        <w:rPr>
          <w:rFonts w:ascii="Helvetica Neue" w:cs="Helvetica Neue" w:eastAsia="Helvetica Neue" w:hAnsi="Helvetica Neue"/>
          <w:i/>
          <w:iCs/>
          <w:color w:val="64707C"/>
          <w:sz w:val="20"/>
          <w:szCs w:val="20"/>
        </w:rPr>
        <w:t xml:space="preserve">Objetivo de campaña 350.000 €. Ventas distribuidas 15 % / 35 % / 30 % / 15 % / 5 % (octubre a febrero). Cobro en el momento de la compra a través de la pasarela de pago (Stripe). Pago a proveedor al contado en el momento de realizar el pedido, con compra escalonada 60 % / 30 % / 10 % entre octubre y diciembre. Gastos de campaña (marketing y logística) al 12 % de las ventas. Cuota del préstamo con CaixaBank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600"/>
        <w:gridCol w:w="1071"/>
        <w:gridCol w:w="1071"/>
        <w:gridCol w:w="1071"/>
        <w:gridCol w:w="1071"/>
        <w:gridCol w:w="1071"/>
        <w:gridCol w:w="1071"/>
      </w:tblGrid>
      <w:tr>
        <w:trPr>
          <w:tblHeader/>
        </w:trPr>
        <w:tc>
          <w:tcPr>
            <w:tcW w:type="dxa" w:w="2600"/>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Concepto (€)</w:t>
            </w:r>
          </w:p>
        </w:tc>
        <w:tc>
          <w:tcPr>
            <w:tcW w:type="dxa" w:w="1071"/>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Oct-26</w:t>
            </w:r>
          </w:p>
        </w:tc>
        <w:tc>
          <w:tcPr>
            <w:tcW w:type="dxa" w:w="1071"/>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Nov-26</w:t>
            </w:r>
          </w:p>
        </w:tc>
        <w:tc>
          <w:tcPr>
            <w:tcW w:type="dxa" w:w="1071"/>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Dic-26</w:t>
            </w:r>
          </w:p>
        </w:tc>
        <w:tc>
          <w:tcPr>
            <w:tcW w:type="dxa" w:w="1071"/>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Ene-27</w:t>
            </w:r>
          </w:p>
        </w:tc>
        <w:tc>
          <w:tcPr>
            <w:tcW w:type="dxa" w:w="1071"/>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Feb-27</w:t>
            </w:r>
          </w:p>
        </w:tc>
        <w:tc>
          <w:tcPr>
            <w:tcW w:type="dxa" w:w="1071"/>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Total</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52.500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122.500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105.000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52.500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17.500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350.000</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 Compra de stock</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−117.075</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−58.538</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−19.512</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−195.125</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−6.300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−14.700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−12.600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−6.300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−2.100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−42.000</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 Cuota préstamo CaixaBank</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−6.750</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−72.225</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+47.912</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+71.538</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+44.850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+14.050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+106.125</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Disposición de la línea</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72.225</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−47.912</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−24.313</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−72.225</w:t>
            </w:r>
          </w:p>
        </w:tc>
      </w:tr>
      <w:tr>
        <w:tc>
          <w:tcPr>
            <w:tcW w:type="dxa" w:w="2600"/>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Saldo vivo de la línea (fin de mes)</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72.225</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24.313</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w:t>
            </w:r>
          </w:p>
        </w:tc>
      </w:tr>
      <w:tr>
        <w:tc>
          <w:tcPr>
            <w:tcW w:type="dxa" w:w="2600"/>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0</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+47.225</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+92.075</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+106.125</w:t>
            </w:r>
          </w:p>
        </w:tc>
        <w:tc>
          <w:tcPr>
            <w:tcW w:type="dxa" w:w="1071"/>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w:t>
            </w:r>
          </w:p>
        </w:tc>
      </w:tr>
    </w:tbl>
    <w:p>
      <w:pPr>
        <w:spacing w:after="80"/>
      </w:pPr>
    </w:p>
    <w:p>
      <w:pPr>
        <w:spacing w:after="120" w:line="288"/>
      </w:pPr>
      <w:r>
        <w:rPr>
          <w:rFonts w:ascii="Helvetica Neue" w:cs="Helvetica Neue" w:eastAsia="Helvetica Neue" w:hAnsi="Helvetica Neue"/>
          <w:b/>
          <w:bCs/>
          <w:sz w:val="22"/>
          <w:szCs w:val="22"/>
        </w:rPr>
        <w:t xml:space="preserve">Lectura: </w:t>
      </w:r>
      <w:r>
        <w:rPr>
          <w:rFonts w:ascii="Helvetica Neue" w:cs="Helvetica Neue" w:eastAsia="Helvetica Neue" w:hAnsi="Helvetica Neue"/>
          <w:sz w:val="22"/>
          <w:szCs w:val="22"/>
        </w:rPr>
        <w:t xml:space="preserve">con compra escalonada, la línea se dispone hasta unos 72.000 € en octubre para comprar el primer y mayor tramo de stock, y queda totalmente devuelta a finales de diciembre con el cobro de las ventas de Black Friday y Navidad. A partir de ahí la campaña solo genera caja. El ciclo de vida de la disposición es de aproximadamente dos meses. La disposición máxima queda muy por debajo del límite solicitado (250.000 €).</w:t>
      </w:r>
    </w:p>
    <w:p>
      <w:pPr>
        <w:pStyle w:val="Heading2"/>
        <w:spacing w:after="120" w:before="220"/>
      </w:pPr>
      <w:r>
        <w:rPr>
          <w:rFonts w:ascii="Georgia" w:cs="Georgia" w:eastAsia="Georgia" w:hAnsi="Georgia"/>
          <w:b/>
          <w:bCs/>
          <w:color w:val="1D5366"/>
          <w:sz w:val="23"/>
          <w:szCs w:val="23"/>
        </w:rPr>
        <w:t xml:space="preserve">10.2. Ratio de cobertura de la devolución</w:t>
      </w:r>
    </w:p>
    <w:p>
      <w:pPr>
        <w:spacing w:after="120" w:line="288"/>
      </w:pPr>
      <w:r>
        <w:rPr>
          <w:rFonts w:ascii="Helvetica Neue" w:cs="Helvetica Neue" w:eastAsia="Helvetica Neue" w:hAnsi="Helvetica Neue"/>
          <w:b/>
          <w:bCs/>
          <w:sz w:val="22"/>
          <w:szCs w:val="22"/>
        </w:rPr>
        <w:t xml:space="preserve">Ratio de cobertura = Flujo de caja operativo de campaña ÷ (Pico de disposición + Servicio del préstamo en el periodo)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2500"/>
        <w:gridCol w:w="2500"/>
      </w:tblGrid>
      <w:tr>
        <w:trPr>
          <w:tblHeader/>
        </w:trPr>
        <w:tc>
          <w:tcPr>
            <w:tcW w:type="dxa" w:w="4026"/>
            <w:shd w:fill="122638" w:val="clear"/>
            <w:tcMar>
              <w:top w:type="dxa" w:w="60"/>
              <w:left w:type="dxa" w:w="90"/>
              <w:bottom w:type="dxa" w:w="60"/>
              <w:right w:type="dxa" w:w="90"/>
            </w:tcMar>
          </w:tcPr>
          <w:p>
            <w:pPr>
              <w:spacing w:after="0" w:line="264"/>
            </w:pPr>
            <w:r>
              <w:rPr>
                <w:rFonts w:ascii="Helvetica Neue" w:cs="Helvetica Neue" w:eastAsia="Helvetica Neue" w:hAnsi="Helvetica Neue"/>
                <w:b/>
                <w:bCs/>
                <w:color w:val="FFFDF8"/>
                <w:sz w:val="20"/>
                <w:szCs w:val="20"/>
              </w:rPr>
              <w:t xml:space="preserve">Concepto</w:t>
            </w:r>
          </w:p>
        </w:tc>
        <w:tc>
          <w:tcPr>
            <w:tcW w:type="dxa" w:w="25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Escenario base</w:t>
            </w:r>
          </w:p>
        </w:tc>
        <w:tc>
          <w:tcPr>
            <w:tcW w:type="dxa" w:w="2500"/>
            <w:shd w:fill="122638" w:val="clear"/>
            <w:tcMar>
              <w:top w:type="dxa" w:w="60"/>
              <w:left w:type="dxa" w:w="90"/>
              <w:bottom w:type="dxa" w:w="60"/>
              <w:right w:type="dxa" w:w="90"/>
            </w:tcMar>
          </w:tcPr>
          <w:p>
            <w:pPr>
              <w:spacing w:after="0" w:line="264"/>
              <w:jc w:val="right"/>
            </w:pPr>
            <w:r>
              <w:rPr>
                <w:rFonts w:ascii="Helvetica Neue" w:cs="Helvetica Neue" w:eastAsia="Helvetica Neue" w:hAnsi="Helvetica Neue"/>
                <w:b/>
                <w:bCs/>
                <w:color w:val="FFFDF8"/>
                <w:sz w:val="20"/>
                <w:szCs w:val="20"/>
              </w:rPr>
              <w:t xml:space="preserve">Conservador (−25 %)</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350.000</w:t>
            </w:r>
          </w:p>
        </w:tc>
        <w:tc>
          <w:tcPr>
            <w:tcW w:type="dxa" w:w="25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262.500</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Flujo de caja operativo de campaña (€)</w:t>
            </w:r>
          </w:p>
        </w:tc>
        <w:tc>
          <w:tcPr>
            <w:tcW w:type="dxa" w:w="25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112.875</w:t>
            </w:r>
          </w:p>
        </w:tc>
        <w:tc>
          <w:tcPr>
            <w:tcW w:type="dxa" w:w="25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84.656</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72.225</w:t>
            </w:r>
          </w:p>
        </w:tc>
        <w:tc>
          <w:tcPr>
            <w:tcW w:type="dxa" w:w="25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54.506</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Servicio del préstamo en el periodo (€)</w:t>
            </w:r>
          </w:p>
        </w:tc>
        <w:tc>
          <w:tcPr>
            <w:tcW w:type="dxa" w:w="25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6.750</w:t>
            </w:r>
          </w:p>
        </w:tc>
        <w:tc>
          <w:tcPr>
            <w:tcW w:type="dxa" w:w="25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6.750</w:t>
            </w:r>
          </w:p>
        </w:tc>
      </w:tr>
      <w:tr>
        <w:tc>
          <w:tcPr>
            <w:tcW w:type="dxa" w:w="4026"/>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78.975</w:t>
            </w:r>
          </w:p>
        </w:tc>
        <w:tc>
          <w:tcPr>
            <w:tcW w:type="dxa" w:w="2500"/>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61.256</w:t>
            </w:r>
          </w:p>
        </w:tc>
      </w:tr>
      <w:tr>
        <w:tc>
          <w:tcPr>
            <w:tcW w:type="dxa" w:w="4026"/>
            <w:shd w:fill="F6F0E6" w:val="clear"/>
            <w:tcMar>
              <w:top w:type="dxa" w:w="60"/>
              <w:left w:type="dxa" w:w="90"/>
              <w:bottom w:type="dxa" w:w="60"/>
              <w:right w:type="dxa" w:w="90"/>
            </w:tcMar>
          </w:tcPr>
          <w:p>
            <w:pPr>
              <w:spacing w:after="0" w:line="264"/>
            </w:pPr>
            <w:r>
              <w:rPr>
                <w:rFonts w:ascii="Helvetica Neue" w:cs="Helvetica Neue" w:eastAsia="Helvetica Neue" w:hAnsi="Helvetica Neue"/>
                <w:sz w:val="20"/>
                <w:szCs w:val="20"/>
              </w:rPr>
              <w:t xml:space="preserve">Ratio de cobertura</w:t>
            </w:r>
          </w:p>
        </w:tc>
        <w:tc>
          <w:tcPr>
            <w:tcW w:type="dxa" w:w="25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1,43x</w:t>
            </w:r>
          </w:p>
        </w:tc>
        <w:tc>
          <w:tcPr>
            <w:tcW w:type="dxa" w:w="2500"/>
            <w:shd w:fill="F6F0E6" w:val="clear"/>
            <w:tcMar>
              <w:top w:type="dxa" w:w="60"/>
              <w:left w:type="dxa" w:w="90"/>
              <w:bottom w:type="dxa" w:w="60"/>
              <w:right w:type="dxa" w:w="90"/>
            </w:tcMar>
          </w:tcPr>
          <w:p>
            <w:pPr>
              <w:spacing w:after="0" w:line="264"/>
              <w:jc w:val="right"/>
            </w:pPr>
            <w:r>
              <w:rPr>
                <w:rFonts w:ascii="Helvetica Neue" w:cs="Helvetica Neue" w:eastAsia="Helvetica Neue" w:hAnsi="Helvetica Neue"/>
                <w:sz w:val="20"/>
                <w:szCs w:val="20"/>
              </w:rPr>
              <w:t xml:space="preserve">1,38x</w:t>
            </w:r>
          </w:p>
        </w:tc>
      </w:tr>
    </w:tbl>
    <w:p>
      <w:pPr>
        <w:spacing w:after="80"/>
      </w:pPr>
    </w:p>
    <w:p>
      <w:pPr>
        <w:spacing w:after="120" w:line="288"/>
      </w:pPr>
      <w:r>
        <w:rPr>
          <w:rFonts w:ascii="Helvetica Neue" w:cs="Helvetica Neue" w:eastAsia="Helvetica Neue" w:hAnsi="Helvetica Neue"/>
          <w:i/>
          <w:iCs/>
          <w:color w:val="64707C"/>
          <w:sz w:val="20"/>
          <w:szCs w:val="20"/>
        </w:rPr>
        <w:t xml:space="preserve">Flujo de caja operativo de campaña = cobros − compra de stock − gastos de campaña (antes del servicio de deuda). El escenario conservador aplica −25 % a las ventas y escala compras y gastos en la misma proporción; la cuota del préstamo se mantiene fija (es una obligación que no depende de las ventas).</w:t>
      </w:r>
    </w:p>
    <w:p>
      <w:pPr>
        <w:spacing w:after="120" w:line="288"/>
      </w:pPr>
      <w:r>
        <w:rPr>
          <w:rFonts w:ascii="Helvetica Neue" w:cs="Helvetica Neue" w:eastAsia="Helvetica Neue" w:hAnsi="Helvetica Neue"/>
          <w:sz w:val="22"/>
          <w:szCs w:val="22"/>
        </w:rPr>
        <w:t xml:space="preserve">En ambos escenarios el flujo generado cubre en torno a 1,4 veces la devolución de la línea (medida sobre el pico de disposición) más el servicio del préstamo vivo. La cobertura no depende de que la campaña crezca: se sostiene sobre la conversión en caja de stock ya vendible.</w:t>
      </w:r>
    </w:p>
    <w:p>
      <w:pPr>
        <w:pStyle w:val="Heading2"/>
        <w:spacing w:after="120" w:before="220"/>
      </w:pPr>
      <w:r>
        <w:rPr>
          <w:rFonts w:ascii="Georgia" w:cs="Georgia" w:eastAsia="Georgia" w:hAnsi="Georgia"/>
          <w:b/>
          <w:bCs/>
          <w:color w:val="1D5366"/>
          <w:sz w:val="23"/>
          <w:szCs w:val="23"/>
        </w:rPr>
        <w:t xml:space="preserve">10.3. Casos extremos</w:t>
      </w:r>
    </w:p>
    <w:p>
      <w:pPr>
        <w:spacing w:after="120" w:line="288"/>
      </w:pPr>
      <w:r>
        <w:rPr>
          <w:rFonts w:ascii="Helvetica Neue" w:cs="Helvetica Neue" w:eastAsia="Helvetica Neue" w:hAnsi="Helvetica Neue"/>
          <w:b/>
          <w:bCs/>
          <w:sz w:val="22"/>
          <w:szCs w:val="22"/>
        </w:rPr>
        <w:t xml:space="preserve">a) Disposición máxima. </w:t>
      </w:r>
      <w:r>
        <w:rPr>
          <w:rFonts w:ascii="Helvetica Neue" w:cs="Helvetica Neue" w:eastAsia="Helvetica Neue" w:hAnsi="Helvetica Neue"/>
          <w:sz w:val="22"/>
          <w:szCs w:val="22"/>
        </w:rPr>
        <w:t xml:space="preserve">Comprando de una vez todo el stock de campaña (195.125 €), la línea se dispondría hasta unos 150.000 € en octubre y quedaría igualmente amortizada a finales de diciembre: los cobros de noviembre y diciembre (227.500 €) superan con holgura esa disposición. El límite de 250.000 € cubre este caso con margen.</w:t>
      </w:r>
    </w:p>
    <w:p>
      <w:pPr>
        <w:spacing w:after="120" w:line="288"/>
      </w:pPr>
      <w:r>
        <w:rPr>
          <w:rFonts w:ascii="Helvetica Neue" w:cs="Helvetica Neue" w:eastAsia="Helvetica Neue" w:hAnsi="Helvetica Neue"/>
          <w:b/>
          <w:bCs/>
          <w:sz w:val="22"/>
          <w:szCs w:val="22"/>
        </w:rPr>
        <w:t xml:space="preserve">b) Ventas un 40 % por debajo del objetivo. </w:t>
      </w:r>
      <w:r>
        <w:rPr>
          <w:rFonts w:ascii="Helvetica Neue" w:cs="Helvetica Neue" w:eastAsia="Helvetica Neue" w:hAnsi="Helvetica Neue"/>
          <w:sz w:val="22"/>
          <w:szCs w:val="22"/>
        </w:rPr>
        <w:t xml:space="preserve">Solo el primer tramo de compra (≈ 117.000 €) está comprometido en octubre; las reposiciones de noviembre y diciembre son discrecionales y se recortarían. Con ventas de ≈ 210.000 €, la disposición llegaría a ≈ 90.000 € y quedaría devuelta a finales de enero de 2027 —un mes más tarde que en el escenario base— con la caja de campaña aún en positivo (≈ +22.000 €). Mitigan el riesgo la compra escalonada, el stock no vendido que se liquida en el primer trimestre y los ejercicios previos en beneficios.</w:t>
      </w:r>
    </w:p>
    <w:p>
      <w:pPr>
        <w:pStyle w:val="Heading2"/>
        <w:spacing w:after="120" w:before="220"/>
      </w:pPr>
      <w:r>
        <w:rPr>
          <w:rFonts w:ascii="Georgia" w:cs="Georgia" w:eastAsia="Georgia" w:hAnsi="Georgia"/>
          <w:b/>
          <w:bCs/>
          <w:color w:val="1D5366"/>
          <w:sz w:val="23"/>
          <w:szCs w:val="23"/>
        </w:rPr>
        <w:t xml:space="preserve">10.4. Efecto del préstamo vivo con CaixaBank</w:t>
      </w:r>
    </w:p>
    <w:p>
      <w:pPr>
        <w:spacing w:after="120" w:line="288"/>
      </w:pPr>
      <w:r>
        <w:rPr>
          <w:rFonts w:ascii="Helvetica Neue" w:cs="Helvetica Neue" w:eastAsia="Helvetica Neue" w:hAnsi="Helvetica Neue"/>
          <w:sz w:val="22"/>
          <w:szCs w:val="22"/>
        </w:rPr>
        <w:t xml:space="preserve">EKIO BIOTECH mantiene un préstamo de 80.000 € formalizado con CaixaBank, en amortización y al corriente de pago. Su cuota mensual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Helvetica Neue" w:cs="Helvetica Neue" w:eastAsia="Helvetica Neue" w:hAnsi="Helvetica Neue"/>
          <w:sz w:val="22"/>
          <w:szCs w:val="22"/>
        </w:rPr>
        <w:t xml:space="preserve">Cuota mensual utilizada en el modelo: 1.350 €/mes. La entidad dispone del cuadro de amortización y del saldo vivo actualizado.</w:t>
      </w:r>
    </w:p>
    <w:p>
      <w:pPr>
        <w:pStyle w:val="ListParagraph"/>
        <w:numPr>
          <w:ilvl w:val="0"/>
          <w:numId w:val="3"/>
        </w:numPr>
        <w:spacing w:after="100" w:line="288"/>
      </w:pPr>
      <w:r>
        <w:rPr>
          <w:rFonts w:ascii="Helvetica Neue" w:cs="Helvetica Neue" w:eastAsia="Helvetica Neue" w:hAnsi="Helvetica Neue"/>
          <w:sz w:val="22"/>
          <w:szCs w:val="22"/>
        </w:rPr>
        <w:t xml:space="preserve">Servicio del préstamo durante los cinco meses de campaña: ~6.750 €, absorbido por el flujo de campaña en todos los escenarios.</w:t>
      </w:r>
    </w:p>
    <w:p>
      <w:pPr>
        <w:spacing w:after="120" w:line="288"/>
      </w:pPr>
      <w:r>
        <w:rPr>
          <w:rFonts w:ascii="Helvetica Neue" w:cs="Helvetica Neue" w:eastAsia="Helvetica Neue" w:hAnsi="Helvetica Neue"/>
          <w:sz w:val="22"/>
          <w:szCs w:val="22"/>
        </w:rPr>
        <w:t xml:space="preserve">El historial de cumplimiento de ese préstamo con la propia entidad es, en sí mismo, el mejor antecedente disponible sobre el comportamiento de pago de la empresa.</w:t>
      </w:r>
    </w:p>
    <w:p>
      <w:pPr>
        <w:pStyle w:val="Heading2"/>
        <w:spacing w:after="120" w:before="220"/>
      </w:pPr>
      <w:r>
        <w:rPr>
          <w:rFonts w:ascii="Georgia" w:cs="Georgia" w:eastAsia="Georgia" w:hAnsi="Georgia"/>
          <w:b/>
          <w:bCs/>
          <w:color w:val="1D5366"/>
          <w:sz w:val="23"/>
          <w:szCs w:val="23"/>
        </w:rPr>
        <w:t xml:space="preserve">10.5. Conclusión sobre solvencia</w:t>
      </w:r>
    </w:p>
    <w:p>
      <w:pPr>
        <w:pStyle w:val="ListParagraph"/>
        <w:numPr>
          <w:ilvl w:val="0"/>
          <w:numId w:val="3"/>
        </w:numPr>
        <w:spacing w:after="100" w:line="288"/>
      </w:pPr>
      <w:r>
        <w:rPr>
          <w:rFonts w:ascii="Helvetica Neue" w:cs="Helvetica Neue" w:eastAsia="Helvetica Neue" w:hAnsi="Helvetica Neue"/>
          <w:b/>
          <w:bCs/>
          <w:sz w:val="22"/>
          <w:szCs w:val="22"/>
        </w:rPr>
        <w:t xml:space="preserve">Circulante autoliquidable. </w:t>
      </w:r>
      <w:r>
        <w:rPr>
          <w:rFonts w:ascii="Helvetica Neue" w:cs="Helvetica Neue" w:eastAsia="Helvetica Neue" w:hAnsi="Helvetica Neue"/>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Helvetica Neue" w:cs="Helvetica Neue" w:eastAsia="Helvetica Neue" w:hAnsi="Helvetica Neue"/>
          <w:b/>
          <w:bCs/>
          <w:sz w:val="22"/>
          <w:szCs w:val="22"/>
        </w:rPr>
        <w:t xml:space="preserve">Disposición muy por debajo del límite. </w:t>
      </w:r>
      <w:r>
        <w:rPr>
          <w:rFonts w:ascii="Helvetica Neue" w:cs="Helvetica Neue" w:eastAsia="Helvetica Neue" w:hAnsi="Helvetica Neue"/>
          <w:sz w:val="22"/>
          <w:szCs w:val="22"/>
        </w:rPr>
        <w:t xml:space="preserve">El límite solicitado es 250.000 €; la disposición máxima prevista es de ~72.000 € con compra escalonada y ~150.000 € comprando todo por adelantado. El margen es holgura para reponer, no deuda prevista.</w:t>
      </w:r>
    </w:p>
    <w:p>
      <w:pPr>
        <w:pStyle w:val="ListParagraph"/>
        <w:numPr>
          <w:ilvl w:val="0"/>
          <w:numId w:val="3"/>
        </w:numPr>
        <w:spacing w:after="100" w:line="288"/>
      </w:pPr>
      <w:r>
        <w:rPr>
          <w:rFonts w:ascii="Helvetica Neue" w:cs="Helvetica Neue" w:eastAsia="Helvetica Neue" w:hAnsi="Helvetica Neue"/>
          <w:b/>
          <w:bCs/>
          <w:sz w:val="22"/>
          <w:szCs w:val="22"/>
        </w:rPr>
        <w:t xml:space="preserve">Cobertura de 1,43x (base) y 1,38x (conservador), </w:t>
      </w:r>
      <w:r>
        <w:rPr>
          <w:rFonts w:ascii="Helvetica Neue" w:cs="Helvetica Neue" w:eastAsia="Helvetica Neue" w:hAnsi="Helvetica Neue"/>
          <w:sz w:val="22"/>
          <w:szCs w:val="22"/>
        </w:rPr>
        <w:t xml:space="preserve">en ambos casos después de atender el préstamo vivo con CaixaBank. En un estrés de ventas −40 % con el primer pedido comprometido, el ciclo se alarga un mes hacia Q1 2027 sin llegar a impago.</w:t>
      </w:r>
    </w:p>
    <w:p>
      <w:pPr>
        <w:pStyle w:val="ListParagraph"/>
        <w:numPr>
          <w:ilvl w:val="0"/>
          <w:numId w:val="3"/>
        </w:numPr>
        <w:spacing w:after="100" w:line="288"/>
      </w:pPr>
      <w:r>
        <w:rPr>
          <w:rFonts w:ascii="Helvetica Neue" w:cs="Helvetica Neue" w:eastAsia="Helvetica Neue" w:hAnsi="Helvetica Neue"/>
          <w:b/>
          <w:bCs/>
          <w:sz w:val="22"/>
          <w:szCs w:val="22"/>
        </w:rPr>
        <w:t xml:space="preserve">Riesgo acotado. </w:t>
      </w:r>
      <w:r>
        <w:rPr>
          <w:rFonts w:ascii="Helvetica Neue" w:cs="Helvetica Neue" w:eastAsia="Helvetica Neue" w:hAnsi="Helvetica Neue"/>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Georgia" w:cs="Georgia" w:eastAsia="Georgia" w:hAnsi="Georgia"/>
          <w:b/>
          <w:bCs/>
          <w:color w:val="122638"/>
          <w:sz w:val="30"/>
          <w:szCs w:val="30"/>
        </w:rPr>
        <w:t xml:space="preserve">11. Anexos</w:t>
      </w:r>
    </w:p>
    <w:p>
      <w:pPr>
        <w:pStyle w:val="Heading2"/>
        <w:spacing w:after="120" w:before="220"/>
      </w:pPr>
      <w:r>
        <w:rPr>
          <w:rFonts w:ascii="Georgia" w:cs="Georgia" w:eastAsia="Georgia" w:hAnsi="Georgia"/>
          <w:b/>
          <w:bCs/>
          <w:color w:val="1D5366"/>
          <w:sz w:val="23"/>
          <w:szCs w:val="23"/>
        </w:rPr>
        <w:t xml:space="preserve">11.1. Documentación que acompaña a este plan</w:t>
      </w:r>
    </w:p>
    <w:p>
      <w:pPr>
        <w:pStyle w:val="ListParagraph"/>
        <w:numPr>
          <w:ilvl w:val="0"/>
          <w:numId w:val="3"/>
        </w:numPr>
        <w:spacing w:after="100" w:line="288"/>
      </w:pPr>
      <w:r>
        <w:rPr>
          <w:rFonts w:ascii="Helvetica Neue" w:cs="Helvetica Neue" w:eastAsia="Helvetica Neue" w:hAnsi="Helvetica Neue"/>
          <w:sz w:val="22"/>
          <w:szCs w:val="22"/>
        </w:rPr>
        <w:t xml:space="preserve">Escritura de constitución de EKIO BIOTECH, S.L.U. y de aportación del negocio en funcionamiento, de 29 de julio de 2026, en la que constan el patrimonio aportado, el objeto social y el alta censal de la sociedad.</w:t>
      </w:r>
    </w:p>
    <w:p>
      <w:pPr>
        <w:pStyle w:val="ListParagraph"/>
        <w:numPr>
          <w:ilvl w:val="0"/>
          <w:numId w:val="3"/>
        </w:numPr>
        <w:spacing w:after="100" w:line="288"/>
      </w:pPr>
      <w:r>
        <w:rPr>
          <w:rFonts w:ascii="Helvetica Neue" w:cs="Helvetica Neue" w:eastAsia="Helvetica Neue" w:hAnsi="Helvetica Neue"/>
          <w:sz w:val="22"/>
          <w:szCs w:val="22"/>
        </w:rPr>
        <w:t xml:space="preserve">Certificados de estar al corriente de pago con la Agencia Tributaria y con la Tesorería General de la Seguridad Social.</w:t>
      </w:r>
    </w:p>
    <w:p>
      <w:pPr>
        <w:pStyle w:val="ListParagraph"/>
        <w:numPr>
          <w:ilvl w:val="0"/>
          <w:numId w:val="3"/>
        </w:numPr>
        <w:spacing w:after="100" w:line="288"/>
      </w:pPr>
      <w:r>
        <w:rPr>
          <w:rFonts w:ascii="Helvetica Neue" w:cs="Helvetica Neue" w:eastAsia="Helvetica Neue" w:hAnsi="Helvetica Neue"/>
          <w:sz w:val="22"/>
          <w:szCs w:val="22"/>
        </w:rPr>
        <w:t xml:space="preserve">Resoluciones de concesión de las tres subvenciones de la Junta de Castilla y León (digitalización, innovación e investigación y desarrollo).</w:t>
      </w:r>
    </w:p>
    <w:p>
      <w:pPr>
        <w:pStyle w:val="ListParagraph"/>
        <w:numPr>
          <w:ilvl w:val="0"/>
          <w:numId w:val="3"/>
        </w:numPr>
        <w:spacing w:after="100" w:line="288"/>
      </w:pPr>
      <w:r>
        <w:rPr>
          <w:rFonts w:ascii="Helvetica Neue" w:cs="Helvetica Neue" w:eastAsia="Helvetica Neue" w:hAnsi="Helvetica Neue"/>
          <w:sz w:val="22"/>
          <w:szCs w:val="22"/>
        </w:rPr>
        <w:t xml:space="preserve">Declaraciones de IRPF y modelos 130 y 390 de la actividad como empresario individual (ejercicios 2023, 2024 y 2025), y P&amp;L de gestión de Holded.</w:t>
      </w:r>
    </w:p>
    <w:p>
      <w:pPr>
        <w:pStyle w:val="ListParagraph"/>
        <w:numPr>
          <w:ilvl w:val="0"/>
          <w:numId w:val="3"/>
        </w:numPr>
        <w:spacing w:after="100" w:line="288"/>
      </w:pPr>
      <w:r>
        <w:rPr>
          <w:rFonts w:ascii="Helvetica Neue" w:cs="Helvetica Neue" w:eastAsia="Helvetica Neue" w:hAnsi="Helvetica Neue"/>
          <w:sz w:val="22"/>
          <w:szCs w:val="22"/>
        </w:rPr>
        <w:t xml:space="preserve">Cuadro de amortización del préstamo de 80.000 € vivo con CaixaBank.</w:t>
      </w:r>
    </w:p>
    <w:p>
      <w:pPr>
        <w:pStyle w:val="ListParagraph"/>
        <w:numPr>
          <w:ilvl w:val="0"/>
          <w:numId w:val="3"/>
        </w:numPr>
        <w:spacing w:after="100" w:line="288"/>
      </w:pPr>
      <w:r>
        <w:rPr>
          <w:rFonts w:ascii="Helvetica Neue" w:cs="Helvetica Neue" w:eastAsia="Helvetica Neue" w:hAnsi="Helvetica Neue"/>
          <w:sz w:val="22"/>
          <w:szCs w:val="22"/>
        </w:rPr>
        <w:t xml:space="preserve">Anexo financiero con el detalle del modelo de campaña y los escenarios.</w:t>
      </w:r>
    </w:p>
    <w:p>
      <w:pPr>
        <w:pStyle w:val="Heading2"/>
        <w:spacing w:after="120" w:before="220"/>
      </w:pPr>
      <w:r>
        <w:rPr>
          <w:rFonts w:ascii="Georgia" w:cs="Georgia" w:eastAsia="Georgia" w:hAnsi="Georgia"/>
          <w:b/>
          <w:bCs/>
          <w:color w:val="1D5366"/>
          <w:sz w:val="23"/>
          <w:szCs w:val="23"/>
        </w:rPr>
        <w:t xml:space="preserve">11.2. Información complementaria</w:t>
      </w:r>
    </w:p>
    <w:p>
      <w:pPr>
        <w:spacing w:after="120" w:line="288"/>
      </w:pPr>
      <w:r>
        <w:rPr>
          <w:rFonts w:ascii="Helvetica Neue" w:cs="Helvetica Neue" w:eastAsia="Helvetica Neue" w:hAnsi="Helvetica Neue"/>
          <w:sz w:val="22"/>
          <w:szCs w:val="22"/>
        </w:rPr>
        <w:t xml:space="preserve">La empresa facilitará a la entidad cualquier detalle adicional sobre las cifras, los supuestos o la documentación de este plan que le sea requerido.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7A84D" w:sz="8" w:space="6"/>
      </w:pBdr>
      <w:spacing w:after="60" w:before="0"/>
    </w:pPr>
    <w:r>
      <w:rPr>
        <w:rFonts w:ascii="Helvetica Neue" w:cs="Helvetica Neue" w:eastAsia="Helvetica Neue" w:hAnsi="Helvetica Neue"/>
        <w:sz w:val="2"/>
        <w:szCs w:val="2"/>
      </w:rPr>
      <w:t xml:space="preserve"/>
    </w:r>
  </w:p>
  <w:p>
    <w:pPr>
      <w:tabs>
        <w:tab w:val="right" w:pos="9026"/>
      </w:tabs>
      <w:spacing w:after="0" w:before="0"/>
    </w:pPr>
    <w:r>
      <w:rPr>
        <w:rFonts w:ascii="Georgia" w:cs="Georgia" w:eastAsia="Georgia" w:hAnsi="Georgia"/>
        <w:b/>
        <w:bCs/>
        <w:color w:val="122638"/>
        <w:spacing w:val="30"/>
        <w:sz w:val="19"/>
        <w:szCs w:val="19"/>
      </w:rPr>
      <w:t xml:space="preserve">EKIO</w:t>
    </w:r>
    <w:r>
      <w:rPr>
        <w:rFonts w:ascii="Helvetica Neue" w:cs="Helvetica Neue" w:eastAsia="Helvetica Neue" w:hAnsi="Helvetica Neue"/>
        <w:b/>
        <w:bCs/>
        <w:color w:val="9B661E"/>
        <w:spacing w:val="30"/>
        <w:sz w:val="12"/>
        <w:szCs w:val="12"/>
      </w:rPr>
      <w:t xml:space="preserve">  ELECTROSMOG</w:t>
    </w:r>
    <w:r>
      <w:rPr>
        <w:rFonts w:ascii="Helvetica Neue" w:cs="Helvetica Neue" w:eastAsia="Helvetica Neue" w:hAnsi="Helvetica Neue"/>
        <w:color w:val="64707C"/>
        <w:sz w:val="15"/>
        <w:szCs w:val="15"/>
      </w:rPr>
      <w:t xml:space="preserve">   ·   EKIO BIOTECH, S.L.U.  ·  Plan de empresa</w:t>
    </w:r>
    <w:r>
      <w:rPr>
        <w:rFonts w:ascii="Helvetica Neue" w:cs="Helvetica Neue" w:eastAsia="Helvetica Neue" w:hAnsi="Helvetica Neue"/>
        <w:sz w:val="15"/>
        <w:szCs w:val="15"/>
      </w:rPr>
      <w:t xml:space="preserve">	</w:t>
    </w:r>
    <w:r>
      <w:rPr>
        <w:rFonts w:ascii="Helvetica Neue" w:cs="Helvetica Neue" w:eastAsia="Helvetica Neue" w:hAnsi="Helvetica Neue"/>
        <w:b/>
        <w:bCs/>
        <w:color w:val="122638"/>
        <w:sz w:val="15"/>
        <w:szCs w:val="15"/>
      </w:rPr>
      <w:t xml:space="preserve">Pág.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2026-08-31T09:52:55.542Z</dcterms:created>
  <dcterms:modified xsi:type="dcterms:W3CDTF">2026-08-31T09:52:55.543Z</dcterms:modified>
</cp:coreProperties>
</file>

<file path=docProps/custom.xml><?xml version="1.0" encoding="utf-8"?>
<Properties xmlns="http://schemas.openxmlformats.org/officeDocument/2006/custom-properties" xmlns:vt="http://schemas.openxmlformats.org/officeDocument/2006/docPropsVTypes"/>
</file>