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A70" w:rsidRDefault="00BE2CB9"/>
    <w:p w:rsidR="00723082" w:rsidRDefault="00C92BAF">
      <w:r>
        <w:t>1.1</w:t>
      </w:r>
    </w:p>
    <w:p w:rsidR="00D63264" w:rsidRPr="00D63264" w:rsidRDefault="004E1382" w:rsidP="00D63264">
      <w:pPr>
        <w:pStyle w:val="HTMLconformatoprevio"/>
        <w:shd w:val="clear" w:color="auto" w:fill="FFFFFF"/>
        <w:rPr>
          <w:rFonts w:ascii="inherit" w:hAnsi="inherit"/>
          <w:color w:val="212121"/>
        </w:rPr>
      </w:pPr>
      <w:r w:rsidRPr="00D63264">
        <w:rPr>
          <w:rFonts w:ascii="Times New Roman" w:hAnsi="Times New Roman" w:cs="Times New Roman"/>
        </w:rPr>
        <w:t xml:space="preserve">El paquete DBMS_XPLAN </w:t>
      </w:r>
      <w:r w:rsidR="00D63264" w:rsidRPr="00D63264">
        <w:rPr>
          <w:rFonts w:ascii="Times New Roman" w:hAnsi="Times New Roman" w:cs="Times New Roman"/>
        </w:rPr>
        <w:t>prove una manera sencilla de mostrar el resultado</w:t>
      </w:r>
      <w:r w:rsidR="00D63264">
        <w:rPr>
          <w:rFonts w:ascii="Times New Roman" w:hAnsi="Times New Roman" w:cs="Times New Roman"/>
        </w:rPr>
        <w:t xml:space="preserve"> del comando EXPLAIN_PLAN en varios formatos predefinidos .Tambien se puede usa este paquete para desplegar el plan de una sentencia almacenada en  el “Automaic Workload Repository(AWR)” o </w:t>
      </w:r>
      <w:r w:rsidR="00D63264" w:rsidRPr="00D63264">
        <w:rPr>
          <w:rFonts w:ascii="inherit" w:hAnsi="inherit"/>
          <w:color w:val="212121"/>
          <w:lang w:val="es-ES"/>
        </w:rPr>
        <w:t>almacenado en un conjunto de ajuste de SQL.</w:t>
      </w:r>
    </w:p>
    <w:p w:rsidR="00D63264" w:rsidRPr="00D63264" w:rsidRDefault="00D63264" w:rsidP="00D63264">
      <w:pPr>
        <w:pStyle w:val="HTMLconformatoprevio"/>
        <w:shd w:val="clear" w:color="auto" w:fill="FFFFFF"/>
        <w:rPr>
          <w:rFonts w:ascii="inherit" w:hAnsi="inherit"/>
          <w:color w:val="212121"/>
          <w:lang w:val="es-ES"/>
        </w:rPr>
      </w:pPr>
      <w:r>
        <w:rPr>
          <w:rFonts w:ascii="inherit" w:hAnsi="inherit"/>
          <w:color w:val="212121"/>
          <w:lang w:val="es-ES"/>
        </w:rPr>
        <w:t>Además proporciona una forma de mostrar el plan de ejecución de SQL y las estadísticas de tiempo de ejecución de SQL para los cursores SQL en caché en función de la información almacenada en V $ SQL_PLAN y V $ SQL_PLAN_STATISTICS_ALL vistas fijas Finalmente, muestra los planes de una línea de base del plan SQL.</w:t>
      </w:r>
    </w:p>
    <w:p w:rsidR="00222014" w:rsidRPr="00D63264" w:rsidRDefault="00222014" w:rsidP="00222014">
      <w:pPr>
        <w:rPr>
          <w:sz w:val="21"/>
          <w:szCs w:val="21"/>
        </w:rPr>
      </w:pPr>
      <w:r>
        <w:t>(Kannan,2016,p.</w:t>
      </w:r>
      <w:r w:rsidR="00D63264" w:rsidRPr="00AD462C">
        <w:rPr>
          <w:sz w:val="21"/>
          <w:szCs w:val="21"/>
        </w:rPr>
        <w:t xml:space="preserve"> </w:t>
      </w:r>
      <w:r w:rsidR="00D63264" w:rsidRPr="00D63264">
        <w:rPr>
          <w:sz w:val="21"/>
          <w:szCs w:val="21"/>
        </w:rPr>
        <w:t>202-1</w:t>
      </w:r>
      <w:r>
        <w:rPr>
          <w:sz w:val="21"/>
          <w:szCs w:val="21"/>
        </w:rPr>
        <w:t>)</w:t>
      </w:r>
      <w:r w:rsidR="00D63264" w:rsidRPr="00AD462C">
        <w:rPr>
          <w:sz w:val="21"/>
          <w:szCs w:val="21"/>
        </w:rPr>
        <w:t xml:space="preserve"> </w:t>
      </w:r>
    </w:p>
    <w:p w:rsidR="00723082" w:rsidRPr="00D63264" w:rsidRDefault="00C92BAF">
      <w:r>
        <w:t>1.2</w:t>
      </w:r>
    </w:p>
    <w:p w:rsidR="00222014" w:rsidRPr="00222014" w:rsidRDefault="00222014" w:rsidP="00222014">
      <w:pPr>
        <w:rPr>
          <w:sz w:val="20"/>
          <w:szCs w:val="20"/>
        </w:rPr>
      </w:pPr>
      <w:r w:rsidRPr="00222014">
        <w:rPr>
          <w:rFonts w:ascii="Arial" w:hAnsi="Arial" w:cs="Arial"/>
        </w:rPr>
        <w:t>■</w:t>
      </w:r>
      <w:r w:rsidRPr="00222014">
        <w:t xml:space="preserve"> </w:t>
      </w:r>
      <w:r w:rsidRPr="00222014">
        <w:rPr>
          <w:sz w:val="20"/>
          <w:szCs w:val="20"/>
        </w:rPr>
        <w:t>DISPLAY - para formatear y mostrar el contenido de una tabla de plan.</w:t>
      </w:r>
    </w:p>
    <w:p w:rsidR="00222014" w:rsidRPr="00222014" w:rsidRDefault="00222014" w:rsidP="00222014">
      <w:pPr>
        <w:rPr>
          <w:sz w:val="20"/>
          <w:szCs w:val="20"/>
        </w:rPr>
      </w:pPr>
      <w:r w:rsidRPr="00222014">
        <w:rPr>
          <w:sz w:val="20"/>
          <w:szCs w:val="20"/>
        </w:rPr>
        <w:t xml:space="preserve"> ■ DISPLAY_AWR: para formatear y mostrar el contenido del plan de ejecución de un archivo almacenado en una sentencia de SQL en el AWR. </w:t>
      </w:r>
    </w:p>
    <w:p w:rsidR="00222014" w:rsidRPr="00222014" w:rsidRDefault="00222014" w:rsidP="00222014">
      <w:pPr>
        <w:rPr>
          <w:sz w:val="20"/>
          <w:szCs w:val="20"/>
        </w:rPr>
      </w:pPr>
      <w:r w:rsidRPr="00222014">
        <w:rPr>
          <w:sz w:val="20"/>
          <w:szCs w:val="20"/>
        </w:rPr>
        <w:t>■ DISPLAY_CURSOR - para formatear y mostrar el contenido del plan de ejecución de cualquier cursor cargado</w:t>
      </w:r>
    </w:p>
    <w:p w:rsidR="00222014" w:rsidRPr="00222014" w:rsidRDefault="00222014" w:rsidP="00222014">
      <w:pPr>
        <w:rPr>
          <w:sz w:val="20"/>
          <w:szCs w:val="20"/>
        </w:rPr>
      </w:pPr>
      <w:r w:rsidRPr="00222014">
        <w:rPr>
          <w:sz w:val="20"/>
          <w:szCs w:val="20"/>
        </w:rPr>
        <w:t xml:space="preserve"> ■ DISPLAY_SQL_PLAN_BASELINE - para visualizar uno o más planes de ejecución de una secuencia de SQL identificada por el controlador SQL </w:t>
      </w:r>
    </w:p>
    <w:p w:rsidR="00222014" w:rsidRDefault="00222014" w:rsidP="00222014">
      <w:pPr>
        <w:rPr>
          <w:sz w:val="20"/>
          <w:szCs w:val="20"/>
        </w:rPr>
      </w:pPr>
      <w:r w:rsidRPr="00222014">
        <w:rPr>
          <w:sz w:val="20"/>
          <w:szCs w:val="20"/>
        </w:rPr>
        <w:t>■ DISPLAY_SQLSET - para formatear y mostrar el contenido del plan de ejecución de sentencias almacenadas en un conjunto de ajuste SQL.</w:t>
      </w:r>
    </w:p>
    <w:p w:rsidR="00222014" w:rsidRDefault="00222014" w:rsidP="00222014">
      <w:pPr>
        <w:rPr>
          <w:sz w:val="20"/>
          <w:szCs w:val="20"/>
        </w:rPr>
      </w:pPr>
    </w:p>
    <w:p w:rsidR="00222014" w:rsidRDefault="00222014" w:rsidP="00222014">
      <w:pPr>
        <w:rPr>
          <w:sz w:val="21"/>
          <w:szCs w:val="21"/>
        </w:rPr>
      </w:pPr>
      <w:r>
        <w:t>(Kannan,2016,p.</w:t>
      </w:r>
      <w:r w:rsidRPr="00AD462C">
        <w:rPr>
          <w:sz w:val="21"/>
          <w:szCs w:val="21"/>
        </w:rPr>
        <w:t xml:space="preserve"> </w:t>
      </w:r>
      <w:r w:rsidR="00372ECF">
        <w:rPr>
          <w:sz w:val="21"/>
          <w:szCs w:val="21"/>
        </w:rPr>
        <w:t>202-3</w:t>
      </w:r>
      <w:r>
        <w:rPr>
          <w:sz w:val="21"/>
          <w:szCs w:val="21"/>
        </w:rPr>
        <w:t>)</w:t>
      </w:r>
      <w:r w:rsidRPr="00AD462C">
        <w:rPr>
          <w:sz w:val="21"/>
          <w:szCs w:val="21"/>
        </w:rPr>
        <w:t xml:space="preserve"> </w:t>
      </w:r>
    </w:p>
    <w:p w:rsidR="00C92BAF" w:rsidRDefault="00C92BAF" w:rsidP="00222014">
      <w:pPr>
        <w:rPr>
          <w:sz w:val="21"/>
          <w:szCs w:val="21"/>
        </w:rPr>
      </w:pPr>
    </w:p>
    <w:p w:rsidR="00C92BAF" w:rsidRPr="00D63264" w:rsidRDefault="00C92BAF" w:rsidP="00222014">
      <w:pPr>
        <w:rPr>
          <w:sz w:val="21"/>
          <w:szCs w:val="21"/>
        </w:rPr>
      </w:pPr>
      <w:r>
        <w:rPr>
          <w:sz w:val="21"/>
          <w:szCs w:val="21"/>
        </w:rPr>
        <w:t>1.3</w:t>
      </w:r>
    </w:p>
    <w:p w:rsidR="00222014" w:rsidRDefault="00222014" w:rsidP="00222014">
      <w:pPr>
        <w:rPr>
          <w:sz w:val="20"/>
          <w:szCs w:val="20"/>
        </w:rPr>
      </w:pPr>
    </w:p>
    <w:tbl>
      <w:tblPr>
        <w:tblStyle w:val="Tablaconcuadrcula"/>
        <w:tblW w:w="0" w:type="auto"/>
        <w:tblLook w:val="04A0" w:firstRow="1" w:lastRow="0" w:firstColumn="1" w:lastColumn="0" w:noHBand="0" w:noVBand="1"/>
      </w:tblPr>
      <w:tblGrid>
        <w:gridCol w:w="4414"/>
        <w:gridCol w:w="4414"/>
      </w:tblGrid>
      <w:tr w:rsidR="00717154" w:rsidTr="00717154">
        <w:tc>
          <w:tcPr>
            <w:tcW w:w="4414" w:type="dxa"/>
          </w:tcPr>
          <w:p w:rsidR="00717154" w:rsidRDefault="00717154" w:rsidP="00222014">
            <w:pPr>
              <w:rPr>
                <w:sz w:val="20"/>
                <w:szCs w:val="20"/>
                <w:lang w:val="en-US"/>
              </w:rPr>
            </w:pPr>
            <w:proofErr w:type="spellStart"/>
            <w:r>
              <w:rPr>
                <w:sz w:val="20"/>
                <w:szCs w:val="20"/>
                <w:lang w:val="en-US"/>
              </w:rPr>
              <w:t>Subprograma</w:t>
            </w:r>
            <w:proofErr w:type="spellEnd"/>
          </w:p>
        </w:tc>
        <w:tc>
          <w:tcPr>
            <w:tcW w:w="4414" w:type="dxa"/>
          </w:tcPr>
          <w:p w:rsidR="00717154" w:rsidRDefault="00717154" w:rsidP="00222014">
            <w:pPr>
              <w:rPr>
                <w:sz w:val="20"/>
                <w:szCs w:val="20"/>
                <w:lang w:val="en-US"/>
              </w:rPr>
            </w:pPr>
            <w:proofErr w:type="spellStart"/>
            <w:r>
              <w:rPr>
                <w:sz w:val="20"/>
                <w:szCs w:val="20"/>
                <w:lang w:val="en-US"/>
              </w:rPr>
              <w:t>Descripcion</w:t>
            </w:r>
            <w:proofErr w:type="spellEnd"/>
          </w:p>
        </w:tc>
      </w:tr>
      <w:tr w:rsidR="00717154" w:rsidTr="00717154">
        <w:tc>
          <w:tcPr>
            <w:tcW w:w="4414" w:type="dxa"/>
          </w:tcPr>
          <w:p w:rsidR="00717154" w:rsidRPr="00717154" w:rsidRDefault="00717154" w:rsidP="00717154">
            <w:pPr>
              <w:rPr>
                <w:rFonts w:asciiTheme="minorHAnsi" w:eastAsiaTheme="minorEastAsia" w:hAnsiTheme="minorHAnsi" w:cstheme="minorBidi"/>
                <w:lang w:val="es-ES_tradnl"/>
              </w:rPr>
            </w:pPr>
            <w:r>
              <w:t>DIFF_PLAN Function</w:t>
            </w:r>
          </w:p>
        </w:tc>
        <w:tc>
          <w:tcPr>
            <w:tcW w:w="4414" w:type="dxa"/>
          </w:tcPr>
          <w:p w:rsidR="00717154" w:rsidRDefault="00717154" w:rsidP="00222014">
            <w:pPr>
              <w:rPr>
                <w:sz w:val="20"/>
                <w:szCs w:val="20"/>
                <w:lang w:val="en-US"/>
              </w:rPr>
            </w:pPr>
            <w:proofErr w:type="spellStart"/>
            <w:r>
              <w:rPr>
                <w:sz w:val="20"/>
                <w:szCs w:val="20"/>
                <w:lang w:val="en-US"/>
              </w:rPr>
              <w:t>Compara</w:t>
            </w:r>
            <w:proofErr w:type="spellEnd"/>
            <w:r>
              <w:rPr>
                <w:sz w:val="20"/>
                <w:szCs w:val="20"/>
                <w:lang w:val="en-US"/>
              </w:rPr>
              <w:t xml:space="preserve"> </w:t>
            </w:r>
            <w:proofErr w:type="spellStart"/>
            <w:r>
              <w:rPr>
                <w:sz w:val="20"/>
                <w:szCs w:val="20"/>
                <w:lang w:val="en-US"/>
              </w:rPr>
              <w:t>los</w:t>
            </w:r>
            <w:proofErr w:type="spellEnd"/>
            <w:r>
              <w:rPr>
                <w:sz w:val="20"/>
                <w:szCs w:val="20"/>
                <w:lang w:val="en-US"/>
              </w:rPr>
              <w:t xml:space="preserve"> planes</w:t>
            </w:r>
          </w:p>
        </w:tc>
      </w:tr>
      <w:tr w:rsidR="00717154" w:rsidRPr="00717154" w:rsidTr="00717154">
        <w:tc>
          <w:tcPr>
            <w:tcW w:w="4414" w:type="dxa"/>
          </w:tcPr>
          <w:p w:rsidR="00717154" w:rsidRPr="00717154" w:rsidRDefault="00717154" w:rsidP="00717154">
            <w:pPr>
              <w:rPr>
                <w:rFonts w:asciiTheme="minorHAnsi" w:eastAsiaTheme="minorEastAsia" w:hAnsiTheme="minorHAnsi" w:cstheme="minorBidi"/>
                <w:lang w:val="es-ES_tradnl"/>
              </w:rPr>
            </w:pPr>
            <w:r>
              <w:t>DISPLAY Function</w:t>
            </w:r>
          </w:p>
        </w:tc>
        <w:tc>
          <w:tcPr>
            <w:tcW w:w="4414" w:type="dxa"/>
          </w:tcPr>
          <w:p w:rsidR="00717154" w:rsidRPr="00717154" w:rsidRDefault="00717154" w:rsidP="00222014">
            <w:pPr>
              <w:rPr>
                <w:sz w:val="20"/>
                <w:szCs w:val="20"/>
              </w:rPr>
            </w:pPr>
            <w:r w:rsidRPr="00717154">
              <w:rPr>
                <w:sz w:val="20"/>
                <w:szCs w:val="20"/>
              </w:rPr>
              <w:t>Despliega el contenido de la “Table plan”</w:t>
            </w:r>
          </w:p>
        </w:tc>
      </w:tr>
      <w:tr w:rsidR="00717154" w:rsidRPr="00717154" w:rsidTr="00717154">
        <w:tc>
          <w:tcPr>
            <w:tcW w:w="4414" w:type="dxa"/>
          </w:tcPr>
          <w:p w:rsidR="00717154" w:rsidRPr="00717154" w:rsidRDefault="00717154" w:rsidP="00717154">
            <w:pPr>
              <w:rPr>
                <w:rFonts w:asciiTheme="minorHAnsi" w:eastAsiaTheme="minorEastAsia" w:hAnsiTheme="minorHAnsi" w:cstheme="minorBidi"/>
                <w:lang w:val="en-US"/>
              </w:rPr>
            </w:pPr>
            <w:r w:rsidRPr="00717154">
              <w:rPr>
                <w:lang w:val="en-US"/>
              </w:rPr>
              <w:t xml:space="preserve">DISPLAY_AWR Function </w:t>
            </w:r>
          </w:p>
        </w:tc>
        <w:tc>
          <w:tcPr>
            <w:tcW w:w="4414" w:type="dxa"/>
          </w:tcPr>
          <w:p w:rsidR="00717154" w:rsidRPr="00717154" w:rsidRDefault="00717154" w:rsidP="00222014">
            <w:pPr>
              <w:rPr>
                <w:sz w:val="20"/>
                <w:szCs w:val="20"/>
              </w:rPr>
            </w:pPr>
            <w:r w:rsidRPr="00717154">
              <w:rPr>
                <w:sz w:val="20"/>
                <w:szCs w:val="20"/>
              </w:rPr>
              <w:t>Despliega el contenido del plan de ejecucion almacenado</w:t>
            </w:r>
            <w:r w:rsidR="00492AE9">
              <w:rPr>
                <w:sz w:val="20"/>
                <w:szCs w:val="20"/>
              </w:rPr>
              <w:t xml:space="preserve"> en el AWR</w:t>
            </w:r>
          </w:p>
        </w:tc>
      </w:tr>
      <w:tr w:rsidR="00717154" w:rsidRPr="00492AE9" w:rsidTr="00717154">
        <w:tc>
          <w:tcPr>
            <w:tcW w:w="4414" w:type="dxa"/>
          </w:tcPr>
          <w:p w:rsidR="00717154" w:rsidRPr="00492AE9" w:rsidRDefault="00492AE9" w:rsidP="00492AE9">
            <w:pPr>
              <w:rPr>
                <w:rFonts w:asciiTheme="minorHAnsi" w:eastAsiaTheme="minorEastAsia" w:hAnsiTheme="minorHAnsi" w:cstheme="minorBidi"/>
                <w:lang w:val="en-US"/>
              </w:rPr>
            </w:pPr>
            <w:r w:rsidRPr="00492AE9">
              <w:rPr>
                <w:lang w:val="en-US"/>
              </w:rPr>
              <w:t>DISPLA</w:t>
            </w:r>
            <w:r>
              <w:rPr>
                <w:lang w:val="en-US"/>
              </w:rPr>
              <w:t xml:space="preserve">Y_CURSOR Function </w:t>
            </w:r>
          </w:p>
        </w:tc>
        <w:tc>
          <w:tcPr>
            <w:tcW w:w="4414" w:type="dxa"/>
          </w:tcPr>
          <w:p w:rsidR="00717154" w:rsidRPr="00492AE9" w:rsidRDefault="00492AE9" w:rsidP="00222014">
            <w:pPr>
              <w:rPr>
                <w:sz w:val="20"/>
                <w:szCs w:val="20"/>
              </w:rPr>
            </w:pPr>
            <w:r w:rsidRPr="00492AE9">
              <w:rPr>
                <w:sz w:val="20"/>
                <w:szCs w:val="20"/>
              </w:rPr>
              <w:t xml:space="preserve">Despliega el plan de ejecucion de cualquier cursos alamacenado en el </w:t>
            </w:r>
            <w:r>
              <w:rPr>
                <w:sz w:val="20"/>
                <w:szCs w:val="20"/>
              </w:rPr>
              <w:t>Cache del cursor</w:t>
            </w:r>
          </w:p>
        </w:tc>
      </w:tr>
      <w:tr w:rsidR="00717154" w:rsidRPr="00492AE9" w:rsidTr="00717154">
        <w:tc>
          <w:tcPr>
            <w:tcW w:w="4414" w:type="dxa"/>
          </w:tcPr>
          <w:p w:rsidR="00717154" w:rsidRPr="00492AE9" w:rsidRDefault="00492AE9" w:rsidP="00492AE9">
            <w:pPr>
              <w:rPr>
                <w:rFonts w:asciiTheme="minorHAnsi" w:eastAsiaTheme="minorEastAsia" w:hAnsiTheme="minorHAnsi" w:cstheme="minorBidi"/>
                <w:lang w:val="en-US"/>
              </w:rPr>
            </w:pPr>
            <w:r w:rsidRPr="00492AE9">
              <w:rPr>
                <w:lang w:val="en-US"/>
              </w:rPr>
              <w:t>DISP</w:t>
            </w:r>
            <w:r>
              <w:rPr>
                <w:lang w:val="en-US"/>
              </w:rPr>
              <w:t>LAY_PLAN Function</w:t>
            </w:r>
          </w:p>
        </w:tc>
        <w:tc>
          <w:tcPr>
            <w:tcW w:w="4414" w:type="dxa"/>
          </w:tcPr>
          <w:p w:rsidR="00717154" w:rsidRPr="00492AE9" w:rsidRDefault="00492AE9" w:rsidP="00222014">
            <w:pPr>
              <w:rPr>
                <w:sz w:val="20"/>
                <w:szCs w:val="20"/>
              </w:rPr>
            </w:pPr>
            <w:r w:rsidRPr="00492AE9">
              <w:rPr>
                <w:sz w:val="20"/>
                <w:szCs w:val="20"/>
              </w:rPr>
              <w:t>Despliega el contenido de la “Table Plan” en una variedad de formatos</w:t>
            </w:r>
            <w:r w:rsidR="00BD549C">
              <w:rPr>
                <w:sz w:val="20"/>
                <w:szCs w:val="20"/>
              </w:rPr>
              <w:t xml:space="preserve"> con el tipo CLOB como salida</w:t>
            </w:r>
          </w:p>
        </w:tc>
      </w:tr>
      <w:tr w:rsidR="00717154" w:rsidRPr="00BD549C" w:rsidTr="00717154">
        <w:tc>
          <w:tcPr>
            <w:tcW w:w="4414" w:type="dxa"/>
          </w:tcPr>
          <w:p w:rsidR="00717154" w:rsidRPr="00BD549C" w:rsidRDefault="00BD549C" w:rsidP="00222014">
            <w:pPr>
              <w:rPr>
                <w:sz w:val="20"/>
                <w:szCs w:val="20"/>
                <w:lang w:val="en-US"/>
              </w:rPr>
            </w:pPr>
            <w:r w:rsidRPr="00BD549C">
              <w:rPr>
                <w:sz w:val="20"/>
                <w:szCs w:val="20"/>
                <w:lang w:val="en-US"/>
              </w:rPr>
              <w:t xml:space="preserve">DISPLAY_SQL_PLAN_BASELINE Function </w:t>
            </w:r>
          </w:p>
        </w:tc>
        <w:tc>
          <w:tcPr>
            <w:tcW w:w="4414" w:type="dxa"/>
          </w:tcPr>
          <w:p w:rsidR="008006C9" w:rsidRPr="00BD549C" w:rsidRDefault="008006C9" w:rsidP="00222014">
            <w:pPr>
              <w:rPr>
                <w:sz w:val="20"/>
                <w:szCs w:val="20"/>
              </w:rPr>
            </w:pPr>
            <w:r>
              <w:rPr>
                <w:sz w:val="20"/>
                <w:szCs w:val="20"/>
              </w:rPr>
              <w:t>Despliega uno o mas planes de ejecuciones para el manejador SQL especificado de una linea base del plan SQL</w:t>
            </w:r>
          </w:p>
        </w:tc>
      </w:tr>
      <w:tr w:rsidR="00717154" w:rsidRPr="00BD549C" w:rsidTr="00717154">
        <w:tc>
          <w:tcPr>
            <w:tcW w:w="4414" w:type="dxa"/>
          </w:tcPr>
          <w:p w:rsidR="00717154" w:rsidRPr="00BD549C" w:rsidRDefault="00BD549C" w:rsidP="00BD549C">
            <w:pPr>
              <w:rPr>
                <w:rFonts w:asciiTheme="minorHAnsi" w:eastAsiaTheme="minorEastAsia" w:hAnsiTheme="minorHAnsi" w:cstheme="minorBidi"/>
                <w:lang w:val="es-ES_tradnl"/>
              </w:rPr>
            </w:pPr>
            <w:r>
              <w:t>DISPLAY_SQLSET Function</w:t>
            </w:r>
          </w:p>
        </w:tc>
        <w:tc>
          <w:tcPr>
            <w:tcW w:w="4414" w:type="dxa"/>
          </w:tcPr>
          <w:p w:rsidR="00717154" w:rsidRPr="00BD549C" w:rsidRDefault="00B776ED" w:rsidP="00BD549C">
            <w:pPr>
              <w:rPr>
                <w:sz w:val="20"/>
                <w:szCs w:val="20"/>
              </w:rPr>
            </w:pPr>
            <w:r>
              <w:rPr>
                <w:sz w:val="20"/>
                <w:szCs w:val="20"/>
              </w:rPr>
              <w:t>Despliega</w:t>
            </w:r>
            <w:r w:rsidRPr="00B776ED">
              <w:rPr>
                <w:sz w:val="20"/>
                <w:szCs w:val="20"/>
              </w:rPr>
              <w:t xml:space="preserve"> el plan de ejecución de una declaración dada almacenada en un conjunto de ajuste de SQL</w:t>
            </w:r>
          </w:p>
        </w:tc>
      </w:tr>
    </w:tbl>
    <w:p w:rsidR="00717154" w:rsidRDefault="00717154" w:rsidP="00222014">
      <w:pPr>
        <w:rPr>
          <w:sz w:val="20"/>
          <w:szCs w:val="20"/>
        </w:rPr>
      </w:pPr>
    </w:p>
    <w:p w:rsidR="00372ECF" w:rsidRDefault="00372ECF" w:rsidP="00222014">
      <w:pPr>
        <w:rPr>
          <w:sz w:val="20"/>
          <w:szCs w:val="20"/>
        </w:rPr>
      </w:pPr>
    </w:p>
    <w:p w:rsidR="00372ECF" w:rsidRDefault="00372ECF" w:rsidP="00372ECF">
      <w:pPr>
        <w:rPr>
          <w:sz w:val="21"/>
          <w:szCs w:val="21"/>
        </w:rPr>
      </w:pPr>
      <w:r>
        <w:t>(Kannan,2016,p.</w:t>
      </w:r>
      <w:r w:rsidRPr="00AD462C">
        <w:rPr>
          <w:sz w:val="21"/>
          <w:szCs w:val="21"/>
        </w:rPr>
        <w:t xml:space="preserve"> </w:t>
      </w:r>
      <w:r>
        <w:rPr>
          <w:sz w:val="21"/>
          <w:szCs w:val="21"/>
        </w:rPr>
        <w:t>202-9)</w:t>
      </w:r>
      <w:r w:rsidRPr="00AD462C">
        <w:rPr>
          <w:sz w:val="21"/>
          <w:szCs w:val="21"/>
        </w:rPr>
        <w:t xml:space="preserve"> </w:t>
      </w:r>
    </w:p>
    <w:p w:rsidR="00372ECF" w:rsidRDefault="00372ECF" w:rsidP="00222014">
      <w:pPr>
        <w:rPr>
          <w:sz w:val="20"/>
          <w:szCs w:val="20"/>
        </w:rPr>
      </w:pPr>
    </w:p>
    <w:p w:rsidR="00372ECF" w:rsidRDefault="00372ECF" w:rsidP="00222014">
      <w:pPr>
        <w:rPr>
          <w:sz w:val="20"/>
          <w:szCs w:val="20"/>
        </w:rPr>
      </w:pPr>
    </w:p>
    <w:p w:rsidR="00100819" w:rsidRDefault="00746B2D" w:rsidP="00222014">
      <w:pPr>
        <w:rPr>
          <w:sz w:val="20"/>
          <w:szCs w:val="20"/>
        </w:rPr>
      </w:pPr>
      <w:r>
        <w:rPr>
          <w:sz w:val="20"/>
          <w:szCs w:val="20"/>
        </w:rPr>
        <w:t>1.4</w:t>
      </w:r>
    </w:p>
    <w:tbl>
      <w:tblPr>
        <w:tblStyle w:val="Tablaconcuadrcula"/>
        <w:tblW w:w="0" w:type="auto"/>
        <w:tblLook w:val="04A0" w:firstRow="1" w:lastRow="0" w:firstColumn="1" w:lastColumn="0" w:noHBand="0" w:noVBand="1"/>
      </w:tblPr>
      <w:tblGrid>
        <w:gridCol w:w="4414"/>
        <w:gridCol w:w="4414"/>
      </w:tblGrid>
      <w:tr w:rsidR="00100819" w:rsidTr="00100819">
        <w:tc>
          <w:tcPr>
            <w:tcW w:w="4414" w:type="dxa"/>
          </w:tcPr>
          <w:p w:rsidR="00100819" w:rsidRDefault="0041519E" w:rsidP="00222014">
            <w:pPr>
              <w:rPr>
                <w:sz w:val="20"/>
                <w:szCs w:val="20"/>
              </w:rPr>
            </w:pPr>
            <w:r>
              <w:rPr>
                <w:sz w:val="20"/>
                <w:szCs w:val="20"/>
              </w:rPr>
              <w:t>Parametro</w:t>
            </w:r>
          </w:p>
        </w:tc>
        <w:tc>
          <w:tcPr>
            <w:tcW w:w="4414" w:type="dxa"/>
          </w:tcPr>
          <w:p w:rsidR="00100819" w:rsidRDefault="0041519E" w:rsidP="00222014">
            <w:pPr>
              <w:rPr>
                <w:sz w:val="20"/>
                <w:szCs w:val="20"/>
              </w:rPr>
            </w:pPr>
            <w:r>
              <w:rPr>
                <w:sz w:val="20"/>
                <w:szCs w:val="20"/>
              </w:rPr>
              <w:t>Descripcion</w:t>
            </w:r>
          </w:p>
        </w:tc>
      </w:tr>
      <w:tr w:rsidR="00100819" w:rsidTr="00100819">
        <w:tc>
          <w:tcPr>
            <w:tcW w:w="4414" w:type="dxa"/>
          </w:tcPr>
          <w:p w:rsidR="00B776ED" w:rsidRDefault="00B776ED" w:rsidP="00B776ED">
            <w:r>
              <w:t>table_name</w:t>
            </w:r>
          </w:p>
          <w:p w:rsidR="00100819" w:rsidRDefault="00B776ED" w:rsidP="00B776ED">
            <w:pPr>
              <w:rPr>
                <w:sz w:val="20"/>
                <w:szCs w:val="20"/>
              </w:rPr>
            </w:pPr>
            <w:r>
              <w:rPr>
                <w:sz w:val="20"/>
                <w:szCs w:val="20"/>
              </w:rPr>
              <w:t xml:space="preserve"> </w:t>
            </w:r>
          </w:p>
        </w:tc>
        <w:tc>
          <w:tcPr>
            <w:tcW w:w="4414" w:type="dxa"/>
          </w:tcPr>
          <w:p w:rsidR="00100819" w:rsidRDefault="00EB05C0" w:rsidP="00222014">
            <w:pPr>
              <w:rPr>
                <w:sz w:val="20"/>
                <w:szCs w:val="20"/>
              </w:rPr>
            </w:pPr>
            <w:r w:rsidRPr="00EB05C0">
              <w:rPr>
                <w:sz w:val="20"/>
                <w:szCs w:val="20"/>
              </w:rPr>
              <w:t>Especifica el nombre de la tabla donde se almacena el plan. Este parámetro tiene como valor predeterminado PLAN_TABLE, que es la tabla de plan predeterminada para el comando EXPLAIN PLAN. Si se especifica NULL, también se predetermina a PLAN_TABLE</w:t>
            </w:r>
          </w:p>
        </w:tc>
      </w:tr>
      <w:tr w:rsidR="00100819" w:rsidTr="00100819">
        <w:tc>
          <w:tcPr>
            <w:tcW w:w="4414" w:type="dxa"/>
          </w:tcPr>
          <w:p w:rsidR="00B776ED" w:rsidRDefault="00B776ED" w:rsidP="00B776ED">
            <w:r>
              <w:lastRenderedPageBreak/>
              <w:t>statement_id</w:t>
            </w:r>
          </w:p>
          <w:p w:rsidR="00100819" w:rsidRDefault="00B776ED" w:rsidP="00B776ED">
            <w:pPr>
              <w:rPr>
                <w:sz w:val="20"/>
                <w:szCs w:val="20"/>
              </w:rPr>
            </w:pPr>
            <w:r>
              <w:rPr>
                <w:sz w:val="20"/>
                <w:szCs w:val="20"/>
              </w:rPr>
              <w:t xml:space="preserve"> </w:t>
            </w:r>
          </w:p>
        </w:tc>
        <w:tc>
          <w:tcPr>
            <w:tcW w:w="4414" w:type="dxa"/>
          </w:tcPr>
          <w:p w:rsidR="00100819" w:rsidRDefault="00DF415E" w:rsidP="00222014">
            <w:pPr>
              <w:rPr>
                <w:sz w:val="20"/>
                <w:szCs w:val="20"/>
              </w:rPr>
            </w:pPr>
            <w:r w:rsidRPr="00DF415E">
              <w:rPr>
                <w:sz w:val="20"/>
                <w:szCs w:val="20"/>
              </w:rPr>
              <w:t>Especifica el statement_id del plan que se mostrará. Este parámetro tiene como valor predeterminado NULL, que es el valor predeterminado cuando se ejecuta el comando EXPLAIN_PLAN sin</w:t>
            </w:r>
            <w:r>
              <w:rPr>
                <w:sz w:val="20"/>
                <w:szCs w:val="20"/>
              </w:rPr>
              <w:t xml:space="preserve"> un set statement_id clause</w:t>
            </w:r>
            <w:r w:rsidRPr="00DF415E">
              <w:rPr>
                <w:sz w:val="20"/>
                <w:szCs w:val="20"/>
              </w:rPr>
              <w:t>. Si no se especifica un statement_id, la función muestra el plan de la instrucción explicada más reciente.</w:t>
            </w:r>
          </w:p>
        </w:tc>
      </w:tr>
      <w:tr w:rsidR="00100819" w:rsidTr="00100819">
        <w:tc>
          <w:tcPr>
            <w:tcW w:w="4414" w:type="dxa"/>
          </w:tcPr>
          <w:p w:rsidR="00B776ED" w:rsidRDefault="00B776ED" w:rsidP="00B776ED">
            <w:r>
              <w:t>filter_preds</w:t>
            </w:r>
          </w:p>
          <w:p w:rsidR="00100819" w:rsidRDefault="00B776ED" w:rsidP="00B776ED">
            <w:pPr>
              <w:rPr>
                <w:sz w:val="20"/>
                <w:szCs w:val="20"/>
              </w:rPr>
            </w:pPr>
            <w:r>
              <w:rPr>
                <w:sz w:val="20"/>
                <w:szCs w:val="20"/>
              </w:rPr>
              <w:t xml:space="preserve"> </w:t>
            </w:r>
          </w:p>
        </w:tc>
        <w:tc>
          <w:tcPr>
            <w:tcW w:w="4414" w:type="dxa"/>
          </w:tcPr>
          <w:p w:rsidR="00100819" w:rsidRDefault="005B749A" w:rsidP="00222014">
            <w:pPr>
              <w:rPr>
                <w:sz w:val="20"/>
                <w:szCs w:val="20"/>
              </w:rPr>
            </w:pPr>
            <w:r>
              <w:rPr>
                <w:sz w:val="20"/>
                <w:szCs w:val="20"/>
              </w:rPr>
              <w:t xml:space="preserve">Filtros de predicado de </w:t>
            </w:r>
            <w:r w:rsidRPr="005B749A">
              <w:rPr>
                <w:sz w:val="20"/>
                <w:szCs w:val="20"/>
              </w:rPr>
              <w:t xml:space="preserve">SQL para restringir el conjunto de filas seleccionadas de la tabla donde se almacena el plan. Cuando </w:t>
            </w:r>
            <w:r>
              <w:rPr>
                <w:sz w:val="20"/>
                <w:szCs w:val="20"/>
              </w:rPr>
              <w:t>el valor</w:t>
            </w:r>
            <w:r w:rsidRPr="005B749A">
              <w:rPr>
                <w:sz w:val="20"/>
                <w:szCs w:val="20"/>
              </w:rPr>
              <w:t xml:space="preserve"> es NULL (valor predeterminado), el plan que se muestra corresponde al último plan de explicación ejecutado</w:t>
            </w:r>
          </w:p>
        </w:tc>
      </w:tr>
      <w:tr w:rsidR="00100819" w:rsidTr="00100819">
        <w:tc>
          <w:tcPr>
            <w:tcW w:w="4414" w:type="dxa"/>
          </w:tcPr>
          <w:p w:rsidR="00B776ED" w:rsidRDefault="00B776ED" w:rsidP="00B776ED">
            <w:r>
              <w:t>format</w:t>
            </w:r>
          </w:p>
          <w:p w:rsidR="00100819" w:rsidRDefault="00B776ED" w:rsidP="00B776ED">
            <w:pPr>
              <w:rPr>
                <w:sz w:val="20"/>
                <w:szCs w:val="20"/>
              </w:rPr>
            </w:pPr>
            <w:r>
              <w:rPr>
                <w:sz w:val="20"/>
                <w:szCs w:val="20"/>
              </w:rPr>
              <w:t xml:space="preserve"> </w:t>
            </w:r>
          </w:p>
        </w:tc>
        <w:tc>
          <w:tcPr>
            <w:tcW w:w="4414" w:type="dxa"/>
          </w:tcPr>
          <w:p w:rsidR="00100819" w:rsidRDefault="00793874" w:rsidP="00222014">
            <w:pPr>
              <w:rPr>
                <w:sz w:val="20"/>
                <w:szCs w:val="20"/>
              </w:rPr>
            </w:pPr>
            <w:r w:rsidRPr="00793874">
              <w:rPr>
                <w:sz w:val="20"/>
                <w:szCs w:val="20"/>
              </w:rPr>
              <w:t>Controla el nivel de detalles para el plan. Acepta cinco valores:</w:t>
            </w:r>
          </w:p>
          <w:p w:rsidR="00793874" w:rsidRDefault="00793874" w:rsidP="00222014">
            <w:pPr>
              <w:rPr>
                <w:sz w:val="20"/>
                <w:szCs w:val="20"/>
              </w:rPr>
            </w:pPr>
          </w:p>
          <w:p w:rsidR="00793874" w:rsidRDefault="00793874" w:rsidP="00222014">
            <w:pPr>
              <w:rPr>
                <w:sz w:val="20"/>
                <w:szCs w:val="20"/>
              </w:rPr>
            </w:pPr>
            <w:r>
              <w:rPr>
                <w:sz w:val="20"/>
                <w:szCs w:val="20"/>
              </w:rPr>
              <w:t>BASIC:</w:t>
            </w:r>
            <w:r>
              <w:t xml:space="preserve"> </w:t>
            </w:r>
            <w:r w:rsidRPr="00793874">
              <w:rPr>
                <w:sz w:val="20"/>
                <w:szCs w:val="20"/>
              </w:rPr>
              <w:t xml:space="preserve">Muestra la información mínima en el plan: </w:t>
            </w:r>
            <w:r>
              <w:rPr>
                <w:sz w:val="20"/>
                <w:szCs w:val="20"/>
              </w:rPr>
              <w:t>EL id</w:t>
            </w:r>
            <w:r w:rsidRPr="00793874">
              <w:rPr>
                <w:sz w:val="20"/>
                <w:szCs w:val="20"/>
              </w:rPr>
              <w:t xml:space="preserve"> de la operación, el nombre de la operación y su opción.</w:t>
            </w:r>
          </w:p>
          <w:p w:rsidR="00D20B7E" w:rsidRDefault="00D20B7E" w:rsidP="00222014">
            <w:pPr>
              <w:rPr>
                <w:sz w:val="20"/>
                <w:szCs w:val="20"/>
              </w:rPr>
            </w:pPr>
            <w:r>
              <w:rPr>
                <w:sz w:val="20"/>
                <w:szCs w:val="20"/>
              </w:rPr>
              <w:t>TYPICAL:</w:t>
            </w:r>
            <w:r w:rsidR="001568AE">
              <w:t xml:space="preserve"> </w:t>
            </w:r>
            <w:r w:rsidR="001568AE" w:rsidRPr="001568AE">
              <w:rPr>
                <w:sz w:val="20"/>
                <w:szCs w:val="20"/>
              </w:rPr>
              <w:t>Este es el predeterminado. Muestra la información más relevante en el plan (id de operación, nombre y opción, # filas, # bytes y costo del optimizador). La información de poda, paralelo y predicado solo se muestra cuando corresponde. Excluye únicamente la información PROYECCIÓN, ALIAS y REMOTO SQL (ver a continuación).</w:t>
            </w:r>
          </w:p>
          <w:p w:rsidR="001568AE" w:rsidRDefault="001568AE" w:rsidP="00222014">
            <w:pPr>
              <w:rPr>
                <w:sz w:val="20"/>
                <w:szCs w:val="20"/>
              </w:rPr>
            </w:pPr>
            <w:r w:rsidRPr="001568AE">
              <w:rPr>
                <w:sz w:val="20"/>
                <w:szCs w:val="20"/>
              </w:rPr>
              <w:t>SERIAL: como TYPICAL, excepto que la información paralela no se muestra, incluso si el plan se ejecuta en paralelo.</w:t>
            </w:r>
          </w:p>
          <w:p w:rsidR="001568AE" w:rsidRDefault="001568AE" w:rsidP="00222014">
            <w:pPr>
              <w:rPr>
                <w:sz w:val="20"/>
                <w:szCs w:val="20"/>
              </w:rPr>
            </w:pPr>
            <w:r>
              <w:rPr>
                <w:sz w:val="20"/>
                <w:szCs w:val="20"/>
              </w:rPr>
              <w:t>ALL:</w:t>
            </w:r>
            <w:r>
              <w:t xml:space="preserve"> </w:t>
            </w:r>
            <w:r w:rsidRPr="001568AE">
              <w:rPr>
                <w:sz w:val="20"/>
                <w:szCs w:val="20"/>
              </w:rPr>
              <w:t>nivel de usuario máximo. Incluye información mostrada con el nivel TÍPICO con información adicional (PROYECCIÓN, ALIAS e información acerca de REMOTE SQL si la operación se distribuye).</w:t>
            </w:r>
          </w:p>
          <w:p w:rsidR="001568AE" w:rsidRDefault="001568AE" w:rsidP="00222014">
            <w:pPr>
              <w:rPr>
                <w:sz w:val="20"/>
                <w:szCs w:val="20"/>
              </w:rPr>
            </w:pPr>
          </w:p>
          <w:p w:rsidR="001568AE" w:rsidRDefault="001568AE" w:rsidP="00222014">
            <w:pPr>
              <w:rPr>
                <w:sz w:val="20"/>
                <w:szCs w:val="20"/>
              </w:rPr>
            </w:pPr>
            <w:r w:rsidRPr="001568AE">
              <w:rPr>
                <w:sz w:val="20"/>
                <w:szCs w:val="20"/>
              </w:rPr>
              <w:t>ADAPT</w:t>
            </w:r>
            <w:r>
              <w:rPr>
                <w:sz w:val="20"/>
                <w:szCs w:val="20"/>
              </w:rPr>
              <w:t>IVE</w:t>
            </w:r>
            <w:r w:rsidRPr="001568AE">
              <w:rPr>
                <w:sz w:val="20"/>
                <w:szCs w:val="20"/>
              </w:rPr>
              <w:t>: muestra el plan predeterminado y para cada subplan dinámico (si está estipulado)</w:t>
            </w:r>
          </w:p>
        </w:tc>
      </w:tr>
      <w:tr w:rsidR="001568AE" w:rsidTr="00100819">
        <w:tc>
          <w:tcPr>
            <w:tcW w:w="4414" w:type="dxa"/>
          </w:tcPr>
          <w:p w:rsidR="001568AE" w:rsidRDefault="001568AE" w:rsidP="001568AE">
            <w:r>
              <w:t>type</w:t>
            </w:r>
          </w:p>
          <w:p w:rsidR="001568AE" w:rsidRDefault="001568AE" w:rsidP="00B776ED"/>
        </w:tc>
        <w:tc>
          <w:tcPr>
            <w:tcW w:w="4414" w:type="dxa"/>
          </w:tcPr>
          <w:p w:rsidR="001568AE" w:rsidRPr="00793874" w:rsidRDefault="001568AE" w:rsidP="00222014">
            <w:pPr>
              <w:rPr>
                <w:sz w:val="20"/>
                <w:szCs w:val="20"/>
              </w:rPr>
            </w:pPr>
            <w:r w:rsidRPr="001568AE">
              <w:rPr>
                <w:sz w:val="20"/>
                <w:szCs w:val="20"/>
              </w:rPr>
              <w:t>Si la tabla del plan de destino también almacena columnas de estadísticas del plan (por ejemplo, es una tabla utilizada para capturar el contenido de la vista fija V $ SQL_PLAN_STATISTICS_ALL), se pueden usar palabras clave de formato adicionales para especificar qué clase de estadísticas mostrar cuando se usa el DISPLAY Función</w:t>
            </w:r>
          </w:p>
        </w:tc>
      </w:tr>
    </w:tbl>
    <w:p w:rsidR="00100819" w:rsidRDefault="00100819" w:rsidP="00222014">
      <w:pPr>
        <w:rPr>
          <w:sz w:val="20"/>
          <w:szCs w:val="20"/>
        </w:rPr>
      </w:pPr>
    </w:p>
    <w:p w:rsidR="00100819" w:rsidRDefault="00100819" w:rsidP="00222014">
      <w:pPr>
        <w:rPr>
          <w:sz w:val="20"/>
          <w:szCs w:val="20"/>
        </w:rPr>
      </w:pPr>
    </w:p>
    <w:p w:rsidR="00D054F2" w:rsidRDefault="00D054F2" w:rsidP="00D054F2">
      <w:pPr>
        <w:rPr>
          <w:sz w:val="20"/>
          <w:szCs w:val="20"/>
        </w:rPr>
      </w:pPr>
    </w:p>
    <w:p w:rsidR="00D054F2" w:rsidRPr="0082097A" w:rsidRDefault="00D054F2" w:rsidP="0082097A">
      <w:r>
        <w:t>(Kannan,2016,p.</w:t>
      </w:r>
      <w:r w:rsidRPr="00AD462C">
        <w:rPr>
          <w:sz w:val="21"/>
          <w:szCs w:val="21"/>
        </w:rPr>
        <w:t xml:space="preserve"> </w:t>
      </w:r>
      <w:r w:rsidR="0082097A">
        <w:t>202-21</w:t>
      </w:r>
      <w:r w:rsidR="001568AE">
        <w:t xml:space="preserve"> – 202-3</w:t>
      </w:r>
      <w:r>
        <w:rPr>
          <w:sz w:val="21"/>
          <w:szCs w:val="21"/>
        </w:rPr>
        <w:t>)</w:t>
      </w:r>
      <w:r w:rsidRPr="00AD462C">
        <w:rPr>
          <w:sz w:val="21"/>
          <w:szCs w:val="21"/>
        </w:rPr>
        <w:t xml:space="preserve"> </w:t>
      </w:r>
    </w:p>
    <w:p w:rsidR="008B76AB" w:rsidRDefault="008B76AB" w:rsidP="00222014">
      <w:pPr>
        <w:rPr>
          <w:sz w:val="20"/>
          <w:szCs w:val="20"/>
        </w:rPr>
      </w:pPr>
    </w:p>
    <w:p w:rsidR="008B76AB" w:rsidRDefault="008B76AB" w:rsidP="00222014">
      <w:pPr>
        <w:rPr>
          <w:sz w:val="20"/>
          <w:szCs w:val="20"/>
        </w:rPr>
      </w:pPr>
    </w:p>
    <w:p w:rsidR="008B76AB" w:rsidRDefault="008B76AB" w:rsidP="00222014">
      <w:pPr>
        <w:rPr>
          <w:sz w:val="20"/>
          <w:szCs w:val="20"/>
        </w:rPr>
      </w:pPr>
    </w:p>
    <w:p w:rsidR="001568AE" w:rsidRDefault="001568AE" w:rsidP="00222014">
      <w:pPr>
        <w:rPr>
          <w:sz w:val="20"/>
          <w:szCs w:val="20"/>
        </w:rPr>
      </w:pPr>
    </w:p>
    <w:p w:rsidR="001568AE" w:rsidRDefault="001568AE" w:rsidP="00222014">
      <w:pPr>
        <w:rPr>
          <w:sz w:val="20"/>
          <w:szCs w:val="20"/>
        </w:rPr>
      </w:pPr>
    </w:p>
    <w:p w:rsidR="001568AE" w:rsidRDefault="001568AE" w:rsidP="00222014">
      <w:pPr>
        <w:rPr>
          <w:sz w:val="20"/>
          <w:szCs w:val="20"/>
        </w:rPr>
      </w:pPr>
    </w:p>
    <w:p w:rsidR="008B76AB" w:rsidRDefault="008B76AB" w:rsidP="00222014">
      <w:pPr>
        <w:rPr>
          <w:sz w:val="20"/>
          <w:szCs w:val="20"/>
        </w:rPr>
      </w:pPr>
    </w:p>
    <w:p w:rsidR="008B76AB" w:rsidRDefault="008B76AB" w:rsidP="00222014">
      <w:pPr>
        <w:rPr>
          <w:sz w:val="20"/>
          <w:szCs w:val="20"/>
        </w:rPr>
      </w:pPr>
    </w:p>
    <w:p w:rsidR="00100819" w:rsidRDefault="00746B2D" w:rsidP="00222014">
      <w:pPr>
        <w:rPr>
          <w:sz w:val="20"/>
          <w:szCs w:val="20"/>
        </w:rPr>
      </w:pPr>
      <w:r>
        <w:rPr>
          <w:sz w:val="20"/>
          <w:szCs w:val="20"/>
        </w:rPr>
        <w:lastRenderedPageBreak/>
        <w:t>1.5</w:t>
      </w:r>
    </w:p>
    <w:tbl>
      <w:tblPr>
        <w:tblStyle w:val="Tablaconcuadrcula"/>
        <w:tblW w:w="0" w:type="auto"/>
        <w:tblLook w:val="04A0" w:firstRow="1" w:lastRow="0" w:firstColumn="1" w:lastColumn="0" w:noHBand="0" w:noVBand="1"/>
      </w:tblPr>
      <w:tblGrid>
        <w:gridCol w:w="4414"/>
        <w:gridCol w:w="4414"/>
      </w:tblGrid>
      <w:tr w:rsidR="00911668" w:rsidTr="00911668">
        <w:tc>
          <w:tcPr>
            <w:tcW w:w="4414" w:type="dxa"/>
          </w:tcPr>
          <w:p w:rsidR="00911668" w:rsidRDefault="00911668" w:rsidP="00222014">
            <w:pPr>
              <w:rPr>
                <w:sz w:val="20"/>
                <w:szCs w:val="20"/>
              </w:rPr>
            </w:pPr>
            <w:r>
              <w:rPr>
                <w:sz w:val="20"/>
                <w:szCs w:val="20"/>
              </w:rPr>
              <w:t>Parametros</w:t>
            </w:r>
          </w:p>
        </w:tc>
        <w:tc>
          <w:tcPr>
            <w:tcW w:w="4414" w:type="dxa"/>
          </w:tcPr>
          <w:p w:rsidR="00911668" w:rsidRDefault="00911668" w:rsidP="00222014">
            <w:pPr>
              <w:rPr>
                <w:sz w:val="20"/>
                <w:szCs w:val="20"/>
              </w:rPr>
            </w:pPr>
            <w:r>
              <w:rPr>
                <w:sz w:val="20"/>
                <w:szCs w:val="20"/>
              </w:rPr>
              <w:t>Descripcion</w:t>
            </w:r>
          </w:p>
        </w:tc>
      </w:tr>
      <w:tr w:rsidR="00911668" w:rsidTr="00911668">
        <w:tc>
          <w:tcPr>
            <w:tcW w:w="4414" w:type="dxa"/>
          </w:tcPr>
          <w:p w:rsidR="00911668" w:rsidRDefault="00911668" w:rsidP="00222014">
            <w:pPr>
              <w:rPr>
                <w:sz w:val="20"/>
                <w:szCs w:val="20"/>
              </w:rPr>
            </w:pPr>
            <w:r>
              <w:rPr>
                <w:sz w:val="20"/>
                <w:szCs w:val="20"/>
              </w:rPr>
              <w:t>Sql_id</w:t>
            </w:r>
          </w:p>
        </w:tc>
        <w:tc>
          <w:tcPr>
            <w:tcW w:w="4414" w:type="dxa"/>
          </w:tcPr>
          <w:p w:rsidR="00911668" w:rsidRPr="00911668" w:rsidRDefault="00911668" w:rsidP="00911668">
            <w:pPr>
              <w:rPr>
                <w:sz w:val="20"/>
                <w:szCs w:val="20"/>
              </w:rPr>
            </w:pPr>
            <w:r w:rsidRPr="00911668">
              <w:rPr>
                <w:sz w:val="20"/>
                <w:szCs w:val="20"/>
              </w:rPr>
              <w:t xml:space="preserve">Especifica el SQL_ID de la </w:t>
            </w:r>
            <w:r>
              <w:rPr>
                <w:sz w:val="20"/>
                <w:szCs w:val="20"/>
              </w:rPr>
              <w:t>sentencia</w:t>
            </w:r>
            <w:r w:rsidRPr="00911668">
              <w:rPr>
                <w:sz w:val="20"/>
                <w:szCs w:val="20"/>
              </w:rPr>
              <w:t xml:space="preserve"> de SQL. Puedes recuperar el</w:t>
            </w:r>
          </w:p>
          <w:p w:rsidR="00911668" w:rsidRPr="00911668" w:rsidRDefault="00911668" w:rsidP="00911668">
            <w:pPr>
              <w:rPr>
                <w:sz w:val="20"/>
                <w:szCs w:val="20"/>
              </w:rPr>
            </w:pPr>
            <w:r w:rsidRPr="00911668">
              <w:rPr>
                <w:sz w:val="20"/>
                <w:szCs w:val="20"/>
              </w:rPr>
              <w:t xml:space="preserve">valor apropiado para la </w:t>
            </w:r>
            <w:r w:rsidR="007A622E">
              <w:rPr>
                <w:sz w:val="20"/>
                <w:szCs w:val="20"/>
              </w:rPr>
              <w:t>sentencia</w:t>
            </w:r>
            <w:r w:rsidRPr="00911668">
              <w:rPr>
                <w:sz w:val="20"/>
                <w:szCs w:val="20"/>
              </w:rPr>
              <w:t xml:space="preserve"> de interés SQL consultando </w:t>
            </w:r>
            <w:r w:rsidR="007A622E">
              <w:rPr>
                <w:sz w:val="20"/>
                <w:szCs w:val="20"/>
              </w:rPr>
              <w:t>la</w:t>
            </w:r>
          </w:p>
          <w:p w:rsidR="00911668" w:rsidRDefault="007A622E" w:rsidP="00911668">
            <w:pPr>
              <w:rPr>
                <w:sz w:val="20"/>
                <w:szCs w:val="20"/>
              </w:rPr>
            </w:pPr>
            <w:r>
              <w:rPr>
                <w:sz w:val="20"/>
                <w:szCs w:val="20"/>
              </w:rPr>
              <w:t>columna SQL_ID en DBA_HIST_</w:t>
            </w:r>
            <w:r w:rsidR="00911668" w:rsidRPr="00911668">
              <w:rPr>
                <w:sz w:val="20"/>
                <w:szCs w:val="20"/>
              </w:rPr>
              <w:t>SQLTEXT.</w:t>
            </w:r>
          </w:p>
        </w:tc>
      </w:tr>
      <w:tr w:rsidR="00911668" w:rsidTr="00911668">
        <w:tc>
          <w:tcPr>
            <w:tcW w:w="4414" w:type="dxa"/>
          </w:tcPr>
          <w:p w:rsidR="00EA5591" w:rsidRDefault="00EA5591" w:rsidP="00EA5591">
            <w:r>
              <w:t>plan_hash_value</w:t>
            </w:r>
          </w:p>
          <w:p w:rsidR="00911668" w:rsidRDefault="00911668" w:rsidP="00222014">
            <w:pPr>
              <w:rPr>
                <w:sz w:val="20"/>
                <w:szCs w:val="20"/>
              </w:rPr>
            </w:pPr>
          </w:p>
        </w:tc>
        <w:tc>
          <w:tcPr>
            <w:tcW w:w="4414" w:type="dxa"/>
          </w:tcPr>
          <w:p w:rsidR="00EA5591" w:rsidRPr="00EA5591" w:rsidRDefault="00EA5591" w:rsidP="00EA5591">
            <w:pPr>
              <w:rPr>
                <w:sz w:val="20"/>
                <w:szCs w:val="20"/>
              </w:rPr>
            </w:pPr>
            <w:r w:rsidRPr="00EA5591">
              <w:rPr>
                <w:sz w:val="20"/>
                <w:szCs w:val="20"/>
              </w:rPr>
              <w:t xml:space="preserve">Especifica PLAN_HASH_VALUE de una </w:t>
            </w:r>
            <w:r>
              <w:rPr>
                <w:sz w:val="20"/>
                <w:szCs w:val="20"/>
              </w:rPr>
              <w:t xml:space="preserve">sentencia </w:t>
            </w:r>
            <w:r w:rsidRPr="00EA5591">
              <w:rPr>
                <w:sz w:val="20"/>
                <w:szCs w:val="20"/>
              </w:rPr>
              <w:t xml:space="preserve"> SQL. Este parámetro</w:t>
            </w:r>
          </w:p>
          <w:p w:rsidR="00EA5591" w:rsidRPr="00EA5591" w:rsidRDefault="00EA5591" w:rsidP="00EA5591">
            <w:pPr>
              <w:rPr>
                <w:sz w:val="20"/>
                <w:szCs w:val="20"/>
              </w:rPr>
            </w:pPr>
            <w:r w:rsidRPr="00EA5591">
              <w:rPr>
                <w:sz w:val="20"/>
                <w:szCs w:val="20"/>
              </w:rPr>
              <w:t>es opcional. Si se omite, la función de tabla devuelve todo</w:t>
            </w:r>
            <w:r w:rsidR="00C32AD2">
              <w:rPr>
                <w:sz w:val="20"/>
                <w:szCs w:val="20"/>
              </w:rPr>
              <w:t xml:space="preserve"> los</w:t>
            </w:r>
          </w:p>
          <w:p w:rsidR="00911668" w:rsidRDefault="00EA5591" w:rsidP="00EA5591">
            <w:pPr>
              <w:rPr>
                <w:sz w:val="20"/>
                <w:szCs w:val="20"/>
              </w:rPr>
            </w:pPr>
            <w:r w:rsidRPr="00EA5591">
              <w:rPr>
                <w:sz w:val="20"/>
                <w:szCs w:val="20"/>
              </w:rPr>
              <w:t xml:space="preserve">planes de ejecución </w:t>
            </w:r>
            <w:r w:rsidR="00C32AD2">
              <w:rPr>
                <w:sz w:val="20"/>
                <w:szCs w:val="20"/>
              </w:rPr>
              <w:t xml:space="preserve">almacenados </w:t>
            </w:r>
            <w:r w:rsidRPr="00EA5591">
              <w:rPr>
                <w:sz w:val="20"/>
                <w:szCs w:val="20"/>
              </w:rPr>
              <w:t xml:space="preserve">para </w:t>
            </w:r>
            <w:r w:rsidR="00C32AD2">
              <w:rPr>
                <w:sz w:val="20"/>
                <w:szCs w:val="20"/>
              </w:rPr>
              <w:t>el</w:t>
            </w:r>
            <w:r w:rsidRPr="00EA5591">
              <w:rPr>
                <w:sz w:val="20"/>
                <w:szCs w:val="20"/>
              </w:rPr>
              <w:t xml:space="preserve"> SQL_ID dado</w:t>
            </w:r>
          </w:p>
        </w:tc>
      </w:tr>
      <w:tr w:rsidR="00911668" w:rsidTr="00911668">
        <w:tc>
          <w:tcPr>
            <w:tcW w:w="4414" w:type="dxa"/>
          </w:tcPr>
          <w:p w:rsidR="009B1DF6" w:rsidRDefault="009B1DF6" w:rsidP="009B1DF6">
            <w:r>
              <w:t>db_id</w:t>
            </w:r>
          </w:p>
          <w:p w:rsidR="00911668" w:rsidRDefault="00911668" w:rsidP="00222014">
            <w:pPr>
              <w:rPr>
                <w:sz w:val="20"/>
                <w:szCs w:val="20"/>
              </w:rPr>
            </w:pPr>
          </w:p>
        </w:tc>
        <w:tc>
          <w:tcPr>
            <w:tcW w:w="4414" w:type="dxa"/>
          </w:tcPr>
          <w:p w:rsidR="00911668" w:rsidRDefault="007A4E24" w:rsidP="009B1DF6">
            <w:pPr>
              <w:rPr>
                <w:sz w:val="20"/>
                <w:szCs w:val="20"/>
              </w:rPr>
            </w:pPr>
            <w:r w:rsidRPr="007A4E24">
              <w:rPr>
                <w:sz w:val="20"/>
                <w:szCs w:val="20"/>
              </w:rPr>
              <w:t xml:space="preserve">Especifica el id_base_datos para el que debe mostrarse el plan de la instrucción SQL, identificado por </w:t>
            </w:r>
            <w:r>
              <w:rPr>
                <w:sz w:val="20"/>
                <w:szCs w:val="20"/>
              </w:rPr>
              <w:t xml:space="preserve">el </w:t>
            </w:r>
            <w:r w:rsidRPr="007A4E24">
              <w:rPr>
                <w:sz w:val="20"/>
                <w:szCs w:val="20"/>
              </w:rPr>
              <w:t>SQL_ID. Si no se proporciona, se utiliza el database_id de la base de datos local, como se muestra en V $ DATABASE</w:t>
            </w:r>
          </w:p>
        </w:tc>
      </w:tr>
      <w:tr w:rsidR="00911668" w:rsidTr="00911668">
        <w:tc>
          <w:tcPr>
            <w:tcW w:w="4414" w:type="dxa"/>
          </w:tcPr>
          <w:p w:rsidR="00911668" w:rsidRDefault="008A3616" w:rsidP="00222014">
            <w:pPr>
              <w:rPr>
                <w:sz w:val="20"/>
                <w:szCs w:val="20"/>
              </w:rPr>
            </w:pPr>
            <w:r>
              <w:rPr>
                <w:sz w:val="20"/>
                <w:szCs w:val="20"/>
              </w:rPr>
              <w:t>Format</w:t>
            </w:r>
          </w:p>
        </w:tc>
        <w:tc>
          <w:tcPr>
            <w:tcW w:w="4414" w:type="dxa"/>
          </w:tcPr>
          <w:p w:rsidR="00911668" w:rsidRDefault="008A3616" w:rsidP="00222014">
            <w:pPr>
              <w:rPr>
                <w:sz w:val="20"/>
                <w:szCs w:val="20"/>
              </w:rPr>
            </w:pPr>
            <w:r w:rsidRPr="008A3616">
              <w:rPr>
                <w:sz w:val="20"/>
                <w:szCs w:val="20"/>
              </w:rPr>
              <w:t>Controla el nivel de detalles para el plan. Acepta cuatro valores:</w:t>
            </w:r>
          </w:p>
          <w:p w:rsidR="001418CD" w:rsidRPr="001418CD" w:rsidRDefault="001418CD" w:rsidP="00EA1FA5">
            <w:pPr>
              <w:rPr>
                <w:sz w:val="20"/>
                <w:szCs w:val="20"/>
              </w:rPr>
            </w:pPr>
            <w:r w:rsidRPr="001418CD">
              <w:rPr>
                <w:rFonts w:hint="eastAsia"/>
                <w:sz w:val="20"/>
                <w:szCs w:val="20"/>
              </w:rPr>
              <w:t xml:space="preserve">■ </w:t>
            </w:r>
            <w:r>
              <w:rPr>
                <w:sz w:val="20"/>
                <w:szCs w:val="20"/>
              </w:rPr>
              <w:t>ROWS</w:t>
            </w:r>
            <w:r w:rsidRPr="001418CD">
              <w:rPr>
                <w:rFonts w:hint="eastAsia"/>
                <w:sz w:val="20"/>
                <w:szCs w:val="20"/>
              </w:rPr>
              <w:t xml:space="preserve"> - si corresponde, muestra la cantidad de filas estimadas por</w:t>
            </w:r>
            <w:r w:rsidR="00EA1FA5">
              <w:rPr>
                <w:sz w:val="20"/>
                <w:szCs w:val="20"/>
              </w:rPr>
              <w:t xml:space="preserve"> el </w:t>
            </w:r>
            <w:r w:rsidRPr="001418CD">
              <w:rPr>
                <w:sz w:val="20"/>
                <w:szCs w:val="20"/>
              </w:rPr>
              <w:t>optimizador</w:t>
            </w:r>
          </w:p>
          <w:p w:rsidR="001418CD" w:rsidRPr="001418CD" w:rsidRDefault="001418CD" w:rsidP="00EA1FA5">
            <w:pPr>
              <w:rPr>
                <w:sz w:val="20"/>
                <w:szCs w:val="20"/>
              </w:rPr>
            </w:pPr>
            <w:r w:rsidRPr="001418CD">
              <w:rPr>
                <w:rFonts w:hint="eastAsia"/>
                <w:sz w:val="20"/>
                <w:szCs w:val="20"/>
              </w:rPr>
              <w:t>■ BYTES: si corresponde, muestra el número de bytes estimados por el</w:t>
            </w:r>
            <w:r w:rsidR="00EA1FA5">
              <w:rPr>
                <w:sz w:val="20"/>
                <w:szCs w:val="20"/>
              </w:rPr>
              <w:t xml:space="preserve"> </w:t>
            </w:r>
            <w:r w:rsidRPr="001418CD">
              <w:rPr>
                <w:sz w:val="20"/>
                <w:szCs w:val="20"/>
              </w:rPr>
              <w:t>optimizador</w:t>
            </w:r>
          </w:p>
          <w:p w:rsidR="001418CD" w:rsidRPr="001418CD" w:rsidRDefault="00EA1FA5" w:rsidP="001418CD">
            <w:pPr>
              <w:rPr>
                <w:sz w:val="20"/>
                <w:szCs w:val="20"/>
              </w:rPr>
            </w:pPr>
            <w:r>
              <w:rPr>
                <w:rFonts w:hint="eastAsia"/>
                <w:sz w:val="20"/>
                <w:szCs w:val="20"/>
              </w:rPr>
              <w:t>■ COST</w:t>
            </w:r>
            <w:r w:rsidR="001418CD" w:rsidRPr="001418CD">
              <w:rPr>
                <w:rFonts w:hint="eastAsia"/>
                <w:sz w:val="20"/>
                <w:szCs w:val="20"/>
              </w:rPr>
              <w:t>: si es relevante, muestra información sobre el costo del optimizador</w:t>
            </w:r>
          </w:p>
          <w:p w:rsidR="001418CD" w:rsidRPr="001418CD" w:rsidRDefault="00EA1FA5" w:rsidP="001418CD">
            <w:pPr>
              <w:rPr>
                <w:sz w:val="20"/>
                <w:szCs w:val="20"/>
              </w:rPr>
            </w:pPr>
            <w:r>
              <w:rPr>
                <w:rFonts w:hint="eastAsia"/>
                <w:sz w:val="20"/>
                <w:szCs w:val="20"/>
              </w:rPr>
              <w:t>■ PARTI</w:t>
            </w:r>
            <w:r>
              <w:rPr>
                <w:sz w:val="20"/>
                <w:szCs w:val="20"/>
              </w:rPr>
              <w:t>TIO</w:t>
            </w:r>
            <w:r>
              <w:rPr>
                <w:rFonts w:hint="eastAsia"/>
                <w:sz w:val="20"/>
                <w:szCs w:val="20"/>
              </w:rPr>
              <w:t>N: si es relevante, muestra</w:t>
            </w:r>
            <w:r>
              <w:rPr>
                <w:sz w:val="20"/>
                <w:szCs w:val="20"/>
              </w:rPr>
              <w:t xml:space="preserve"> </w:t>
            </w:r>
            <w:r w:rsidR="001418CD" w:rsidRPr="001418CD">
              <w:rPr>
                <w:rFonts w:hint="eastAsia"/>
                <w:sz w:val="20"/>
                <w:szCs w:val="20"/>
              </w:rPr>
              <w:t>información de poda de la partición</w:t>
            </w:r>
          </w:p>
          <w:p w:rsidR="001418CD" w:rsidRPr="001418CD" w:rsidRDefault="001418CD" w:rsidP="001418CD">
            <w:pPr>
              <w:rPr>
                <w:sz w:val="20"/>
                <w:szCs w:val="20"/>
              </w:rPr>
            </w:pPr>
            <w:r w:rsidRPr="001418CD">
              <w:rPr>
                <w:rFonts w:hint="eastAsia"/>
                <w:sz w:val="20"/>
                <w:szCs w:val="20"/>
              </w:rPr>
              <w:t xml:space="preserve">■ </w:t>
            </w:r>
            <w:r w:rsidR="00EA1FA5">
              <w:rPr>
                <w:sz w:val="20"/>
                <w:szCs w:val="20"/>
              </w:rPr>
              <w:t>PARALLEL</w:t>
            </w:r>
            <w:r w:rsidRPr="001418CD">
              <w:rPr>
                <w:rFonts w:hint="eastAsia"/>
                <w:sz w:val="20"/>
                <w:szCs w:val="20"/>
              </w:rPr>
              <w:t xml:space="preserve"> - si es relevante, muestra información de</w:t>
            </w:r>
            <w:r w:rsidR="00F93A8C">
              <w:rPr>
                <w:sz w:val="20"/>
                <w:szCs w:val="20"/>
              </w:rPr>
              <w:t>l</w:t>
            </w:r>
            <w:r w:rsidRPr="001418CD">
              <w:rPr>
                <w:rFonts w:hint="eastAsia"/>
                <w:sz w:val="20"/>
                <w:szCs w:val="20"/>
              </w:rPr>
              <w:t xml:space="preserve"> PX (distribución</w:t>
            </w:r>
          </w:p>
          <w:p w:rsidR="001418CD" w:rsidRPr="001418CD" w:rsidRDefault="001418CD" w:rsidP="001418CD">
            <w:pPr>
              <w:rPr>
                <w:sz w:val="20"/>
                <w:szCs w:val="20"/>
              </w:rPr>
            </w:pPr>
            <w:r w:rsidRPr="001418CD">
              <w:rPr>
                <w:sz w:val="20"/>
                <w:szCs w:val="20"/>
              </w:rPr>
              <w:t>método e información de cola de tabla)</w:t>
            </w:r>
          </w:p>
          <w:p w:rsidR="001418CD" w:rsidRPr="001418CD" w:rsidRDefault="001418CD" w:rsidP="001418CD">
            <w:pPr>
              <w:rPr>
                <w:sz w:val="20"/>
                <w:szCs w:val="20"/>
              </w:rPr>
            </w:pPr>
            <w:r w:rsidRPr="001418CD">
              <w:rPr>
                <w:rFonts w:hint="eastAsia"/>
                <w:sz w:val="20"/>
                <w:szCs w:val="20"/>
              </w:rPr>
              <w:t xml:space="preserve">■ PREDICATE: si es relevante, muestra la sección </w:t>
            </w:r>
            <w:r w:rsidR="00F93A8C">
              <w:rPr>
                <w:sz w:val="20"/>
                <w:szCs w:val="20"/>
              </w:rPr>
              <w:t xml:space="preserve">del </w:t>
            </w:r>
            <w:r w:rsidRPr="001418CD">
              <w:rPr>
                <w:rFonts w:hint="eastAsia"/>
                <w:sz w:val="20"/>
                <w:szCs w:val="20"/>
              </w:rPr>
              <w:t>predicado</w:t>
            </w:r>
          </w:p>
          <w:p w:rsidR="001418CD" w:rsidRPr="001418CD" w:rsidRDefault="001418CD" w:rsidP="001418CD">
            <w:pPr>
              <w:rPr>
                <w:sz w:val="20"/>
                <w:szCs w:val="20"/>
              </w:rPr>
            </w:pPr>
            <w:r w:rsidRPr="001418CD">
              <w:rPr>
                <w:rFonts w:hint="eastAsia"/>
                <w:sz w:val="20"/>
                <w:szCs w:val="20"/>
              </w:rPr>
              <w:t xml:space="preserve">■ </w:t>
            </w:r>
            <w:r w:rsidR="00EA1FA5">
              <w:rPr>
                <w:sz w:val="20"/>
                <w:szCs w:val="20"/>
              </w:rPr>
              <w:t>PROJECTION</w:t>
            </w:r>
            <w:r w:rsidRPr="001418CD">
              <w:rPr>
                <w:rFonts w:hint="eastAsia"/>
                <w:sz w:val="20"/>
                <w:szCs w:val="20"/>
              </w:rPr>
              <w:t>: si es relevante, muestra la sección de proyección</w:t>
            </w:r>
          </w:p>
          <w:p w:rsidR="001418CD" w:rsidRPr="001418CD" w:rsidRDefault="001418CD" w:rsidP="00F93A8C">
            <w:pPr>
              <w:rPr>
                <w:sz w:val="20"/>
                <w:szCs w:val="20"/>
              </w:rPr>
            </w:pPr>
            <w:r w:rsidRPr="001418CD">
              <w:rPr>
                <w:rFonts w:hint="eastAsia"/>
                <w:sz w:val="20"/>
                <w:szCs w:val="20"/>
              </w:rPr>
              <w:t>■ A</w:t>
            </w:r>
            <w:r w:rsidR="00F93A8C">
              <w:rPr>
                <w:rFonts w:hint="eastAsia"/>
                <w:sz w:val="20"/>
                <w:szCs w:val="20"/>
              </w:rPr>
              <w:t xml:space="preserve">LIAS: si es relevante, muestra </w:t>
            </w:r>
            <w:r w:rsidRPr="001418CD">
              <w:rPr>
                <w:rFonts w:hint="eastAsia"/>
                <w:sz w:val="20"/>
                <w:szCs w:val="20"/>
              </w:rPr>
              <w:t>l</w:t>
            </w:r>
            <w:r w:rsidR="00F93A8C">
              <w:rPr>
                <w:sz w:val="20"/>
                <w:szCs w:val="20"/>
              </w:rPr>
              <w:t xml:space="preserve">a seccion </w:t>
            </w:r>
            <w:r w:rsidRPr="001418CD">
              <w:rPr>
                <w:rFonts w:hint="eastAsia"/>
                <w:sz w:val="20"/>
                <w:szCs w:val="20"/>
              </w:rPr>
              <w:t xml:space="preserve"> </w:t>
            </w:r>
            <w:r w:rsidR="00F93A8C" w:rsidRPr="00F93A8C">
              <w:rPr>
                <w:sz w:val="20"/>
                <w:szCs w:val="20"/>
              </w:rPr>
              <w:t>"Query Block Name / Object</w:t>
            </w:r>
            <w:r w:rsidR="00F93A8C">
              <w:rPr>
                <w:sz w:val="20"/>
                <w:szCs w:val="20"/>
              </w:rPr>
              <w:t xml:space="preserve"> Alias”</w:t>
            </w:r>
          </w:p>
          <w:p w:rsidR="001418CD" w:rsidRPr="001418CD" w:rsidRDefault="00EA1FA5" w:rsidP="001F2BDF">
            <w:pPr>
              <w:rPr>
                <w:sz w:val="20"/>
                <w:szCs w:val="20"/>
              </w:rPr>
            </w:pPr>
            <w:r>
              <w:rPr>
                <w:rFonts w:hint="eastAsia"/>
                <w:sz w:val="20"/>
                <w:szCs w:val="20"/>
              </w:rPr>
              <w:t>■ REMOT</w:t>
            </w:r>
            <w:r>
              <w:rPr>
                <w:sz w:val="20"/>
                <w:szCs w:val="20"/>
              </w:rPr>
              <w:t>E</w:t>
            </w:r>
            <w:r w:rsidR="001418CD" w:rsidRPr="001418CD">
              <w:rPr>
                <w:rFonts w:hint="eastAsia"/>
                <w:sz w:val="20"/>
                <w:szCs w:val="20"/>
              </w:rPr>
              <w:t xml:space="preserve"> - si es relevante, muestra la información para </w:t>
            </w:r>
            <w:r w:rsidR="001F2BDF">
              <w:rPr>
                <w:sz w:val="20"/>
                <w:szCs w:val="20"/>
              </w:rPr>
              <w:t>la consulta distribuida</w:t>
            </w:r>
            <w:r w:rsidR="001418CD" w:rsidRPr="001418CD">
              <w:rPr>
                <w:sz w:val="20"/>
                <w:szCs w:val="20"/>
              </w:rPr>
              <w:t xml:space="preserve"> </w:t>
            </w:r>
          </w:p>
          <w:p w:rsidR="001418CD" w:rsidRDefault="001418CD" w:rsidP="001418CD">
            <w:pPr>
              <w:rPr>
                <w:sz w:val="20"/>
                <w:szCs w:val="20"/>
              </w:rPr>
            </w:pPr>
            <w:r w:rsidRPr="001418CD">
              <w:rPr>
                <w:rFonts w:hint="eastAsia"/>
                <w:sz w:val="20"/>
                <w:szCs w:val="20"/>
              </w:rPr>
              <w:t xml:space="preserve">■ </w:t>
            </w:r>
            <w:r w:rsidR="00EA1FA5">
              <w:rPr>
                <w:sz w:val="20"/>
                <w:szCs w:val="20"/>
              </w:rPr>
              <w:t>NOTE</w:t>
            </w:r>
            <w:r w:rsidRPr="001418CD">
              <w:rPr>
                <w:rFonts w:hint="eastAsia"/>
                <w:sz w:val="20"/>
                <w:szCs w:val="20"/>
              </w:rPr>
              <w:t>: si es relevante, muestra la sección de notas del plan de explicación</w:t>
            </w:r>
          </w:p>
          <w:p w:rsidR="008A3616" w:rsidRDefault="008A3616" w:rsidP="00222014">
            <w:pPr>
              <w:rPr>
                <w:sz w:val="20"/>
                <w:szCs w:val="20"/>
              </w:rPr>
            </w:pPr>
          </w:p>
        </w:tc>
      </w:tr>
    </w:tbl>
    <w:p w:rsidR="00746B2D" w:rsidRDefault="00746B2D" w:rsidP="00222014">
      <w:pPr>
        <w:rPr>
          <w:sz w:val="20"/>
          <w:szCs w:val="20"/>
        </w:rPr>
      </w:pPr>
    </w:p>
    <w:p w:rsidR="001568AE" w:rsidRPr="0082097A" w:rsidRDefault="001568AE" w:rsidP="001568AE">
      <w:r>
        <w:t>(Kannan,2016,p.</w:t>
      </w:r>
      <w:r w:rsidRPr="00AD462C">
        <w:rPr>
          <w:sz w:val="21"/>
          <w:szCs w:val="21"/>
        </w:rPr>
        <w:t xml:space="preserve"> </w:t>
      </w:r>
      <w:r>
        <w:t>202-14</w:t>
      </w:r>
      <w:r>
        <w:t xml:space="preserve"> – 202-</w:t>
      </w:r>
      <w:r>
        <w:t>15</w:t>
      </w:r>
      <w:r>
        <w:rPr>
          <w:sz w:val="21"/>
          <w:szCs w:val="21"/>
        </w:rPr>
        <w:t>)</w:t>
      </w:r>
      <w:r w:rsidRPr="00AD462C">
        <w:rPr>
          <w:sz w:val="21"/>
          <w:szCs w:val="21"/>
        </w:rPr>
        <w:t xml:space="preserve"> </w:t>
      </w:r>
    </w:p>
    <w:p w:rsidR="00100819" w:rsidRPr="00BD549C" w:rsidRDefault="00100819" w:rsidP="00222014">
      <w:pPr>
        <w:rPr>
          <w:sz w:val="20"/>
          <w:szCs w:val="20"/>
        </w:rPr>
      </w:pPr>
    </w:p>
    <w:p w:rsidR="006957CB" w:rsidRDefault="006957CB"/>
    <w:p w:rsidR="006957CB" w:rsidRDefault="006957CB"/>
    <w:p w:rsidR="006957CB" w:rsidRDefault="006957CB"/>
    <w:p w:rsidR="006957CB" w:rsidRDefault="006957CB"/>
    <w:p w:rsidR="006957CB" w:rsidRDefault="006957CB"/>
    <w:p w:rsidR="006957CB" w:rsidRDefault="006957CB"/>
    <w:p w:rsidR="001568AE" w:rsidRDefault="001568AE"/>
    <w:p w:rsidR="006957CB" w:rsidRDefault="006957CB"/>
    <w:p w:rsidR="006957CB" w:rsidRDefault="006957CB"/>
    <w:p w:rsidR="00723082" w:rsidRDefault="00031EAB">
      <w:r>
        <w:lastRenderedPageBreak/>
        <w:t>1.6</w:t>
      </w:r>
    </w:p>
    <w:tbl>
      <w:tblPr>
        <w:tblStyle w:val="Tablaconcuadrcula"/>
        <w:tblW w:w="0" w:type="auto"/>
        <w:tblLook w:val="04A0" w:firstRow="1" w:lastRow="0" w:firstColumn="1" w:lastColumn="0" w:noHBand="0" w:noVBand="1"/>
      </w:tblPr>
      <w:tblGrid>
        <w:gridCol w:w="4414"/>
        <w:gridCol w:w="4414"/>
      </w:tblGrid>
      <w:tr w:rsidR="00122B9F" w:rsidTr="00122B9F">
        <w:tc>
          <w:tcPr>
            <w:tcW w:w="4414" w:type="dxa"/>
          </w:tcPr>
          <w:p w:rsidR="00122B9F" w:rsidRDefault="00122B9F">
            <w:r>
              <w:t xml:space="preserve">Parametros </w:t>
            </w:r>
          </w:p>
        </w:tc>
        <w:tc>
          <w:tcPr>
            <w:tcW w:w="4414" w:type="dxa"/>
          </w:tcPr>
          <w:p w:rsidR="00122B9F" w:rsidRDefault="00122B9F">
            <w:r>
              <w:t>Descripcion</w:t>
            </w:r>
          </w:p>
        </w:tc>
      </w:tr>
      <w:tr w:rsidR="00122B9F" w:rsidTr="00122B9F">
        <w:tc>
          <w:tcPr>
            <w:tcW w:w="4414" w:type="dxa"/>
          </w:tcPr>
          <w:p w:rsidR="00122B9F" w:rsidRDefault="00122B9F" w:rsidP="00122B9F">
            <w:r>
              <w:t>sql_id</w:t>
            </w:r>
          </w:p>
          <w:p w:rsidR="00122B9F" w:rsidRDefault="00122B9F"/>
        </w:tc>
        <w:tc>
          <w:tcPr>
            <w:tcW w:w="4414" w:type="dxa"/>
          </w:tcPr>
          <w:p w:rsidR="00122B9F" w:rsidRPr="00122B9F" w:rsidRDefault="00122B9F" w:rsidP="00122B9F">
            <w:r w:rsidRPr="00122B9F">
              <w:t xml:space="preserve">Especifica el SQL_ID de la </w:t>
            </w:r>
            <w:r>
              <w:t>sentencia</w:t>
            </w:r>
            <w:r w:rsidRPr="00122B9F">
              <w:t xml:space="preserve"> de SQL en la memoria caché del cursor. Tú</w:t>
            </w:r>
          </w:p>
          <w:p w:rsidR="00122B9F" w:rsidRPr="00122B9F" w:rsidRDefault="00122B9F" w:rsidP="00122B9F">
            <w:r w:rsidRPr="00122B9F">
              <w:t>puede</w:t>
            </w:r>
            <w:r>
              <w:t>s</w:t>
            </w:r>
            <w:r w:rsidRPr="00122B9F">
              <w:t xml:space="preserve"> recuperar el valor apropiado consultando la columna SQL_ID</w:t>
            </w:r>
          </w:p>
          <w:p w:rsidR="00122B9F" w:rsidRDefault="00122B9F" w:rsidP="00806835">
            <w:r w:rsidRPr="00122B9F">
              <w:t>en V $ SQL o V $ SQLAREA. Alternativamente, puedes elegir la columna</w:t>
            </w:r>
            <w:r>
              <w:t xml:space="preserve"> </w:t>
            </w:r>
            <w:r w:rsidRPr="00122B9F">
              <w:t>PREV_SQL_ID para una sesi</w:t>
            </w:r>
            <w:r>
              <w:t>ón específica de V $ SESSION. El valor predeterinado</w:t>
            </w:r>
            <w:r w:rsidR="00806835">
              <w:t xml:space="preserve"> de este</w:t>
            </w:r>
            <w:r w:rsidRPr="00122B9F">
              <w:t xml:space="preserve"> parámetro</w:t>
            </w:r>
            <w:r w:rsidR="00806835">
              <w:t xml:space="preserve"> </w:t>
            </w:r>
            <w:r w:rsidRPr="00122B9F">
              <w:t xml:space="preserve">es NULL, </w:t>
            </w:r>
            <w:r w:rsidR="00A650FC" w:rsidRPr="00A650FC">
              <w:t>en cuyo caso se muestra el plano del último cursor ejecutado por la sesión.</w:t>
            </w:r>
          </w:p>
        </w:tc>
      </w:tr>
      <w:tr w:rsidR="00122B9F" w:rsidTr="00122B9F">
        <w:tc>
          <w:tcPr>
            <w:tcW w:w="4414" w:type="dxa"/>
          </w:tcPr>
          <w:p w:rsidR="00122B9F" w:rsidRPr="00122B9F" w:rsidRDefault="00122B9F" w:rsidP="00122B9F">
            <w:pPr>
              <w:rPr>
                <w:lang w:val="es-ES_tradnl"/>
              </w:rPr>
            </w:pPr>
            <w:r>
              <w:t>cursor_child_no</w:t>
            </w:r>
          </w:p>
        </w:tc>
        <w:tc>
          <w:tcPr>
            <w:tcW w:w="4414" w:type="dxa"/>
          </w:tcPr>
          <w:p w:rsidR="00122B9F" w:rsidRDefault="00A650FC">
            <w:r w:rsidRPr="00A650FC">
              <w:t>Child_number del cursor para mostrar. Si no se proporciona, se muestra el plan de ejecución de todos los cursores que coinciden con el parámetro sql_id proporcionado. Child_number solo se puede especificar si se especifica sql_id.</w:t>
            </w:r>
          </w:p>
        </w:tc>
      </w:tr>
      <w:tr w:rsidR="00122B9F" w:rsidTr="00122B9F">
        <w:tc>
          <w:tcPr>
            <w:tcW w:w="4414" w:type="dxa"/>
          </w:tcPr>
          <w:p w:rsidR="00122B9F" w:rsidRDefault="00122B9F" w:rsidP="00122B9F">
            <w:r>
              <w:t>format</w:t>
            </w:r>
          </w:p>
          <w:p w:rsidR="00122B9F" w:rsidRDefault="00122B9F"/>
        </w:tc>
        <w:tc>
          <w:tcPr>
            <w:tcW w:w="4414" w:type="dxa"/>
          </w:tcPr>
          <w:p w:rsidR="00122B9F" w:rsidRDefault="00A650FC">
            <w:r>
              <w:t>BASIC:</w:t>
            </w:r>
            <w:r w:rsidR="00C60EA6">
              <w:t xml:space="preserve"> Muestra información minima en el plan (ID de operación) ,el nombre de la operación y su opcion </w:t>
            </w:r>
          </w:p>
          <w:p w:rsidR="00C60EA6" w:rsidRDefault="00C60EA6">
            <w:r>
              <w:t xml:space="preserve">TYPICAL: </w:t>
            </w:r>
            <w:r w:rsidRPr="00C60EA6">
              <w:t>Este es el predeterminado. Muestra la información más relevante en el plan (id de operación, nombre y opción, # filas, # bytes y costo del optimizador).</w:t>
            </w:r>
          </w:p>
          <w:p w:rsidR="00C60EA6" w:rsidRDefault="00C60EA6">
            <w:r>
              <w:t>SERIAL:</w:t>
            </w:r>
            <w:r w:rsidR="00812C39">
              <w:t xml:space="preserve"> </w:t>
            </w:r>
            <w:r w:rsidR="00812C39" w:rsidRPr="00812C39">
              <w:t>Como TYPICAL, excepto que la información paralela no se muestra, incluso si el plan se ejecuta en paralelo.</w:t>
            </w:r>
          </w:p>
          <w:p w:rsidR="00812C39" w:rsidRDefault="00812C39">
            <w:r>
              <w:t xml:space="preserve">ALL: </w:t>
            </w:r>
            <w:r w:rsidRPr="00812C39">
              <w:t xml:space="preserve">Nivel de usuario máximo. Incluye información mostrada con el nivel </w:t>
            </w:r>
            <w:r>
              <w:t>TYPICAL</w:t>
            </w:r>
            <w:r w:rsidRPr="00812C39">
              <w:t xml:space="preserve"> con información adicional (</w:t>
            </w:r>
            <w:r>
              <w:t>PROJECTION</w:t>
            </w:r>
            <w:r w:rsidRPr="00812C39">
              <w:t>, ALIAS e información acerca de REMOTE SQL si la operación se distribuye).</w:t>
            </w:r>
          </w:p>
          <w:p w:rsidR="00812C39" w:rsidRDefault="00812C39" w:rsidP="00812C39">
            <w:r>
              <w:t>ADAPTIVE:</w:t>
            </w:r>
            <w:r w:rsidR="003F5872">
              <w:t xml:space="preserve"> </w:t>
            </w:r>
            <w:r w:rsidR="003F5872" w:rsidRPr="003F5872">
              <w:t>Muestra el plan final o el plan actual si la ejecución no se ha completado. Esta sección incluye notas sobre las optimizaciones de tiempo de ejecución que afectan el plan, como el cambio de una unión de Nested Loops a una combinación de Hash.</w:t>
            </w:r>
          </w:p>
          <w:p w:rsidR="003F5872" w:rsidRDefault="003F5872" w:rsidP="00812C39">
            <w:r w:rsidRPr="003F5872">
              <w:t xml:space="preserve">Plan de linaje Esta sección muestra los planes que se ejecutaron anteriormente debido a la reoptimización automática. También muestra el plan predeterminado, </w:t>
            </w:r>
            <w:r w:rsidRPr="003F5872">
              <w:lastRenderedPageBreak/>
              <w:t>si el plan cambió debido a planes dinámicos.</w:t>
            </w:r>
          </w:p>
          <w:p w:rsidR="003F5872" w:rsidRDefault="003F5872" w:rsidP="00812C39">
            <w:r w:rsidRPr="003F5872">
              <w:t>Plan recomendado En el modo de informe, el plan se elige en función de las estadísticas de ejecución que se muestran. Tenga en cuenta que mostrar el plan recomendado para la reoptimización automática requiere volver a compilar la consulta con los ajustes del optimizador recopilados en el cursor secundario. No es necesario mostrar el plan recomendado para un plan dinámico.</w:t>
            </w:r>
          </w:p>
          <w:p w:rsidR="003F5872" w:rsidRPr="00812C39" w:rsidRDefault="003F5872" w:rsidP="00812C39">
            <w:pPr>
              <w:rPr>
                <w:lang w:val="es-ES_tradnl"/>
              </w:rPr>
            </w:pPr>
            <w:r w:rsidRPr="003F5872">
              <w:t>- Planes dinámicos. Esto resume las partes del plan que difieren del plan predeterminado elegido por el optimizador.</w:t>
            </w:r>
          </w:p>
        </w:tc>
      </w:tr>
    </w:tbl>
    <w:p w:rsidR="006957CB" w:rsidRDefault="006957CB"/>
    <w:p w:rsidR="001568AE" w:rsidRPr="0082097A" w:rsidRDefault="001568AE" w:rsidP="00862B04">
      <w:pPr>
        <w:ind w:left="708" w:hanging="708"/>
      </w:pPr>
      <w:r>
        <w:t xml:space="preserve"> </w:t>
      </w:r>
      <w:r>
        <w:t>(Kannan,2016,p.</w:t>
      </w:r>
      <w:r w:rsidRPr="00AD462C">
        <w:rPr>
          <w:sz w:val="21"/>
          <w:szCs w:val="21"/>
        </w:rPr>
        <w:t xml:space="preserve"> </w:t>
      </w:r>
      <w:r>
        <w:t>202-17</w:t>
      </w:r>
      <w:r>
        <w:t xml:space="preserve"> – 202-</w:t>
      </w:r>
      <w:r>
        <w:t>18</w:t>
      </w:r>
      <w:r>
        <w:rPr>
          <w:sz w:val="21"/>
          <w:szCs w:val="21"/>
        </w:rPr>
        <w:t>)</w:t>
      </w:r>
      <w:r w:rsidRPr="00AD462C">
        <w:rPr>
          <w:sz w:val="21"/>
          <w:szCs w:val="21"/>
        </w:rPr>
        <w:t xml:space="preserve"> </w:t>
      </w:r>
    </w:p>
    <w:p w:rsidR="00031EAB" w:rsidRPr="00BD549C" w:rsidRDefault="00031EAB"/>
    <w:sdt>
      <w:sdtPr>
        <w:rPr>
          <w:rFonts w:ascii="Times New Roman" w:eastAsia="Times New Roman" w:hAnsi="Times New Roman" w:cs="Times New Roman"/>
          <w:b w:val="0"/>
          <w:bCs w:val="0"/>
          <w:color w:val="auto"/>
          <w:sz w:val="24"/>
          <w:szCs w:val="24"/>
          <w:lang w:val="es-ES"/>
        </w:rPr>
        <w:id w:val="52354428"/>
        <w:docPartObj>
          <w:docPartGallery w:val="Bibliographies"/>
          <w:docPartUnique/>
        </w:docPartObj>
      </w:sdtPr>
      <w:sdtEndPr>
        <w:rPr>
          <w:lang w:val="es-MX"/>
        </w:rPr>
      </w:sdtEndPr>
      <w:sdtContent>
        <w:p w:rsidR="00723082" w:rsidRPr="005B749A" w:rsidRDefault="00723082">
          <w:pPr>
            <w:pStyle w:val="Ttulo1"/>
          </w:pPr>
          <w:r w:rsidRPr="005B749A">
            <w:t>Bibliografía</w:t>
          </w:r>
        </w:p>
        <w:sdt>
          <w:sdtPr>
            <w:rPr>
              <w:rFonts w:ascii="Times New Roman" w:eastAsia="Times New Roman" w:hAnsi="Times New Roman" w:cs="Times New Roman"/>
              <w:lang w:val="es-MX"/>
            </w:rPr>
            <w:id w:val="111145805"/>
            <w:bibliography/>
          </w:sdtPr>
          <w:sdtEndPr/>
          <w:sdtContent>
            <w:p w:rsidR="00723082" w:rsidRDefault="00723082" w:rsidP="00723082">
              <w:pPr>
                <w:pStyle w:val="Bibliografa"/>
                <w:ind w:left="720" w:hanging="720"/>
                <w:rPr>
                  <w:noProof/>
                  <w:lang w:val="es-ES"/>
                </w:rPr>
              </w:pPr>
              <w:r>
                <w:fldChar w:fldCharType="begin"/>
              </w:r>
              <w:r w:rsidRPr="005B749A">
                <w:rPr>
                  <w:lang w:val="es-MX"/>
                </w:rPr>
                <w:instrText>BIBLIOGRAPHY</w:instrText>
              </w:r>
              <w:r>
                <w:fldChar w:fldCharType="separate"/>
              </w:r>
              <w:r w:rsidRPr="005B749A">
                <w:rPr>
                  <w:noProof/>
                  <w:lang w:val="es-MX"/>
                </w:rPr>
                <w:t xml:space="preserve">Kannan, P. (2016). </w:t>
              </w:r>
              <w:r w:rsidRPr="005B749A">
                <w:rPr>
                  <w:i/>
                  <w:iCs/>
                  <w:noProof/>
                  <w:lang w:val="es-MX"/>
                </w:rPr>
                <w:t>Oracle Database PL/SQL Packages and Types Reference, 12c Release 1 (12.1) .</w:t>
              </w:r>
              <w:r w:rsidRPr="005B749A">
                <w:rPr>
                  <w:noProof/>
                  <w:lang w:val="es-MX"/>
                </w:rPr>
                <w:t xml:space="preserve"> </w:t>
              </w:r>
              <w:r>
                <w:rPr>
                  <w:noProof/>
                  <w:lang w:val="es-ES"/>
                </w:rPr>
                <w:t>Oracle and/or its affiliates.</w:t>
              </w:r>
            </w:p>
            <w:p w:rsidR="00723082" w:rsidRDefault="00723082" w:rsidP="00723082">
              <w:r>
                <w:rPr>
                  <w:b/>
                  <w:bCs/>
                  <w:noProof/>
                </w:rPr>
                <w:fldChar w:fldCharType="end"/>
              </w:r>
            </w:p>
          </w:sdtContent>
        </w:sdt>
      </w:sdtContent>
    </w:sdt>
    <w:p w:rsidR="00723082" w:rsidRPr="00723082" w:rsidRDefault="00723082">
      <w:pPr>
        <w:rPr>
          <w:lang w:val="en-US"/>
        </w:rPr>
      </w:pPr>
      <w:bookmarkStart w:id="0" w:name="_GoBack"/>
      <w:bookmarkEnd w:id="0"/>
    </w:p>
    <w:sectPr w:rsidR="00723082" w:rsidRPr="00723082" w:rsidSect="00CA7E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82"/>
    <w:rsid w:val="00031EAB"/>
    <w:rsid w:val="00100819"/>
    <w:rsid w:val="00122B9F"/>
    <w:rsid w:val="001418CD"/>
    <w:rsid w:val="001568AE"/>
    <w:rsid w:val="001F2BDF"/>
    <w:rsid w:val="00222014"/>
    <w:rsid w:val="00286C03"/>
    <w:rsid w:val="00314693"/>
    <w:rsid w:val="00372ECF"/>
    <w:rsid w:val="003D5D20"/>
    <w:rsid w:val="003F5872"/>
    <w:rsid w:val="0041519E"/>
    <w:rsid w:val="00492AE9"/>
    <w:rsid w:val="004E1382"/>
    <w:rsid w:val="004F2538"/>
    <w:rsid w:val="00516918"/>
    <w:rsid w:val="005B749A"/>
    <w:rsid w:val="006957CB"/>
    <w:rsid w:val="00717154"/>
    <w:rsid w:val="00723082"/>
    <w:rsid w:val="00746B2D"/>
    <w:rsid w:val="00782B88"/>
    <w:rsid w:val="00793874"/>
    <w:rsid w:val="007A4E24"/>
    <w:rsid w:val="007A622E"/>
    <w:rsid w:val="008006C9"/>
    <w:rsid w:val="00806835"/>
    <w:rsid w:val="00812C39"/>
    <w:rsid w:val="0082097A"/>
    <w:rsid w:val="00862B04"/>
    <w:rsid w:val="008A3616"/>
    <w:rsid w:val="008B76AB"/>
    <w:rsid w:val="00911668"/>
    <w:rsid w:val="009B1DF6"/>
    <w:rsid w:val="00A650FC"/>
    <w:rsid w:val="00A71909"/>
    <w:rsid w:val="00AD462C"/>
    <w:rsid w:val="00AE5BC5"/>
    <w:rsid w:val="00B53CB9"/>
    <w:rsid w:val="00B776ED"/>
    <w:rsid w:val="00BB0765"/>
    <w:rsid w:val="00BC0339"/>
    <w:rsid w:val="00BD40F1"/>
    <w:rsid w:val="00BD549C"/>
    <w:rsid w:val="00BE2CB9"/>
    <w:rsid w:val="00C32AD2"/>
    <w:rsid w:val="00C60EA6"/>
    <w:rsid w:val="00C92BAF"/>
    <w:rsid w:val="00CA7EBF"/>
    <w:rsid w:val="00D054F2"/>
    <w:rsid w:val="00D20B7E"/>
    <w:rsid w:val="00D55F97"/>
    <w:rsid w:val="00D63264"/>
    <w:rsid w:val="00DF415E"/>
    <w:rsid w:val="00E17669"/>
    <w:rsid w:val="00EA1FA5"/>
    <w:rsid w:val="00EA5591"/>
    <w:rsid w:val="00EB05C0"/>
    <w:rsid w:val="00F93A8C"/>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7249B0"/>
  <w15:chartTrackingRefBased/>
  <w15:docId w15:val="{0CC26C5F-B158-6546-9571-54044C84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68AE"/>
    <w:rPr>
      <w:rFonts w:ascii="Times New Roman" w:eastAsia="Times New Roman" w:hAnsi="Times New Roman" w:cs="Times New Roman"/>
      <w:lang w:val="es-MX"/>
    </w:rPr>
  </w:style>
  <w:style w:type="paragraph" w:styleId="Ttulo1">
    <w:name w:val="heading 1"/>
    <w:basedOn w:val="Normal"/>
    <w:next w:val="Normal"/>
    <w:link w:val="Ttulo1Car"/>
    <w:uiPriority w:val="9"/>
    <w:qFormat/>
    <w:rsid w:val="0072308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3082"/>
    <w:rPr>
      <w:rFonts w:asciiTheme="majorHAnsi" w:eastAsiaTheme="majorEastAsia" w:hAnsiTheme="majorHAnsi" w:cstheme="majorBidi"/>
      <w:b/>
      <w:bCs/>
      <w:color w:val="2F5496" w:themeColor="accent1" w:themeShade="BF"/>
      <w:sz w:val="28"/>
      <w:szCs w:val="28"/>
      <w:lang w:val="es-MX"/>
    </w:rPr>
  </w:style>
  <w:style w:type="paragraph" w:styleId="Bibliografa">
    <w:name w:val="Bibliography"/>
    <w:basedOn w:val="Normal"/>
    <w:next w:val="Normal"/>
    <w:uiPriority w:val="37"/>
    <w:unhideWhenUsed/>
    <w:rsid w:val="00723082"/>
    <w:rPr>
      <w:rFonts w:asciiTheme="minorHAnsi" w:eastAsiaTheme="minorEastAsia" w:hAnsiTheme="minorHAnsi" w:cstheme="minorBidi"/>
      <w:lang w:val="es-ES_tradnl"/>
    </w:rPr>
  </w:style>
  <w:style w:type="paragraph" w:styleId="HTMLconformatoprevio">
    <w:name w:val="HTML Preformatted"/>
    <w:basedOn w:val="Normal"/>
    <w:link w:val="HTMLconformatoprevioCar"/>
    <w:uiPriority w:val="99"/>
    <w:semiHidden/>
    <w:unhideWhenUsed/>
    <w:rsid w:val="00D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63264"/>
    <w:rPr>
      <w:rFonts w:ascii="Courier New" w:eastAsia="Times New Roman" w:hAnsi="Courier New" w:cs="Courier New"/>
      <w:sz w:val="20"/>
      <w:szCs w:val="20"/>
      <w:lang w:val="es-MX"/>
    </w:rPr>
  </w:style>
  <w:style w:type="table" w:styleId="Tablaconcuadrcula">
    <w:name w:val="Table Grid"/>
    <w:basedOn w:val="Tablanormal"/>
    <w:uiPriority w:val="39"/>
    <w:rsid w:val="00717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694">
      <w:bodyDiv w:val="1"/>
      <w:marLeft w:val="0"/>
      <w:marRight w:val="0"/>
      <w:marTop w:val="0"/>
      <w:marBottom w:val="0"/>
      <w:divBdr>
        <w:top w:val="none" w:sz="0" w:space="0" w:color="auto"/>
        <w:left w:val="none" w:sz="0" w:space="0" w:color="auto"/>
        <w:bottom w:val="none" w:sz="0" w:space="0" w:color="auto"/>
        <w:right w:val="none" w:sz="0" w:space="0" w:color="auto"/>
      </w:divBdr>
    </w:div>
    <w:div w:id="66271956">
      <w:bodyDiv w:val="1"/>
      <w:marLeft w:val="0"/>
      <w:marRight w:val="0"/>
      <w:marTop w:val="0"/>
      <w:marBottom w:val="0"/>
      <w:divBdr>
        <w:top w:val="none" w:sz="0" w:space="0" w:color="auto"/>
        <w:left w:val="none" w:sz="0" w:space="0" w:color="auto"/>
        <w:bottom w:val="none" w:sz="0" w:space="0" w:color="auto"/>
        <w:right w:val="none" w:sz="0" w:space="0" w:color="auto"/>
      </w:divBdr>
    </w:div>
    <w:div w:id="77219162">
      <w:bodyDiv w:val="1"/>
      <w:marLeft w:val="0"/>
      <w:marRight w:val="0"/>
      <w:marTop w:val="0"/>
      <w:marBottom w:val="0"/>
      <w:divBdr>
        <w:top w:val="none" w:sz="0" w:space="0" w:color="auto"/>
        <w:left w:val="none" w:sz="0" w:space="0" w:color="auto"/>
        <w:bottom w:val="none" w:sz="0" w:space="0" w:color="auto"/>
        <w:right w:val="none" w:sz="0" w:space="0" w:color="auto"/>
      </w:divBdr>
    </w:div>
    <w:div w:id="94399042">
      <w:bodyDiv w:val="1"/>
      <w:marLeft w:val="0"/>
      <w:marRight w:val="0"/>
      <w:marTop w:val="0"/>
      <w:marBottom w:val="0"/>
      <w:divBdr>
        <w:top w:val="none" w:sz="0" w:space="0" w:color="auto"/>
        <w:left w:val="none" w:sz="0" w:space="0" w:color="auto"/>
        <w:bottom w:val="none" w:sz="0" w:space="0" w:color="auto"/>
        <w:right w:val="none" w:sz="0" w:space="0" w:color="auto"/>
      </w:divBdr>
    </w:div>
    <w:div w:id="131482279">
      <w:bodyDiv w:val="1"/>
      <w:marLeft w:val="0"/>
      <w:marRight w:val="0"/>
      <w:marTop w:val="0"/>
      <w:marBottom w:val="0"/>
      <w:divBdr>
        <w:top w:val="none" w:sz="0" w:space="0" w:color="auto"/>
        <w:left w:val="none" w:sz="0" w:space="0" w:color="auto"/>
        <w:bottom w:val="none" w:sz="0" w:space="0" w:color="auto"/>
        <w:right w:val="none" w:sz="0" w:space="0" w:color="auto"/>
      </w:divBdr>
    </w:div>
    <w:div w:id="210071598">
      <w:bodyDiv w:val="1"/>
      <w:marLeft w:val="0"/>
      <w:marRight w:val="0"/>
      <w:marTop w:val="0"/>
      <w:marBottom w:val="0"/>
      <w:divBdr>
        <w:top w:val="none" w:sz="0" w:space="0" w:color="auto"/>
        <w:left w:val="none" w:sz="0" w:space="0" w:color="auto"/>
        <w:bottom w:val="none" w:sz="0" w:space="0" w:color="auto"/>
        <w:right w:val="none" w:sz="0" w:space="0" w:color="auto"/>
      </w:divBdr>
    </w:div>
    <w:div w:id="215553431">
      <w:bodyDiv w:val="1"/>
      <w:marLeft w:val="0"/>
      <w:marRight w:val="0"/>
      <w:marTop w:val="0"/>
      <w:marBottom w:val="0"/>
      <w:divBdr>
        <w:top w:val="none" w:sz="0" w:space="0" w:color="auto"/>
        <w:left w:val="none" w:sz="0" w:space="0" w:color="auto"/>
        <w:bottom w:val="none" w:sz="0" w:space="0" w:color="auto"/>
        <w:right w:val="none" w:sz="0" w:space="0" w:color="auto"/>
      </w:divBdr>
    </w:div>
    <w:div w:id="267929318">
      <w:bodyDiv w:val="1"/>
      <w:marLeft w:val="0"/>
      <w:marRight w:val="0"/>
      <w:marTop w:val="0"/>
      <w:marBottom w:val="0"/>
      <w:divBdr>
        <w:top w:val="none" w:sz="0" w:space="0" w:color="auto"/>
        <w:left w:val="none" w:sz="0" w:space="0" w:color="auto"/>
        <w:bottom w:val="none" w:sz="0" w:space="0" w:color="auto"/>
        <w:right w:val="none" w:sz="0" w:space="0" w:color="auto"/>
      </w:divBdr>
    </w:div>
    <w:div w:id="360471995">
      <w:bodyDiv w:val="1"/>
      <w:marLeft w:val="0"/>
      <w:marRight w:val="0"/>
      <w:marTop w:val="0"/>
      <w:marBottom w:val="0"/>
      <w:divBdr>
        <w:top w:val="none" w:sz="0" w:space="0" w:color="auto"/>
        <w:left w:val="none" w:sz="0" w:space="0" w:color="auto"/>
        <w:bottom w:val="none" w:sz="0" w:space="0" w:color="auto"/>
        <w:right w:val="none" w:sz="0" w:space="0" w:color="auto"/>
      </w:divBdr>
    </w:div>
    <w:div w:id="391542471">
      <w:bodyDiv w:val="1"/>
      <w:marLeft w:val="0"/>
      <w:marRight w:val="0"/>
      <w:marTop w:val="0"/>
      <w:marBottom w:val="0"/>
      <w:divBdr>
        <w:top w:val="none" w:sz="0" w:space="0" w:color="auto"/>
        <w:left w:val="none" w:sz="0" w:space="0" w:color="auto"/>
        <w:bottom w:val="none" w:sz="0" w:space="0" w:color="auto"/>
        <w:right w:val="none" w:sz="0" w:space="0" w:color="auto"/>
      </w:divBdr>
    </w:div>
    <w:div w:id="406152094">
      <w:bodyDiv w:val="1"/>
      <w:marLeft w:val="0"/>
      <w:marRight w:val="0"/>
      <w:marTop w:val="0"/>
      <w:marBottom w:val="0"/>
      <w:divBdr>
        <w:top w:val="none" w:sz="0" w:space="0" w:color="auto"/>
        <w:left w:val="none" w:sz="0" w:space="0" w:color="auto"/>
        <w:bottom w:val="none" w:sz="0" w:space="0" w:color="auto"/>
        <w:right w:val="none" w:sz="0" w:space="0" w:color="auto"/>
      </w:divBdr>
    </w:div>
    <w:div w:id="449592818">
      <w:bodyDiv w:val="1"/>
      <w:marLeft w:val="0"/>
      <w:marRight w:val="0"/>
      <w:marTop w:val="0"/>
      <w:marBottom w:val="0"/>
      <w:divBdr>
        <w:top w:val="none" w:sz="0" w:space="0" w:color="auto"/>
        <w:left w:val="none" w:sz="0" w:space="0" w:color="auto"/>
        <w:bottom w:val="none" w:sz="0" w:space="0" w:color="auto"/>
        <w:right w:val="none" w:sz="0" w:space="0" w:color="auto"/>
      </w:divBdr>
    </w:div>
    <w:div w:id="532307209">
      <w:bodyDiv w:val="1"/>
      <w:marLeft w:val="0"/>
      <w:marRight w:val="0"/>
      <w:marTop w:val="0"/>
      <w:marBottom w:val="0"/>
      <w:divBdr>
        <w:top w:val="none" w:sz="0" w:space="0" w:color="auto"/>
        <w:left w:val="none" w:sz="0" w:space="0" w:color="auto"/>
        <w:bottom w:val="none" w:sz="0" w:space="0" w:color="auto"/>
        <w:right w:val="none" w:sz="0" w:space="0" w:color="auto"/>
      </w:divBdr>
    </w:div>
    <w:div w:id="549808122">
      <w:bodyDiv w:val="1"/>
      <w:marLeft w:val="0"/>
      <w:marRight w:val="0"/>
      <w:marTop w:val="0"/>
      <w:marBottom w:val="0"/>
      <w:divBdr>
        <w:top w:val="none" w:sz="0" w:space="0" w:color="auto"/>
        <w:left w:val="none" w:sz="0" w:space="0" w:color="auto"/>
        <w:bottom w:val="none" w:sz="0" w:space="0" w:color="auto"/>
        <w:right w:val="none" w:sz="0" w:space="0" w:color="auto"/>
      </w:divBdr>
    </w:div>
    <w:div w:id="554774805">
      <w:bodyDiv w:val="1"/>
      <w:marLeft w:val="0"/>
      <w:marRight w:val="0"/>
      <w:marTop w:val="0"/>
      <w:marBottom w:val="0"/>
      <w:divBdr>
        <w:top w:val="none" w:sz="0" w:space="0" w:color="auto"/>
        <w:left w:val="none" w:sz="0" w:space="0" w:color="auto"/>
        <w:bottom w:val="none" w:sz="0" w:space="0" w:color="auto"/>
        <w:right w:val="none" w:sz="0" w:space="0" w:color="auto"/>
      </w:divBdr>
    </w:div>
    <w:div w:id="588853902">
      <w:bodyDiv w:val="1"/>
      <w:marLeft w:val="0"/>
      <w:marRight w:val="0"/>
      <w:marTop w:val="0"/>
      <w:marBottom w:val="0"/>
      <w:divBdr>
        <w:top w:val="none" w:sz="0" w:space="0" w:color="auto"/>
        <w:left w:val="none" w:sz="0" w:space="0" w:color="auto"/>
        <w:bottom w:val="none" w:sz="0" w:space="0" w:color="auto"/>
        <w:right w:val="none" w:sz="0" w:space="0" w:color="auto"/>
      </w:divBdr>
    </w:div>
    <w:div w:id="601650009">
      <w:bodyDiv w:val="1"/>
      <w:marLeft w:val="0"/>
      <w:marRight w:val="0"/>
      <w:marTop w:val="0"/>
      <w:marBottom w:val="0"/>
      <w:divBdr>
        <w:top w:val="none" w:sz="0" w:space="0" w:color="auto"/>
        <w:left w:val="none" w:sz="0" w:space="0" w:color="auto"/>
        <w:bottom w:val="none" w:sz="0" w:space="0" w:color="auto"/>
        <w:right w:val="none" w:sz="0" w:space="0" w:color="auto"/>
      </w:divBdr>
    </w:div>
    <w:div w:id="679040975">
      <w:bodyDiv w:val="1"/>
      <w:marLeft w:val="0"/>
      <w:marRight w:val="0"/>
      <w:marTop w:val="0"/>
      <w:marBottom w:val="0"/>
      <w:divBdr>
        <w:top w:val="none" w:sz="0" w:space="0" w:color="auto"/>
        <w:left w:val="none" w:sz="0" w:space="0" w:color="auto"/>
        <w:bottom w:val="none" w:sz="0" w:space="0" w:color="auto"/>
        <w:right w:val="none" w:sz="0" w:space="0" w:color="auto"/>
      </w:divBdr>
    </w:div>
    <w:div w:id="699740555">
      <w:bodyDiv w:val="1"/>
      <w:marLeft w:val="0"/>
      <w:marRight w:val="0"/>
      <w:marTop w:val="0"/>
      <w:marBottom w:val="0"/>
      <w:divBdr>
        <w:top w:val="none" w:sz="0" w:space="0" w:color="auto"/>
        <w:left w:val="none" w:sz="0" w:space="0" w:color="auto"/>
        <w:bottom w:val="none" w:sz="0" w:space="0" w:color="auto"/>
        <w:right w:val="none" w:sz="0" w:space="0" w:color="auto"/>
      </w:divBdr>
    </w:div>
    <w:div w:id="732000828">
      <w:bodyDiv w:val="1"/>
      <w:marLeft w:val="0"/>
      <w:marRight w:val="0"/>
      <w:marTop w:val="0"/>
      <w:marBottom w:val="0"/>
      <w:divBdr>
        <w:top w:val="none" w:sz="0" w:space="0" w:color="auto"/>
        <w:left w:val="none" w:sz="0" w:space="0" w:color="auto"/>
        <w:bottom w:val="none" w:sz="0" w:space="0" w:color="auto"/>
        <w:right w:val="none" w:sz="0" w:space="0" w:color="auto"/>
      </w:divBdr>
    </w:div>
    <w:div w:id="778720882">
      <w:bodyDiv w:val="1"/>
      <w:marLeft w:val="0"/>
      <w:marRight w:val="0"/>
      <w:marTop w:val="0"/>
      <w:marBottom w:val="0"/>
      <w:divBdr>
        <w:top w:val="none" w:sz="0" w:space="0" w:color="auto"/>
        <w:left w:val="none" w:sz="0" w:space="0" w:color="auto"/>
        <w:bottom w:val="none" w:sz="0" w:space="0" w:color="auto"/>
        <w:right w:val="none" w:sz="0" w:space="0" w:color="auto"/>
      </w:divBdr>
    </w:div>
    <w:div w:id="817234599">
      <w:bodyDiv w:val="1"/>
      <w:marLeft w:val="0"/>
      <w:marRight w:val="0"/>
      <w:marTop w:val="0"/>
      <w:marBottom w:val="0"/>
      <w:divBdr>
        <w:top w:val="none" w:sz="0" w:space="0" w:color="auto"/>
        <w:left w:val="none" w:sz="0" w:space="0" w:color="auto"/>
        <w:bottom w:val="none" w:sz="0" w:space="0" w:color="auto"/>
        <w:right w:val="none" w:sz="0" w:space="0" w:color="auto"/>
      </w:divBdr>
    </w:div>
    <w:div w:id="867521954">
      <w:bodyDiv w:val="1"/>
      <w:marLeft w:val="0"/>
      <w:marRight w:val="0"/>
      <w:marTop w:val="0"/>
      <w:marBottom w:val="0"/>
      <w:divBdr>
        <w:top w:val="none" w:sz="0" w:space="0" w:color="auto"/>
        <w:left w:val="none" w:sz="0" w:space="0" w:color="auto"/>
        <w:bottom w:val="none" w:sz="0" w:space="0" w:color="auto"/>
        <w:right w:val="none" w:sz="0" w:space="0" w:color="auto"/>
      </w:divBdr>
    </w:div>
    <w:div w:id="868958214">
      <w:bodyDiv w:val="1"/>
      <w:marLeft w:val="0"/>
      <w:marRight w:val="0"/>
      <w:marTop w:val="0"/>
      <w:marBottom w:val="0"/>
      <w:divBdr>
        <w:top w:val="none" w:sz="0" w:space="0" w:color="auto"/>
        <w:left w:val="none" w:sz="0" w:space="0" w:color="auto"/>
        <w:bottom w:val="none" w:sz="0" w:space="0" w:color="auto"/>
        <w:right w:val="none" w:sz="0" w:space="0" w:color="auto"/>
      </w:divBdr>
    </w:div>
    <w:div w:id="872113323">
      <w:bodyDiv w:val="1"/>
      <w:marLeft w:val="0"/>
      <w:marRight w:val="0"/>
      <w:marTop w:val="0"/>
      <w:marBottom w:val="0"/>
      <w:divBdr>
        <w:top w:val="none" w:sz="0" w:space="0" w:color="auto"/>
        <w:left w:val="none" w:sz="0" w:space="0" w:color="auto"/>
        <w:bottom w:val="none" w:sz="0" w:space="0" w:color="auto"/>
        <w:right w:val="none" w:sz="0" w:space="0" w:color="auto"/>
      </w:divBdr>
    </w:div>
    <w:div w:id="887883669">
      <w:bodyDiv w:val="1"/>
      <w:marLeft w:val="0"/>
      <w:marRight w:val="0"/>
      <w:marTop w:val="0"/>
      <w:marBottom w:val="0"/>
      <w:divBdr>
        <w:top w:val="none" w:sz="0" w:space="0" w:color="auto"/>
        <w:left w:val="none" w:sz="0" w:space="0" w:color="auto"/>
        <w:bottom w:val="none" w:sz="0" w:space="0" w:color="auto"/>
        <w:right w:val="none" w:sz="0" w:space="0" w:color="auto"/>
      </w:divBdr>
    </w:div>
    <w:div w:id="908079834">
      <w:bodyDiv w:val="1"/>
      <w:marLeft w:val="0"/>
      <w:marRight w:val="0"/>
      <w:marTop w:val="0"/>
      <w:marBottom w:val="0"/>
      <w:divBdr>
        <w:top w:val="none" w:sz="0" w:space="0" w:color="auto"/>
        <w:left w:val="none" w:sz="0" w:space="0" w:color="auto"/>
        <w:bottom w:val="none" w:sz="0" w:space="0" w:color="auto"/>
        <w:right w:val="none" w:sz="0" w:space="0" w:color="auto"/>
      </w:divBdr>
    </w:div>
    <w:div w:id="918252810">
      <w:bodyDiv w:val="1"/>
      <w:marLeft w:val="0"/>
      <w:marRight w:val="0"/>
      <w:marTop w:val="0"/>
      <w:marBottom w:val="0"/>
      <w:divBdr>
        <w:top w:val="none" w:sz="0" w:space="0" w:color="auto"/>
        <w:left w:val="none" w:sz="0" w:space="0" w:color="auto"/>
        <w:bottom w:val="none" w:sz="0" w:space="0" w:color="auto"/>
        <w:right w:val="none" w:sz="0" w:space="0" w:color="auto"/>
      </w:divBdr>
      <w:divsChild>
        <w:div w:id="1445920893">
          <w:marLeft w:val="0"/>
          <w:marRight w:val="0"/>
          <w:marTop w:val="0"/>
          <w:marBottom w:val="0"/>
          <w:divBdr>
            <w:top w:val="none" w:sz="0" w:space="0" w:color="auto"/>
            <w:left w:val="none" w:sz="0" w:space="0" w:color="auto"/>
            <w:bottom w:val="none" w:sz="0" w:space="0" w:color="auto"/>
            <w:right w:val="none" w:sz="0" w:space="0" w:color="auto"/>
          </w:divBdr>
          <w:divsChild>
            <w:div w:id="1760247247">
              <w:marLeft w:val="0"/>
              <w:marRight w:val="60"/>
              <w:marTop w:val="0"/>
              <w:marBottom w:val="0"/>
              <w:divBdr>
                <w:top w:val="none" w:sz="0" w:space="0" w:color="auto"/>
                <w:left w:val="none" w:sz="0" w:space="0" w:color="auto"/>
                <w:bottom w:val="none" w:sz="0" w:space="0" w:color="auto"/>
                <w:right w:val="none" w:sz="0" w:space="0" w:color="auto"/>
              </w:divBdr>
              <w:divsChild>
                <w:div w:id="427504306">
                  <w:marLeft w:val="0"/>
                  <w:marRight w:val="0"/>
                  <w:marTop w:val="0"/>
                  <w:marBottom w:val="120"/>
                  <w:divBdr>
                    <w:top w:val="single" w:sz="6" w:space="0" w:color="A0A0A0"/>
                    <w:left w:val="single" w:sz="6" w:space="0" w:color="B9B9B9"/>
                    <w:bottom w:val="single" w:sz="6" w:space="0" w:color="B9B9B9"/>
                    <w:right w:val="single" w:sz="6" w:space="0" w:color="B9B9B9"/>
                  </w:divBdr>
                  <w:divsChild>
                    <w:div w:id="1098215156">
                      <w:marLeft w:val="0"/>
                      <w:marRight w:val="0"/>
                      <w:marTop w:val="0"/>
                      <w:marBottom w:val="0"/>
                      <w:divBdr>
                        <w:top w:val="none" w:sz="0" w:space="0" w:color="auto"/>
                        <w:left w:val="none" w:sz="0" w:space="0" w:color="auto"/>
                        <w:bottom w:val="none" w:sz="0" w:space="0" w:color="auto"/>
                        <w:right w:val="none" w:sz="0" w:space="0" w:color="auto"/>
                      </w:divBdr>
                    </w:div>
                    <w:div w:id="611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9935">
          <w:marLeft w:val="0"/>
          <w:marRight w:val="0"/>
          <w:marTop w:val="0"/>
          <w:marBottom w:val="0"/>
          <w:divBdr>
            <w:top w:val="none" w:sz="0" w:space="0" w:color="auto"/>
            <w:left w:val="none" w:sz="0" w:space="0" w:color="auto"/>
            <w:bottom w:val="none" w:sz="0" w:space="0" w:color="auto"/>
            <w:right w:val="none" w:sz="0" w:space="0" w:color="auto"/>
          </w:divBdr>
          <w:divsChild>
            <w:div w:id="394087355">
              <w:marLeft w:val="60"/>
              <w:marRight w:val="0"/>
              <w:marTop w:val="0"/>
              <w:marBottom w:val="0"/>
              <w:divBdr>
                <w:top w:val="none" w:sz="0" w:space="0" w:color="auto"/>
                <w:left w:val="none" w:sz="0" w:space="0" w:color="auto"/>
                <w:bottom w:val="none" w:sz="0" w:space="0" w:color="auto"/>
                <w:right w:val="none" w:sz="0" w:space="0" w:color="auto"/>
              </w:divBdr>
              <w:divsChild>
                <w:div w:id="1713192208">
                  <w:marLeft w:val="0"/>
                  <w:marRight w:val="0"/>
                  <w:marTop w:val="0"/>
                  <w:marBottom w:val="0"/>
                  <w:divBdr>
                    <w:top w:val="none" w:sz="0" w:space="0" w:color="auto"/>
                    <w:left w:val="none" w:sz="0" w:space="0" w:color="auto"/>
                    <w:bottom w:val="none" w:sz="0" w:space="0" w:color="auto"/>
                    <w:right w:val="none" w:sz="0" w:space="0" w:color="auto"/>
                  </w:divBdr>
                  <w:divsChild>
                    <w:div w:id="44184819">
                      <w:marLeft w:val="0"/>
                      <w:marRight w:val="0"/>
                      <w:marTop w:val="0"/>
                      <w:marBottom w:val="120"/>
                      <w:divBdr>
                        <w:top w:val="single" w:sz="6" w:space="0" w:color="F5F5F5"/>
                        <w:left w:val="single" w:sz="6" w:space="0" w:color="F5F5F5"/>
                        <w:bottom w:val="single" w:sz="6" w:space="0" w:color="F5F5F5"/>
                        <w:right w:val="single" w:sz="6" w:space="0" w:color="F5F5F5"/>
                      </w:divBdr>
                      <w:divsChild>
                        <w:div w:id="1414467995">
                          <w:marLeft w:val="0"/>
                          <w:marRight w:val="0"/>
                          <w:marTop w:val="0"/>
                          <w:marBottom w:val="0"/>
                          <w:divBdr>
                            <w:top w:val="none" w:sz="0" w:space="0" w:color="auto"/>
                            <w:left w:val="none" w:sz="0" w:space="0" w:color="auto"/>
                            <w:bottom w:val="none" w:sz="0" w:space="0" w:color="auto"/>
                            <w:right w:val="none" w:sz="0" w:space="0" w:color="auto"/>
                          </w:divBdr>
                          <w:divsChild>
                            <w:div w:id="12518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87743">
      <w:bodyDiv w:val="1"/>
      <w:marLeft w:val="0"/>
      <w:marRight w:val="0"/>
      <w:marTop w:val="0"/>
      <w:marBottom w:val="0"/>
      <w:divBdr>
        <w:top w:val="none" w:sz="0" w:space="0" w:color="auto"/>
        <w:left w:val="none" w:sz="0" w:space="0" w:color="auto"/>
        <w:bottom w:val="none" w:sz="0" w:space="0" w:color="auto"/>
        <w:right w:val="none" w:sz="0" w:space="0" w:color="auto"/>
      </w:divBdr>
    </w:div>
    <w:div w:id="1042634167">
      <w:bodyDiv w:val="1"/>
      <w:marLeft w:val="0"/>
      <w:marRight w:val="0"/>
      <w:marTop w:val="0"/>
      <w:marBottom w:val="0"/>
      <w:divBdr>
        <w:top w:val="none" w:sz="0" w:space="0" w:color="auto"/>
        <w:left w:val="none" w:sz="0" w:space="0" w:color="auto"/>
        <w:bottom w:val="none" w:sz="0" w:space="0" w:color="auto"/>
        <w:right w:val="none" w:sz="0" w:space="0" w:color="auto"/>
      </w:divBdr>
    </w:div>
    <w:div w:id="1126191583">
      <w:bodyDiv w:val="1"/>
      <w:marLeft w:val="0"/>
      <w:marRight w:val="0"/>
      <w:marTop w:val="0"/>
      <w:marBottom w:val="0"/>
      <w:divBdr>
        <w:top w:val="none" w:sz="0" w:space="0" w:color="auto"/>
        <w:left w:val="none" w:sz="0" w:space="0" w:color="auto"/>
        <w:bottom w:val="none" w:sz="0" w:space="0" w:color="auto"/>
        <w:right w:val="none" w:sz="0" w:space="0" w:color="auto"/>
      </w:divBdr>
    </w:div>
    <w:div w:id="1155876871">
      <w:bodyDiv w:val="1"/>
      <w:marLeft w:val="0"/>
      <w:marRight w:val="0"/>
      <w:marTop w:val="0"/>
      <w:marBottom w:val="0"/>
      <w:divBdr>
        <w:top w:val="none" w:sz="0" w:space="0" w:color="auto"/>
        <w:left w:val="none" w:sz="0" w:space="0" w:color="auto"/>
        <w:bottom w:val="none" w:sz="0" w:space="0" w:color="auto"/>
        <w:right w:val="none" w:sz="0" w:space="0" w:color="auto"/>
      </w:divBdr>
    </w:div>
    <w:div w:id="1250624290">
      <w:bodyDiv w:val="1"/>
      <w:marLeft w:val="0"/>
      <w:marRight w:val="0"/>
      <w:marTop w:val="0"/>
      <w:marBottom w:val="0"/>
      <w:divBdr>
        <w:top w:val="none" w:sz="0" w:space="0" w:color="auto"/>
        <w:left w:val="none" w:sz="0" w:space="0" w:color="auto"/>
        <w:bottom w:val="none" w:sz="0" w:space="0" w:color="auto"/>
        <w:right w:val="none" w:sz="0" w:space="0" w:color="auto"/>
      </w:divBdr>
    </w:div>
    <w:div w:id="1303922428">
      <w:bodyDiv w:val="1"/>
      <w:marLeft w:val="0"/>
      <w:marRight w:val="0"/>
      <w:marTop w:val="0"/>
      <w:marBottom w:val="0"/>
      <w:divBdr>
        <w:top w:val="none" w:sz="0" w:space="0" w:color="auto"/>
        <w:left w:val="none" w:sz="0" w:space="0" w:color="auto"/>
        <w:bottom w:val="none" w:sz="0" w:space="0" w:color="auto"/>
        <w:right w:val="none" w:sz="0" w:space="0" w:color="auto"/>
      </w:divBdr>
    </w:div>
    <w:div w:id="1348092247">
      <w:bodyDiv w:val="1"/>
      <w:marLeft w:val="0"/>
      <w:marRight w:val="0"/>
      <w:marTop w:val="0"/>
      <w:marBottom w:val="0"/>
      <w:divBdr>
        <w:top w:val="none" w:sz="0" w:space="0" w:color="auto"/>
        <w:left w:val="none" w:sz="0" w:space="0" w:color="auto"/>
        <w:bottom w:val="none" w:sz="0" w:space="0" w:color="auto"/>
        <w:right w:val="none" w:sz="0" w:space="0" w:color="auto"/>
      </w:divBdr>
    </w:div>
    <w:div w:id="1360625504">
      <w:bodyDiv w:val="1"/>
      <w:marLeft w:val="0"/>
      <w:marRight w:val="0"/>
      <w:marTop w:val="0"/>
      <w:marBottom w:val="0"/>
      <w:divBdr>
        <w:top w:val="none" w:sz="0" w:space="0" w:color="auto"/>
        <w:left w:val="none" w:sz="0" w:space="0" w:color="auto"/>
        <w:bottom w:val="none" w:sz="0" w:space="0" w:color="auto"/>
        <w:right w:val="none" w:sz="0" w:space="0" w:color="auto"/>
      </w:divBdr>
    </w:div>
    <w:div w:id="1525900135">
      <w:bodyDiv w:val="1"/>
      <w:marLeft w:val="0"/>
      <w:marRight w:val="0"/>
      <w:marTop w:val="0"/>
      <w:marBottom w:val="0"/>
      <w:divBdr>
        <w:top w:val="none" w:sz="0" w:space="0" w:color="auto"/>
        <w:left w:val="none" w:sz="0" w:space="0" w:color="auto"/>
        <w:bottom w:val="none" w:sz="0" w:space="0" w:color="auto"/>
        <w:right w:val="none" w:sz="0" w:space="0" w:color="auto"/>
      </w:divBdr>
    </w:div>
    <w:div w:id="1533615220">
      <w:bodyDiv w:val="1"/>
      <w:marLeft w:val="0"/>
      <w:marRight w:val="0"/>
      <w:marTop w:val="0"/>
      <w:marBottom w:val="0"/>
      <w:divBdr>
        <w:top w:val="none" w:sz="0" w:space="0" w:color="auto"/>
        <w:left w:val="none" w:sz="0" w:space="0" w:color="auto"/>
        <w:bottom w:val="none" w:sz="0" w:space="0" w:color="auto"/>
        <w:right w:val="none" w:sz="0" w:space="0" w:color="auto"/>
      </w:divBdr>
    </w:div>
    <w:div w:id="1576667950">
      <w:bodyDiv w:val="1"/>
      <w:marLeft w:val="0"/>
      <w:marRight w:val="0"/>
      <w:marTop w:val="0"/>
      <w:marBottom w:val="0"/>
      <w:divBdr>
        <w:top w:val="none" w:sz="0" w:space="0" w:color="auto"/>
        <w:left w:val="none" w:sz="0" w:space="0" w:color="auto"/>
        <w:bottom w:val="none" w:sz="0" w:space="0" w:color="auto"/>
        <w:right w:val="none" w:sz="0" w:space="0" w:color="auto"/>
      </w:divBdr>
    </w:div>
    <w:div w:id="1577592693">
      <w:bodyDiv w:val="1"/>
      <w:marLeft w:val="0"/>
      <w:marRight w:val="0"/>
      <w:marTop w:val="0"/>
      <w:marBottom w:val="0"/>
      <w:divBdr>
        <w:top w:val="none" w:sz="0" w:space="0" w:color="auto"/>
        <w:left w:val="none" w:sz="0" w:space="0" w:color="auto"/>
        <w:bottom w:val="none" w:sz="0" w:space="0" w:color="auto"/>
        <w:right w:val="none" w:sz="0" w:space="0" w:color="auto"/>
      </w:divBdr>
    </w:div>
    <w:div w:id="1605528831">
      <w:bodyDiv w:val="1"/>
      <w:marLeft w:val="0"/>
      <w:marRight w:val="0"/>
      <w:marTop w:val="0"/>
      <w:marBottom w:val="0"/>
      <w:divBdr>
        <w:top w:val="none" w:sz="0" w:space="0" w:color="auto"/>
        <w:left w:val="none" w:sz="0" w:space="0" w:color="auto"/>
        <w:bottom w:val="none" w:sz="0" w:space="0" w:color="auto"/>
        <w:right w:val="none" w:sz="0" w:space="0" w:color="auto"/>
      </w:divBdr>
    </w:div>
    <w:div w:id="1607080244">
      <w:bodyDiv w:val="1"/>
      <w:marLeft w:val="0"/>
      <w:marRight w:val="0"/>
      <w:marTop w:val="0"/>
      <w:marBottom w:val="0"/>
      <w:divBdr>
        <w:top w:val="none" w:sz="0" w:space="0" w:color="auto"/>
        <w:left w:val="none" w:sz="0" w:space="0" w:color="auto"/>
        <w:bottom w:val="none" w:sz="0" w:space="0" w:color="auto"/>
        <w:right w:val="none" w:sz="0" w:space="0" w:color="auto"/>
      </w:divBdr>
    </w:div>
    <w:div w:id="1632520278">
      <w:bodyDiv w:val="1"/>
      <w:marLeft w:val="0"/>
      <w:marRight w:val="0"/>
      <w:marTop w:val="0"/>
      <w:marBottom w:val="0"/>
      <w:divBdr>
        <w:top w:val="none" w:sz="0" w:space="0" w:color="auto"/>
        <w:left w:val="none" w:sz="0" w:space="0" w:color="auto"/>
        <w:bottom w:val="none" w:sz="0" w:space="0" w:color="auto"/>
        <w:right w:val="none" w:sz="0" w:space="0" w:color="auto"/>
      </w:divBdr>
    </w:div>
    <w:div w:id="1672414731">
      <w:bodyDiv w:val="1"/>
      <w:marLeft w:val="0"/>
      <w:marRight w:val="0"/>
      <w:marTop w:val="0"/>
      <w:marBottom w:val="0"/>
      <w:divBdr>
        <w:top w:val="none" w:sz="0" w:space="0" w:color="auto"/>
        <w:left w:val="none" w:sz="0" w:space="0" w:color="auto"/>
        <w:bottom w:val="none" w:sz="0" w:space="0" w:color="auto"/>
        <w:right w:val="none" w:sz="0" w:space="0" w:color="auto"/>
      </w:divBdr>
    </w:div>
    <w:div w:id="1697196542">
      <w:bodyDiv w:val="1"/>
      <w:marLeft w:val="0"/>
      <w:marRight w:val="0"/>
      <w:marTop w:val="0"/>
      <w:marBottom w:val="0"/>
      <w:divBdr>
        <w:top w:val="none" w:sz="0" w:space="0" w:color="auto"/>
        <w:left w:val="none" w:sz="0" w:space="0" w:color="auto"/>
        <w:bottom w:val="none" w:sz="0" w:space="0" w:color="auto"/>
        <w:right w:val="none" w:sz="0" w:space="0" w:color="auto"/>
      </w:divBdr>
    </w:div>
    <w:div w:id="1729962819">
      <w:bodyDiv w:val="1"/>
      <w:marLeft w:val="0"/>
      <w:marRight w:val="0"/>
      <w:marTop w:val="0"/>
      <w:marBottom w:val="0"/>
      <w:divBdr>
        <w:top w:val="none" w:sz="0" w:space="0" w:color="auto"/>
        <w:left w:val="none" w:sz="0" w:space="0" w:color="auto"/>
        <w:bottom w:val="none" w:sz="0" w:space="0" w:color="auto"/>
        <w:right w:val="none" w:sz="0" w:space="0" w:color="auto"/>
      </w:divBdr>
    </w:div>
    <w:div w:id="1883440677">
      <w:bodyDiv w:val="1"/>
      <w:marLeft w:val="0"/>
      <w:marRight w:val="0"/>
      <w:marTop w:val="0"/>
      <w:marBottom w:val="0"/>
      <w:divBdr>
        <w:top w:val="none" w:sz="0" w:space="0" w:color="auto"/>
        <w:left w:val="none" w:sz="0" w:space="0" w:color="auto"/>
        <w:bottom w:val="none" w:sz="0" w:space="0" w:color="auto"/>
        <w:right w:val="none" w:sz="0" w:space="0" w:color="auto"/>
      </w:divBdr>
    </w:div>
    <w:div w:id="1938908483">
      <w:bodyDiv w:val="1"/>
      <w:marLeft w:val="0"/>
      <w:marRight w:val="0"/>
      <w:marTop w:val="0"/>
      <w:marBottom w:val="0"/>
      <w:divBdr>
        <w:top w:val="none" w:sz="0" w:space="0" w:color="auto"/>
        <w:left w:val="none" w:sz="0" w:space="0" w:color="auto"/>
        <w:bottom w:val="none" w:sz="0" w:space="0" w:color="auto"/>
        <w:right w:val="none" w:sz="0" w:space="0" w:color="auto"/>
      </w:divBdr>
    </w:div>
    <w:div w:id="2066447229">
      <w:bodyDiv w:val="1"/>
      <w:marLeft w:val="0"/>
      <w:marRight w:val="0"/>
      <w:marTop w:val="0"/>
      <w:marBottom w:val="0"/>
      <w:divBdr>
        <w:top w:val="none" w:sz="0" w:space="0" w:color="auto"/>
        <w:left w:val="none" w:sz="0" w:space="0" w:color="auto"/>
        <w:bottom w:val="none" w:sz="0" w:space="0" w:color="auto"/>
        <w:right w:val="none" w:sz="0" w:space="0" w:color="auto"/>
      </w:divBdr>
    </w:div>
    <w:div w:id="214342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Book</b:SourceType>
    <b:Guid>{A366D524-1776-EB4B-82C7-0EC039150E34}</b:Guid>
    <b:Author>
      <b:Author>
        <b:NameList>
          <b:Person>
            <b:Last>Kannan</b:Last>
            <b:First>Prashant</b:First>
          </b:Person>
        </b:NameList>
      </b:Author>
    </b:Author>
    <b:Title>Oracle Database PL/SQL Packages and Types Reference, 12c Release 1 (12.1) </b:Title>
    <b:Publisher> Oracle and/or its affiliates</b:Publisher>
    <b:Year>2016</b:Year>
    <b:RefOrder>1</b:RefOrder>
  </b:Source>
</b:Sources>
</file>

<file path=customXml/itemProps1.xml><?xml version="1.0" encoding="utf-8"?>
<ds:datastoreItem xmlns:ds="http://schemas.openxmlformats.org/officeDocument/2006/customXml" ds:itemID="{0081AD2F-9BF1-164D-BF1C-068878C0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1251</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Javier Fuentes Mora</dc:creator>
  <cp:keywords/>
  <dc:description/>
  <cp:lastModifiedBy>Roberto Javier Fuentes Mora</cp:lastModifiedBy>
  <cp:revision>13</cp:revision>
  <dcterms:created xsi:type="dcterms:W3CDTF">2018-04-30T12:48:00Z</dcterms:created>
  <dcterms:modified xsi:type="dcterms:W3CDTF">2018-05-10T23:37:00Z</dcterms:modified>
</cp:coreProperties>
</file>