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Capa intermedia de servicio Web (Rest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INSTRUCCIONES: En todos los casos se solicita capturas de pantalla del tráfico de “Red” visto desde la barra de “Herramientas para desarrolladores” y de la aplicación en ejecución.</w:t>
      </w:r>
    </w:p>
    <w:p w:rsidR="00000000" w:rsidDel="00000000" w:rsidP="00000000" w:rsidRDefault="00000000" w:rsidRPr="00000000" w14:paraId="0000000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backend\product\&lt;id&gt;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  <w:t xml:space="preserve">Método: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GET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backend\products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  <w:t xml:space="preserve">Método: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GET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backend\products\&lt;search&gt;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  <w:t xml:space="preserve">Método: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GET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backend\product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  <w:t xml:space="preserve">Método: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POST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backend\product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  <w:t xml:space="preserve">Método: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PUT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backend\product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  <w:t xml:space="preserve">Método: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DELETE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M.C. Juan Carlos Conde Ramírez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jc w:val="right"/>
      <w:rPr>
        <w:color w:val="666666"/>
      </w:rPr>
    </w:pPr>
    <w:r w:rsidDel="00000000" w:rsidR="00000000" w:rsidRPr="00000000">
      <w:rPr>
        <w:color w:val="666666"/>
        <w:rtl w:val="0"/>
      </w:rPr>
      <w:t xml:space="preserve">Tecnologías Web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