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DTitle"/>
        <w:jc w:val="center"/>
      </w:pPr>
      <w:r>
        <w:t>MANUAL DE USO Y MATRIZ DE CONSENTIMIENTOS INFORMADOS</w:t>
      </w:r>
    </w:p>
    <w:p>
      <w:pPr>
        <w:pStyle w:val="DDSubtitle"/>
        <w:jc w:val="center"/>
      </w:pPr>
      <w:r>
        <w:t>Paquete documental Digital Dent - Chile | Versión 1.0</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Propósito: </w:t>
            </w:r>
            <w:r>
              <w:rPr>
                <w:color w:val="2B3136"/>
                <w:sz w:val="16"/>
              </w:rPr>
              <w:t>Este manual ordena el uso de los formatos de consentimiento informado y las constancias asociadas. Debe ser conocido por el equipo clínico, administrativo y por quien administre la ficha clínica electrónica.</w:t>
            </w:r>
          </w:p>
        </w:tc>
      </w:tr>
    </w:tbl>
    <w:p>
      <w:pPr>
        <w:spacing w:after="20"/>
      </w:pPr>
    </w:p>
    <w:p>
      <w:pPr>
        <w:pStyle w:val="DDHeading1"/>
        <w:keepNext/>
      </w:pPr>
      <w:r>
        <w:t>1. Marco de aplicación y criterios de uso</w:t>
      </w:r>
    </w:p>
    <w:p>
      <w:pPr>
        <w:spacing w:after="50"/>
        <w:ind w:left="230" w:hanging="187"/>
        <w:keepLines/>
      </w:pPr>
      <w:r>
        <w:rPr>
          <w:b/>
        </w:rPr>
        <w:t xml:space="preserve">• </w:t>
      </w:r>
      <w:r>
        <w:t>La Ley N.º 20.584 exige que la decisión de la persona para someterse a un procedimiento o tratamiento sea libre, voluntaria, expresa e informada. La información debe ser adecuada, suficiente y comprensible.</w:t>
      </w:r>
    </w:p>
    <w:p>
      <w:pPr>
        <w:spacing w:after="50"/>
        <w:ind w:left="230" w:hanging="187"/>
        <w:keepLines/>
      </w:pPr>
      <w:r>
        <w:rPr>
          <w:b/>
        </w:rPr>
        <w:t xml:space="preserve">• </w:t>
      </w:r>
      <w:r>
        <w:t>La constancia escrita es especialmente necesaria en intervenciones quirúrgicas, procedimientos diagnósticos o terapéuticos invasivos y en aquellos que conllevan un riesgo relevante y conocido para la salud.</w:t>
      </w:r>
    </w:p>
    <w:p>
      <w:pPr>
        <w:spacing w:after="50"/>
        <w:ind w:left="230" w:hanging="187"/>
        <w:keepLines/>
      </w:pPr>
      <w:r>
        <w:rPr>
          <w:b/>
        </w:rPr>
        <w:t xml:space="preserve">• </w:t>
      </w:r>
      <w:r>
        <w:t>El consentimiento es un proceso de comunicación clínica. Una firma sin explicación, sin identificación del procedimiento o sin oportunidad real para preguntar no reemplaza la información individualizada.</w:t>
      </w:r>
    </w:p>
    <w:p>
      <w:pPr>
        <w:spacing w:after="50"/>
        <w:ind w:left="230" w:hanging="187"/>
        <w:keepLines/>
      </w:pPr>
      <w:r>
        <w:rPr>
          <w:b/>
        </w:rPr>
        <w:t xml:space="preserve">• </w:t>
      </w:r>
      <w:r>
        <w:t>La ficha clínica y los documentos que la integran son confidenciales. Deben conservarse al menos 15 años desde el último ingreso de información y estar disponibles para las personas legalmente habilitadas.</w:t>
      </w:r>
    </w:p>
    <w:p>
      <w:pPr>
        <w:spacing w:after="50"/>
        <w:ind w:left="230" w:hanging="187"/>
        <w:keepLines/>
      </w:pPr>
      <w:r>
        <w:rPr>
          <w:b/>
        </w:rPr>
        <w:t xml:space="preserve">• </w:t>
      </w:r>
      <w:r>
        <w:t>El paciente puede aceptar, rechazar o revocar su decisión en los términos que correspondan. El consentimiento no es una renuncia de derechos ni una cláusula de exención de responsabilidad.</w:t>
      </w:r>
    </w:p>
    <w:p>
      <w:pPr>
        <w:pStyle w:val="DDHeading1"/>
        <w:keepNext/>
      </w:pPr>
      <w:r>
        <w:t>2. Instrucciones operativas obligatorias</w:t>
      </w:r>
    </w:p>
    <w:p>
      <w:pPr>
        <w:spacing w:after="32"/>
        <w:ind w:left="101" w:hanging="14"/>
        <w:keepLines/>
      </w:pPr>
      <w:r>
        <w:rPr>
          <w:b/>
        </w:rPr>
        <w:t xml:space="preserve">[ ] </w:t>
      </w:r>
      <w:r>
        <w:t>Completar la identificación del paciente, representante si corresponde, fecha/hora, ficha clínica, profesional tratante y procedimiento individual antes de solicitar firma.</w:t>
      </w:r>
    </w:p>
    <w:p>
      <w:pPr>
        <w:spacing w:after="32"/>
        <w:ind w:left="101" w:hanging="14"/>
        <w:keepLines/>
      </w:pPr>
      <w:r>
        <w:rPr>
          <w:b/>
        </w:rPr>
        <w:t xml:space="preserve">[ ] </w:t>
      </w:r>
      <w:r>
        <w:t>Explicar verbalmente en lenguaje claro el diagnóstico, objetivo, procedimiento, alternativas -incluida la alternativa de no tratar-, riesgos, pronóstico, cuidados posteriores y costos previsibles.</w:t>
      </w:r>
    </w:p>
    <w:p>
      <w:pPr>
        <w:spacing w:after="32"/>
        <w:ind w:left="101" w:hanging="14"/>
        <w:keepLines/>
      </w:pPr>
      <w:r>
        <w:rPr>
          <w:b/>
        </w:rPr>
        <w:t xml:space="preserve">[ ] </w:t>
      </w:r>
      <w:r>
        <w:t>Completar los campos de individualización clínica: piezas dentarias, técnica, materiales, dispositivos, exámenes y riesgos particulares. No dejar casillas genéricas cuando se conozca la especificidad del caso.</w:t>
      </w:r>
    </w:p>
    <w:p>
      <w:pPr>
        <w:spacing w:after="32"/>
        <w:ind w:left="101" w:hanging="14"/>
        <w:keepLines/>
      </w:pPr>
      <w:r>
        <w:rPr>
          <w:b/>
        </w:rPr>
        <w:t xml:space="preserve">[ ] </w:t>
      </w:r>
      <w:r>
        <w:t>Entregar el presupuesto/plan de tratamiento por separado y dejar constancia del número o identificador. Si cambia el plan de forma relevante, actualizar el consentimiento o generar uno complementario.</w:t>
      </w:r>
    </w:p>
    <w:p>
      <w:pPr>
        <w:spacing w:after="32"/>
        <w:ind w:left="101" w:hanging="14"/>
        <w:keepLines/>
      </w:pPr>
      <w:r>
        <w:rPr>
          <w:b/>
        </w:rPr>
        <w:t xml:space="preserve">[ ] </w:t>
      </w:r>
      <w:r>
        <w:t>Dejar espacio real para preguntas. No utilizar casillas marcadas previamente. La persona debe manifestar su voluntad antes de iniciar el procedimiento, salvo la excepción legal aplicable.</w:t>
      </w:r>
    </w:p>
    <w:p>
      <w:pPr>
        <w:spacing w:after="32"/>
        <w:ind w:left="101" w:hanging="14"/>
        <w:keepLines/>
      </w:pPr>
      <w:r>
        <w:rPr>
          <w:b/>
        </w:rPr>
        <w:t xml:space="preserve">[ ] </w:t>
      </w:r>
      <w:r>
        <w:t>Agregar el consentimiento firmado -manuscrito o electrónico con trazabilidad- a la ficha clínica y registrar en la evolución la explicación entregada, preguntas relevantes y decisión del paciente.</w:t>
      </w:r>
    </w:p>
    <w:p>
      <w:pPr>
        <w:spacing w:after="32"/>
        <w:ind w:left="101" w:hanging="14"/>
        <w:keepLines/>
      </w:pPr>
      <w:r>
        <w:rPr>
          <w:b/>
        </w:rPr>
        <w:t xml:space="preserve">[ ] </w:t>
      </w:r>
      <w:r>
        <w:t>Para menores de edad o personas que no puedan expresar válidamente su voluntad, identificar y acreditar al representante cuando corresponda. Escuchar e informar al niño, niña o adolescente en forma adaptada a su edad y madurez.</w:t>
      </w:r>
    </w:p>
    <w:p>
      <w:pPr>
        <w:spacing w:after="32"/>
        <w:ind w:left="101" w:hanging="14"/>
        <w:keepLines/>
      </w:pPr>
      <w:r>
        <w:rPr>
          <w:b/>
        </w:rPr>
        <w:t xml:space="preserve">[ ] </w:t>
      </w:r>
      <w:r>
        <w:t>Para fotografías, videos, casos clínicos o fines publicitarios, usar exclusivamente el formato DD-CI-12 y obtener autorización específica, escrita y opcional. Nunca condicionar la atención a la autorización de uso publicitario.</w:t>
      </w:r>
    </w:p>
    <w:p>
      <w:pPr>
        <w:pStyle w:val="DDHeading1"/>
        <w:keepNext/>
      </w:pPr>
      <w:r>
        <w:t>3. Firma electrónica y carga en ficha clínica</w:t>
      </w:r>
    </w:p>
    <w:p>
      <w:pPr>
        <w:spacing w:after="50"/>
        <w:ind w:left="230" w:hanging="187"/>
        <w:keepLines/>
      </w:pPr>
      <w:r>
        <w:rPr>
          <w:b/>
        </w:rPr>
        <w:t xml:space="preserve">• </w:t>
      </w:r>
      <w:r>
        <w:t>La plataforma debe permitir identificar a quien firma, asegurar la integridad del documento, registrar fecha y hora, y conservar el identificador de transacción y método de autenticación.</w:t>
      </w:r>
    </w:p>
    <w:p>
      <w:pPr>
        <w:spacing w:after="50"/>
        <w:ind w:left="230" w:hanging="187"/>
        <w:keepLines/>
      </w:pPr>
      <w:r>
        <w:rPr>
          <w:b/>
        </w:rPr>
        <w:t xml:space="preserve">• </w:t>
      </w:r>
      <w:r>
        <w:t>Cuando exista firma electrónica, conservar el PDF/documento final, evidencia de autenticación, sello de tiempo y versión exacta del texto firmado. No sobrescribir el documento original firmado.</w:t>
      </w:r>
    </w:p>
    <w:p>
      <w:pPr>
        <w:spacing w:after="50"/>
        <w:ind w:left="230" w:hanging="187"/>
        <w:keepLines/>
      </w:pPr>
      <w:r>
        <w:rPr>
          <w:b/>
        </w:rPr>
        <w:t xml:space="preserve">• </w:t>
      </w:r>
      <w:r>
        <w:t>Los campos sugeridos se presentan entre dobles llaves, por ejemplo {{PACIENTE_NOMBRE_COMPLETO}}. Pueden mapearse a una ficha electrónica o sustituirse manualmente antes de imprimir.</w:t>
      </w:r>
    </w:p>
    <w:p>
      <w:pPr>
        <w:spacing w:after="50"/>
        <w:ind w:left="230" w:hanging="187"/>
        <w:keepLines/>
      </w:pPr>
      <w:r>
        <w:rPr>
          <w:b/>
        </w:rPr>
        <w:t xml:space="preserve">• </w:t>
      </w:r>
      <w:r>
        <w:t>La atención de salud digital o teleorientación requiere su propio consentimiento cuando corresponda. Para procedimientos presenciales invasivos no debe reemplazarse la evaluación clínica necesaria por una teleorientación.</w:t>
      </w:r>
    </w:p>
    <w:p>
      <w:pPr>
        <w:pStyle w:val="DDHeading1"/>
        <w:keepNext/>
      </w:pPr>
      <w:r>
        <w:t>4. Matriz de uso</w:t>
      </w:r>
    </w:p>
    <w:tbl>
      <w:tblPr>
        <w:tblW w:type="auto" w:w="0"/>
        <w:jc w:val="center"/>
        <w:tblLayout w:type="fixed"/>
        <w:tblLook w:firstColumn="1" w:firstRow="1" w:lastColumn="0" w:lastRow="0" w:noHBand="0" w:noVBand="1" w:val="04A0"/>
      </w:tblPr>
      <w:tblGrid>
        <w:gridCol w:w="1512"/>
        <w:gridCol w:w="3600"/>
        <w:gridCol w:w="5040"/>
      </w:tblGrid>
      <w:tr>
        <w:trPr>
          <w:tblHeader w:val="true"/>
        </w:trPr>
        <w:tc>
          <w:tcPr>
            <w:tcW w:type="dxa" w:w="3456"/>
            <w:tcBorders>
              <w:top w:val="single" w:sz="5" w:color="D9DEE2"/>
              <w:left w:val="single" w:sz="5" w:color="D9DEE2"/>
              <w:bottom w:val="single" w:sz="5" w:color="D9DEE2"/>
              <w:right w:val="single" w:sz="5" w:color="D9DEE2"/>
            </w:tcBorders>
            <w:shd w:fill="1F2428"/>
            <w:tcMar>
              <w:top w:w="65" w:type="dxa"/>
              <w:start w:w="70" w:type="dxa"/>
              <w:bottom w:w="65" w:type="dxa"/>
              <w:end w:w="70" w:type="dxa"/>
            </w:tcMar>
          </w:tcPr>
          <w:p>
            <w:pPr>
              <w:spacing w:after="0"/>
            </w:pPr>
            <w:r>
              <w:rPr>
                <w:b/>
                <w:color w:val="FFFFFF"/>
                <w:sz w:val="16"/>
              </w:rPr>
              <w:t>Código</w:t>
            </w:r>
          </w:p>
        </w:tc>
        <w:tc>
          <w:tcPr>
            <w:tcW w:type="dxa" w:w="3456"/>
            <w:tcBorders>
              <w:top w:val="single" w:sz="5" w:color="D9DEE2"/>
              <w:left w:val="single" w:sz="5" w:color="D9DEE2"/>
              <w:bottom w:val="single" w:sz="5" w:color="D9DEE2"/>
              <w:right w:val="single" w:sz="5" w:color="D9DEE2"/>
            </w:tcBorders>
            <w:shd w:fill="1F2428"/>
            <w:tcMar>
              <w:top w:w="65" w:type="dxa"/>
              <w:start w:w="70" w:type="dxa"/>
              <w:bottom w:w="65" w:type="dxa"/>
              <w:end w:w="70" w:type="dxa"/>
            </w:tcMar>
          </w:tcPr>
          <w:p>
            <w:pPr>
              <w:spacing w:after="0"/>
            </w:pPr>
            <w:r>
              <w:rPr>
                <w:b/>
                <w:color w:val="FFFFFF"/>
                <w:sz w:val="16"/>
              </w:rPr>
              <w:t>Formato</w:t>
            </w:r>
          </w:p>
        </w:tc>
        <w:tc>
          <w:tcPr>
            <w:tcW w:type="dxa" w:w="3456"/>
            <w:tcBorders>
              <w:top w:val="single" w:sz="5" w:color="D9DEE2"/>
              <w:left w:val="single" w:sz="5" w:color="D9DEE2"/>
              <w:bottom w:val="single" w:sz="5" w:color="D9DEE2"/>
              <w:right w:val="single" w:sz="5" w:color="D9DEE2"/>
            </w:tcBorders>
            <w:shd w:fill="1F2428"/>
            <w:tcMar>
              <w:top w:w="65" w:type="dxa"/>
              <w:start w:w="70" w:type="dxa"/>
              <w:bottom w:w="65" w:type="dxa"/>
              <w:end w:w="70" w:type="dxa"/>
            </w:tcMar>
          </w:tcPr>
          <w:p>
            <w:pPr>
              <w:spacing w:after="0"/>
            </w:pPr>
            <w:r>
              <w:rPr>
                <w:b/>
                <w:color w:val="FFFFFF"/>
                <w:sz w:val="16"/>
              </w:rPr>
              <w:t>Cuándo usar</w:t>
            </w:r>
          </w:p>
        </w:tc>
      </w:tr>
      <w:tr>
        <w:trPr>
          <w:cantSplit/>
        </w:trPr>
        <w:tc>
          <w:tcPr>
            <w:tcW w:type="dxa" w:w="1512"/>
            <w:tcMar>
              <w:top w:w="58" w:type="dxa"/>
              <w:start w:w="70" w:type="dxa"/>
              <w:bottom w:w="58" w:type="dxa"/>
              <w:end w:w="70" w:type="dxa"/>
            </w:tcMar>
            <w:shd w:fill="F2F3F4"/>
          </w:tcPr>
          <w:p>
            <w:pPr>
              <w:spacing w:after="0"/>
            </w:pPr>
            <w:r>
              <w:rPr>
                <w:b/>
                <w:sz w:val="16"/>
              </w:rPr>
              <w:t>DD-CI-01</w:t>
            </w:r>
          </w:p>
        </w:tc>
        <w:tc>
          <w:tcPr>
            <w:tcW w:type="dxa" w:w="3600"/>
            <w:tcMar>
              <w:top w:w="58" w:type="dxa"/>
              <w:start w:w="70" w:type="dxa"/>
              <w:bottom w:w="58" w:type="dxa"/>
              <w:end w:w="70" w:type="dxa"/>
            </w:tcMar>
            <w:shd w:fill="F2F3F4"/>
          </w:tcPr>
          <w:p>
            <w:pPr>
              <w:spacing w:after="0"/>
            </w:pPr>
            <w:r>
              <w:rPr>
                <w:sz w:val="16"/>
              </w:rPr>
              <w:t>Atención general, ficha clínica y datos</w:t>
            </w:r>
          </w:p>
        </w:tc>
        <w:tc>
          <w:tcPr>
            <w:tcW w:type="dxa" w:w="5040"/>
            <w:tcMar>
              <w:top w:w="58" w:type="dxa"/>
              <w:start w:w="70" w:type="dxa"/>
              <w:bottom w:w="58" w:type="dxa"/>
              <w:end w:w="70" w:type="dxa"/>
            </w:tcMar>
            <w:shd w:fill="F2F3F4"/>
          </w:tcPr>
          <w:p>
            <w:pPr>
              <w:spacing w:after="0"/>
            </w:pPr>
            <w:r>
              <w:rPr>
                <w:sz w:val="15"/>
              </w:rPr>
              <w:t>Primera atención y actualización de datos. No sustituye consentimiento específico.</w:t>
            </w:r>
          </w:p>
        </w:tc>
      </w:tr>
      <w:tr>
        <w:trPr>
          <w:cantSplit/>
        </w:trPr>
        <w:tc>
          <w:tcPr>
            <w:tcW w:type="dxa" w:w="1512"/>
            <w:tcMar>
              <w:top w:w="58" w:type="dxa"/>
              <w:start w:w="70" w:type="dxa"/>
              <w:bottom w:w="58" w:type="dxa"/>
              <w:end w:w="70" w:type="dxa"/>
            </w:tcMar>
            <w:shd w:fill="FFFFFF"/>
          </w:tcPr>
          <w:p>
            <w:pPr>
              <w:spacing w:after="0"/>
            </w:pPr>
            <w:r>
              <w:rPr>
                <w:b/>
                <w:sz w:val="16"/>
              </w:rPr>
              <w:t>DD-CI-02</w:t>
            </w:r>
          </w:p>
        </w:tc>
        <w:tc>
          <w:tcPr>
            <w:tcW w:type="dxa" w:w="3600"/>
            <w:tcMar>
              <w:top w:w="58" w:type="dxa"/>
              <w:start w:w="70" w:type="dxa"/>
              <w:bottom w:w="58" w:type="dxa"/>
              <w:end w:w="70" w:type="dxa"/>
            </w:tcMar>
            <w:shd w:fill="FFFFFF"/>
          </w:tcPr>
          <w:p>
            <w:pPr>
              <w:spacing w:after="0"/>
            </w:pPr>
            <w:r>
              <w:rPr>
                <w:sz w:val="16"/>
              </w:rPr>
              <w:t>Diagnóstico e imagenología digital</w:t>
            </w:r>
          </w:p>
        </w:tc>
        <w:tc>
          <w:tcPr>
            <w:tcW w:type="dxa" w:w="5040"/>
            <w:tcMar>
              <w:top w:w="58" w:type="dxa"/>
              <w:start w:w="70" w:type="dxa"/>
              <w:bottom w:w="58" w:type="dxa"/>
              <w:end w:w="70" w:type="dxa"/>
            </w:tcMar>
            <w:shd w:fill="FFFFFF"/>
          </w:tcPr>
          <w:p>
            <w:pPr>
              <w:spacing w:after="0"/>
            </w:pPr>
            <w:r>
              <w:rPr>
                <w:sz w:val="15"/>
              </w:rPr>
              <w:t>Radiografías intra/extraorales, escáner intraoral y planificación digital. Para CBCT externo, coordinar con consentimiento del centro proveedor.</w:t>
            </w:r>
          </w:p>
        </w:tc>
      </w:tr>
      <w:tr>
        <w:trPr>
          <w:cantSplit/>
        </w:trPr>
        <w:tc>
          <w:tcPr>
            <w:tcW w:type="dxa" w:w="1512"/>
            <w:tcMar>
              <w:top w:w="58" w:type="dxa"/>
              <w:start w:w="70" w:type="dxa"/>
              <w:bottom w:w="58" w:type="dxa"/>
              <w:end w:w="70" w:type="dxa"/>
            </w:tcMar>
            <w:shd w:fill="F2F3F4"/>
          </w:tcPr>
          <w:p>
            <w:pPr>
              <w:spacing w:after="0"/>
            </w:pPr>
            <w:r>
              <w:rPr>
                <w:b/>
                <w:sz w:val="16"/>
              </w:rPr>
              <w:t>DD-CI-03</w:t>
            </w:r>
          </w:p>
        </w:tc>
        <w:tc>
          <w:tcPr>
            <w:tcW w:type="dxa" w:w="3600"/>
            <w:tcMar>
              <w:top w:w="58" w:type="dxa"/>
              <w:start w:w="70" w:type="dxa"/>
              <w:bottom w:w="58" w:type="dxa"/>
              <w:end w:w="70" w:type="dxa"/>
            </w:tcMar>
            <w:shd w:fill="F2F3F4"/>
          </w:tcPr>
          <w:p>
            <w:pPr>
              <w:spacing w:after="0"/>
            </w:pPr>
            <w:r>
              <w:rPr>
                <w:sz w:val="16"/>
              </w:rPr>
              <w:t>Anestesia local</w:t>
            </w:r>
          </w:p>
        </w:tc>
        <w:tc>
          <w:tcPr>
            <w:tcW w:type="dxa" w:w="5040"/>
            <w:tcMar>
              <w:top w:w="58" w:type="dxa"/>
              <w:start w:w="70" w:type="dxa"/>
              <w:bottom w:w="58" w:type="dxa"/>
              <w:end w:w="70" w:type="dxa"/>
            </w:tcMar>
            <w:shd w:fill="F2F3F4"/>
          </w:tcPr>
          <w:p>
            <w:pPr>
              <w:spacing w:after="0"/>
            </w:pPr>
            <w:r>
              <w:rPr>
                <w:sz w:val="15"/>
              </w:rPr>
              <w:t>Cuando se aplicará anestesia local o se prevea uso de vasoconstrictor.</w:t>
            </w:r>
          </w:p>
        </w:tc>
      </w:tr>
      <w:tr>
        <w:trPr>
          <w:cantSplit/>
        </w:trPr>
        <w:tc>
          <w:tcPr>
            <w:tcW w:type="dxa" w:w="1512"/>
            <w:tcMar>
              <w:top w:w="58" w:type="dxa"/>
              <w:start w:w="70" w:type="dxa"/>
              <w:bottom w:w="58" w:type="dxa"/>
              <w:end w:w="70" w:type="dxa"/>
            </w:tcMar>
            <w:shd w:fill="FFFFFF"/>
          </w:tcPr>
          <w:p>
            <w:pPr>
              <w:spacing w:after="0"/>
            </w:pPr>
            <w:r>
              <w:rPr>
                <w:b/>
                <w:sz w:val="16"/>
              </w:rPr>
              <w:t>DD-CI-04</w:t>
            </w:r>
          </w:p>
        </w:tc>
        <w:tc>
          <w:tcPr>
            <w:tcW w:type="dxa" w:w="3600"/>
            <w:tcMar>
              <w:top w:w="58" w:type="dxa"/>
              <w:start w:w="70" w:type="dxa"/>
              <w:bottom w:w="58" w:type="dxa"/>
              <w:end w:w="70" w:type="dxa"/>
            </w:tcMar>
            <w:shd w:fill="FFFFFF"/>
          </w:tcPr>
          <w:p>
            <w:pPr>
              <w:spacing w:after="0"/>
            </w:pPr>
            <w:r>
              <w:rPr>
                <w:sz w:val="16"/>
              </w:rPr>
              <w:t>Higiene y terapia periodontal</w:t>
            </w:r>
          </w:p>
        </w:tc>
        <w:tc>
          <w:tcPr>
            <w:tcW w:type="dxa" w:w="5040"/>
            <w:tcMar>
              <w:top w:w="58" w:type="dxa"/>
              <w:start w:w="70" w:type="dxa"/>
              <w:bottom w:w="58" w:type="dxa"/>
              <w:end w:w="70" w:type="dxa"/>
            </w:tcMar>
            <w:shd w:fill="FFFFFF"/>
          </w:tcPr>
          <w:p>
            <w:pPr>
              <w:spacing w:after="0"/>
            </w:pPr>
            <w:r>
              <w:rPr>
                <w:sz w:val="15"/>
              </w:rPr>
              <w:t>Profilaxis, destartraje supragingival/subgingival, raspado y alisado radicular.</w:t>
            </w:r>
          </w:p>
        </w:tc>
      </w:tr>
      <w:tr>
        <w:trPr>
          <w:cantSplit/>
        </w:trPr>
        <w:tc>
          <w:tcPr>
            <w:tcW w:type="dxa" w:w="1512"/>
            <w:tcMar>
              <w:top w:w="58" w:type="dxa"/>
              <w:start w:w="70" w:type="dxa"/>
              <w:bottom w:w="58" w:type="dxa"/>
              <w:end w:w="70" w:type="dxa"/>
            </w:tcMar>
            <w:shd w:fill="F2F3F4"/>
          </w:tcPr>
          <w:p>
            <w:pPr>
              <w:spacing w:after="0"/>
            </w:pPr>
            <w:r>
              <w:rPr>
                <w:b/>
                <w:sz w:val="16"/>
              </w:rPr>
              <w:t>DD-CI-05</w:t>
            </w:r>
          </w:p>
        </w:tc>
        <w:tc>
          <w:tcPr>
            <w:tcW w:type="dxa" w:w="3600"/>
            <w:tcMar>
              <w:top w:w="58" w:type="dxa"/>
              <w:start w:w="70" w:type="dxa"/>
              <w:bottom w:w="58" w:type="dxa"/>
              <w:end w:w="70" w:type="dxa"/>
            </w:tcMar>
            <w:shd w:fill="F2F3F4"/>
          </w:tcPr>
          <w:p>
            <w:pPr>
              <w:spacing w:after="0"/>
            </w:pPr>
            <w:r>
              <w:rPr>
                <w:sz w:val="16"/>
              </w:rPr>
              <w:t>Restauraciones dentales</w:t>
            </w:r>
          </w:p>
        </w:tc>
        <w:tc>
          <w:tcPr>
            <w:tcW w:type="dxa" w:w="5040"/>
            <w:tcMar>
              <w:top w:w="58" w:type="dxa"/>
              <w:start w:w="70" w:type="dxa"/>
              <w:bottom w:w="58" w:type="dxa"/>
              <w:end w:w="70" w:type="dxa"/>
            </w:tcMar>
            <w:shd w:fill="F2F3F4"/>
          </w:tcPr>
          <w:p>
            <w:pPr>
              <w:spacing w:after="0"/>
            </w:pPr>
            <w:r>
              <w:rPr>
                <w:sz w:val="15"/>
              </w:rPr>
              <w:t>Restauraciones directas/indirectas, manejo de caries y reconstrucciones.</w:t>
            </w:r>
          </w:p>
        </w:tc>
      </w:tr>
      <w:tr>
        <w:trPr>
          <w:cantSplit/>
        </w:trPr>
        <w:tc>
          <w:tcPr>
            <w:tcW w:type="dxa" w:w="1512"/>
            <w:tcMar>
              <w:top w:w="58" w:type="dxa"/>
              <w:start w:w="70" w:type="dxa"/>
              <w:bottom w:w="58" w:type="dxa"/>
              <w:end w:w="70" w:type="dxa"/>
            </w:tcMar>
            <w:shd w:fill="FFFFFF"/>
          </w:tcPr>
          <w:p>
            <w:pPr>
              <w:spacing w:after="0"/>
            </w:pPr>
            <w:r>
              <w:rPr>
                <w:b/>
                <w:sz w:val="16"/>
              </w:rPr>
              <w:t>DD-CI-06</w:t>
            </w:r>
          </w:p>
        </w:tc>
        <w:tc>
          <w:tcPr>
            <w:tcW w:type="dxa" w:w="3600"/>
            <w:tcMar>
              <w:top w:w="58" w:type="dxa"/>
              <w:start w:w="70" w:type="dxa"/>
              <w:bottom w:w="58" w:type="dxa"/>
              <w:end w:w="70" w:type="dxa"/>
            </w:tcMar>
            <w:shd w:fill="FFFFFF"/>
          </w:tcPr>
          <w:p>
            <w:pPr>
              <w:spacing w:after="0"/>
            </w:pPr>
            <w:r>
              <w:rPr>
                <w:sz w:val="16"/>
              </w:rPr>
              <w:t>Endodoncia</w:t>
            </w:r>
          </w:p>
        </w:tc>
        <w:tc>
          <w:tcPr>
            <w:tcW w:type="dxa" w:w="5040"/>
            <w:tcMar>
              <w:top w:w="58" w:type="dxa"/>
              <w:start w:w="70" w:type="dxa"/>
              <w:bottom w:w="58" w:type="dxa"/>
              <w:end w:w="70" w:type="dxa"/>
            </w:tcMar>
            <w:shd w:fill="FFFFFF"/>
          </w:tcPr>
          <w:p>
            <w:pPr>
              <w:spacing w:after="0"/>
            </w:pPr>
            <w:r>
              <w:rPr>
                <w:sz w:val="15"/>
              </w:rPr>
              <w:t>Tratamiento de conductos, retratamiento y procedimientos asociados.</w:t>
            </w:r>
          </w:p>
        </w:tc>
      </w:tr>
      <w:tr>
        <w:trPr>
          <w:cantSplit/>
        </w:trPr>
        <w:tc>
          <w:tcPr>
            <w:tcW w:type="dxa" w:w="1512"/>
            <w:tcMar>
              <w:top w:w="58" w:type="dxa"/>
              <w:start w:w="70" w:type="dxa"/>
              <w:bottom w:w="58" w:type="dxa"/>
              <w:end w:w="70" w:type="dxa"/>
            </w:tcMar>
            <w:shd w:fill="F2F3F4"/>
          </w:tcPr>
          <w:p>
            <w:pPr>
              <w:spacing w:after="0"/>
            </w:pPr>
            <w:r>
              <w:rPr>
                <w:b/>
                <w:sz w:val="16"/>
              </w:rPr>
              <w:t>DD-CI-07</w:t>
            </w:r>
          </w:p>
        </w:tc>
        <w:tc>
          <w:tcPr>
            <w:tcW w:type="dxa" w:w="3600"/>
            <w:tcMar>
              <w:top w:w="58" w:type="dxa"/>
              <w:start w:w="70" w:type="dxa"/>
              <w:bottom w:w="58" w:type="dxa"/>
              <w:end w:w="70" w:type="dxa"/>
            </w:tcMar>
            <w:shd w:fill="F2F3F4"/>
          </w:tcPr>
          <w:p>
            <w:pPr>
              <w:spacing w:after="0"/>
            </w:pPr>
            <w:r>
              <w:rPr>
                <w:sz w:val="16"/>
              </w:rPr>
              <w:t>Exodoncia y cirugía bucal menor</w:t>
            </w:r>
          </w:p>
        </w:tc>
        <w:tc>
          <w:tcPr>
            <w:tcW w:type="dxa" w:w="5040"/>
            <w:tcMar>
              <w:top w:w="58" w:type="dxa"/>
              <w:start w:w="70" w:type="dxa"/>
              <w:bottom w:w="58" w:type="dxa"/>
              <w:end w:w="70" w:type="dxa"/>
            </w:tcMar>
            <w:shd w:fill="F2F3F4"/>
          </w:tcPr>
          <w:p>
            <w:pPr>
              <w:spacing w:after="0"/>
            </w:pPr>
            <w:r>
              <w:rPr>
                <w:sz w:val="15"/>
              </w:rPr>
              <w:t>Extracciones simples/quirúrgicas, biopsia menor u otros procedimientos consignados.</w:t>
            </w:r>
          </w:p>
        </w:tc>
      </w:tr>
      <w:tr>
        <w:trPr>
          <w:cantSplit/>
        </w:trPr>
        <w:tc>
          <w:tcPr>
            <w:tcW w:type="dxa" w:w="1512"/>
            <w:tcMar>
              <w:top w:w="58" w:type="dxa"/>
              <w:start w:w="70" w:type="dxa"/>
              <w:bottom w:w="58" w:type="dxa"/>
              <w:end w:w="70" w:type="dxa"/>
            </w:tcMar>
            <w:shd w:fill="FFFFFF"/>
          </w:tcPr>
          <w:p>
            <w:pPr>
              <w:spacing w:after="0"/>
            </w:pPr>
            <w:r>
              <w:rPr>
                <w:b/>
                <w:sz w:val="16"/>
              </w:rPr>
              <w:t>DD-CI-08</w:t>
            </w:r>
          </w:p>
        </w:tc>
        <w:tc>
          <w:tcPr>
            <w:tcW w:type="dxa" w:w="3600"/>
            <w:tcMar>
              <w:top w:w="58" w:type="dxa"/>
              <w:start w:w="70" w:type="dxa"/>
              <w:bottom w:w="58" w:type="dxa"/>
              <w:end w:w="70" w:type="dxa"/>
            </w:tcMar>
            <w:shd w:fill="FFFFFF"/>
          </w:tcPr>
          <w:p>
            <w:pPr>
              <w:spacing w:after="0"/>
            </w:pPr>
            <w:r>
              <w:rPr>
                <w:sz w:val="16"/>
              </w:rPr>
              <w:t>Implantes dentales y cirugía guiada</w:t>
            </w:r>
          </w:p>
        </w:tc>
        <w:tc>
          <w:tcPr>
            <w:tcW w:type="dxa" w:w="5040"/>
            <w:tcMar>
              <w:top w:w="58" w:type="dxa"/>
              <w:start w:w="70" w:type="dxa"/>
              <w:bottom w:w="58" w:type="dxa"/>
              <w:end w:w="70" w:type="dxa"/>
            </w:tcMar>
            <w:shd w:fill="FFFFFF"/>
          </w:tcPr>
          <w:p>
            <w:pPr>
              <w:spacing w:after="0"/>
            </w:pPr>
            <w:r>
              <w:rPr>
                <w:sz w:val="15"/>
              </w:rPr>
              <w:t>Instalación de implantes y planificación/guía quirúrgica.</w:t>
            </w:r>
          </w:p>
        </w:tc>
      </w:tr>
      <w:tr>
        <w:trPr>
          <w:cantSplit/>
        </w:trPr>
        <w:tc>
          <w:tcPr>
            <w:tcW w:type="dxa" w:w="1512"/>
            <w:tcMar>
              <w:top w:w="58" w:type="dxa"/>
              <w:start w:w="70" w:type="dxa"/>
              <w:bottom w:w="58" w:type="dxa"/>
              <w:end w:w="70" w:type="dxa"/>
            </w:tcMar>
            <w:shd w:fill="F2F3F4"/>
          </w:tcPr>
          <w:p>
            <w:pPr>
              <w:spacing w:after="0"/>
            </w:pPr>
            <w:r>
              <w:rPr>
                <w:b/>
                <w:sz w:val="16"/>
              </w:rPr>
              <w:t>DD-CI-09</w:t>
            </w:r>
          </w:p>
        </w:tc>
        <w:tc>
          <w:tcPr>
            <w:tcW w:type="dxa" w:w="3600"/>
            <w:tcMar>
              <w:top w:w="58" w:type="dxa"/>
              <w:start w:w="70" w:type="dxa"/>
              <w:bottom w:w="58" w:type="dxa"/>
              <w:end w:w="70" w:type="dxa"/>
            </w:tcMar>
            <w:shd w:fill="F2F3F4"/>
          </w:tcPr>
          <w:p>
            <w:pPr>
              <w:spacing w:after="0"/>
            </w:pPr>
            <w:r>
              <w:rPr>
                <w:sz w:val="16"/>
              </w:rPr>
              <w:t>Regeneración ósea y elevación de seno</w:t>
            </w:r>
          </w:p>
        </w:tc>
        <w:tc>
          <w:tcPr>
            <w:tcW w:type="dxa" w:w="5040"/>
            <w:tcMar>
              <w:top w:w="58" w:type="dxa"/>
              <w:start w:w="70" w:type="dxa"/>
              <w:bottom w:w="58" w:type="dxa"/>
              <w:end w:w="70" w:type="dxa"/>
            </w:tcMar>
            <w:shd w:fill="F2F3F4"/>
          </w:tcPr>
          <w:p>
            <w:pPr>
              <w:spacing w:after="0"/>
            </w:pPr>
            <w:r>
              <w:rPr>
                <w:sz w:val="15"/>
              </w:rPr>
              <w:t>Injertos, regeneración guiada, preservación alveolar, elevación de seno maxilar.</w:t>
            </w:r>
          </w:p>
        </w:tc>
      </w:tr>
      <w:tr>
        <w:trPr>
          <w:cantSplit/>
        </w:trPr>
        <w:tc>
          <w:tcPr>
            <w:tcW w:type="dxa" w:w="1512"/>
            <w:tcMar>
              <w:top w:w="58" w:type="dxa"/>
              <w:start w:w="70" w:type="dxa"/>
              <w:bottom w:w="58" w:type="dxa"/>
              <w:end w:w="70" w:type="dxa"/>
            </w:tcMar>
            <w:shd w:fill="FFFFFF"/>
          </w:tcPr>
          <w:p>
            <w:pPr>
              <w:spacing w:after="0"/>
            </w:pPr>
            <w:r>
              <w:rPr>
                <w:b/>
                <w:sz w:val="16"/>
              </w:rPr>
              <w:t>DD-CI-10</w:t>
            </w:r>
          </w:p>
        </w:tc>
        <w:tc>
          <w:tcPr>
            <w:tcW w:type="dxa" w:w="3600"/>
            <w:tcMar>
              <w:top w:w="58" w:type="dxa"/>
              <w:start w:w="70" w:type="dxa"/>
              <w:bottom w:w="58" w:type="dxa"/>
              <w:end w:w="70" w:type="dxa"/>
            </w:tcMar>
            <w:shd w:fill="FFFFFF"/>
          </w:tcPr>
          <w:p>
            <w:pPr>
              <w:spacing w:after="0"/>
            </w:pPr>
            <w:r>
              <w:rPr>
                <w:sz w:val="16"/>
              </w:rPr>
              <w:t>Rehabilitación protésica, coronas, puentes y carillas</w:t>
            </w:r>
          </w:p>
        </w:tc>
        <w:tc>
          <w:tcPr>
            <w:tcW w:type="dxa" w:w="5040"/>
            <w:tcMar>
              <w:top w:w="58" w:type="dxa"/>
              <w:start w:w="70" w:type="dxa"/>
              <w:bottom w:w="58" w:type="dxa"/>
              <w:end w:w="70" w:type="dxa"/>
            </w:tcMar>
            <w:shd w:fill="FFFFFF"/>
          </w:tcPr>
          <w:p>
            <w:pPr>
              <w:spacing w:after="0"/>
            </w:pPr>
            <w:r>
              <w:rPr>
                <w:sz w:val="15"/>
              </w:rPr>
              <w:t>Preparación dentaria, prótesis fija/removible, carillas y estética restauradora.</w:t>
            </w:r>
          </w:p>
        </w:tc>
      </w:tr>
      <w:tr>
        <w:trPr>
          <w:cantSplit/>
        </w:trPr>
        <w:tc>
          <w:tcPr>
            <w:tcW w:type="dxa" w:w="1512"/>
            <w:tcMar>
              <w:top w:w="58" w:type="dxa"/>
              <w:start w:w="70" w:type="dxa"/>
              <w:bottom w:w="58" w:type="dxa"/>
              <w:end w:w="70" w:type="dxa"/>
            </w:tcMar>
            <w:shd w:fill="F2F3F4"/>
          </w:tcPr>
          <w:p>
            <w:pPr>
              <w:spacing w:after="0"/>
            </w:pPr>
            <w:r>
              <w:rPr>
                <w:b/>
                <w:sz w:val="16"/>
              </w:rPr>
              <w:t>DD-CI-11</w:t>
            </w:r>
          </w:p>
        </w:tc>
        <w:tc>
          <w:tcPr>
            <w:tcW w:type="dxa" w:w="3600"/>
            <w:tcMar>
              <w:top w:w="58" w:type="dxa"/>
              <w:start w:w="70" w:type="dxa"/>
              <w:bottom w:w="58" w:type="dxa"/>
              <w:end w:w="70" w:type="dxa"/>
            </w:tcMar>
            <w:shd w:fill="F2F3F4"/>
          </w:tcPr>
          <w:p>
            <w:pPr>
              <w:spacing w:after="0"/>
            </w:pPr>
            <w:r>
              <w:rPr>
                <w:sz w:val="16"/>
              </w:rPr>
              <w:t>Ortodoncia</w:t>
            </w:r>
          </w:p>
        </w:tc>
        <w:tc>
          <w:tcPr>
            <w:tcW w:type="dxa" w:w="5040"/>
            <w:tcMar>
              <w:top w:w="58" w:type="dxa"/>
              <w:start w:w="70" w:type="dxa"/>
              <w:bottom w:w="58" w:type="dxa"/>
              <w:end w:w="70" w:type="dxa"/>
            </w:tcMar>
            <w:shd w:fill="F2F3F4"/>
          </w:tcPr>
          <w:p>
            <w:pPr>
              <w:spacing w:after="0"/>
            </w:pPr>
            <w:r>
              <w:rPr>
                <w:sz w:val="15"/>
              </w:rPr>
              <w:t>Brackets, alineadores u otros aparatos; incluir plan individual, extracciones/stripping si corresponde.</w:t>
            </w:r>
          </w:p>
        </w:tc>
      </w:tr>
      <w:tr>
        <w:trPr>
          <w:cantSplit/>
        </w:trPr>
        <w:tc>
          <w:tcPr>
            <w:tcW w:type="dxa" w:w="1512"/>
            <w:tcMar>
              <w:top w:w="58" w:type="dxa"/>
              <w:start w:w="70" w:type="dxa"/>
              <w:bottom w:w="58" w:type="dxa"/>
              <w:end w:w="70" w:type="dxa"/>
            </w:tcMar>
            <w:shd w:fill="FFFFFF"/>
          </w:tcPr>
          <w:p>
            <w:pPr>
              <w:spacing w:after="0"/>
            </w:pPr>
            <w:r>
              <w:rPr>
                <w:b/>
                <w:sz w:val="16"/>
              </w:rPr>
              <w:t>DD-CI-12</w:t>
            </w:r>
          </w:p>
        </w:tc>
        <w:tc>
          <w:tcPr>
            <w:tcW w:type="dxa" w:w="3600"/>
            <w:tcMar>
              <w:top w:w="58" w:type="dxa"/>
              <w:start w:w="70" w:type="dxa"/>
              <w:bottom w:w="58" w:type="dxa"/>
              <w:end w:w="70" w:type="dxa"/>
            </w:tcMar>
            <w:shd w:fill="FFFFFF"/>
          </w:tcPr>
          <w:p>
            <w:pPr>
              <w:spacing w:after="0"/>
            </w:pPr>
            <w:r>
              <w:rPr>
                <w:sz w:val="16"/>
              </w:rPr>
              <w:t>Blanqueamiento dental</w:t>
            </w:r>
          </w:p>
        </w:tc>
        <w:tc>
          <w:tcPr>
            <w:tcW w:type="dxa" w:w="5040"/>
            <w:tcMar>
              <w:top w:w="58" w:type="dxa"/>
              <w:start w:w="70" w:type="dxa"/>
              <w:bottom w:w="58" w:type="dxa"/>
              <w:end w:w="70" w:type="dxa"/>
            </w:tcMar>
            <w:shd w:fill="FFFFFF"/>
          </w:tcPr>
          <w:p>
            <w:pPr>
              <w:spacing w:after="0"/>
            </w:pPr>
            <w:r>
              <w:rPr>
                <w:sz w:val="15"/>
              </w:rPr>
              <w:t>Clínico, domiciliario supervisado o combinado.</w:t>
            </w:r>
          </w:p>
        </w:tc>
      </w:tr>
      <w:tr>
        <w:trPr>
          <w:cantSplit/>
        </w:trPr>
        <w:tc>
          <w:tcPr>
            <w:tcW w:type="dxa" w:w="1512"/>
            <w:tcMar>
              <w:top w:w="58" w:type="dxa"/>
              <w:start w:w="70" w:type="dxa"/>
              <w:bottom w:w="58" w:type="dxa"/>
              <w:end w:w="70" w:type="dxa"/>
            </w:tcMar>
            <w:shd w:fill="F2F3F4"/>
          </w:tcPr>
          <w:p>
            <w:pPr>
              <w:spacing w:after="0"/>
            </w:pPr>
            <w:r>
              <w:rPr>
                <w:b/>
                <w:sz w:val="16"/>
              </w:rPr>
              <w:t>DD-CI-13</w:t>
            </w:r>
          </w:p>
        </w:tc>
        <w:tc>
          <w:tcPr>
            <w:tcW w:type="dxa" w:w="3600"/>
            <w:tcMar>
              <w:top w:w="58" w:type="dxa"/>
              <w:start w:w="70" w:type="dxa"/>
              <w:bottom w:w="58" w:type="dxa"/>
              <w:end w:w="70" w:type="dxa"/>
            </w:tcMar>
            <w:shd w:fill="F2F3F4"/>
          </w:tcPr>
          <w:p>
            <w:pPr>
              <w:spacing w:after="0"/>
            </w:pPr>
            <w:r>
              <w:rPr>
                <w:sz w:val="16"/>
              </w:rPr>
              <w:t>Fotografías, videos y uso de imagen</w:t>
            </w:r>
          </w:p>
        </w:tc>
        <w:tc>
          <w:tcPr>
            <w:tcW w:type="dxa" w:w="5040"/>
            <w:tcMar>
              <w:top w:w="58" w:type="dxa"/>
              <w:start w:w="70" w:type="dxa"/>
              <w:bottom w:w="58" w:type="dxa"/>
              <w:end w:w="70" w:type="dxa"/>
            </w:tcMar>
            <w:shd w:fill="F2F3F4"/>
          </w:tcPr>
          <w:p>
            <w:pPr>
              <w:spacing w:after="0"/>
            </w:pPr>
            <w:r>
              <w:rPr>
                <w:sz w:val="15"/>
              </w:rPr>
              <w:t>Separar registro clínico, docencia/investigación y publicidad/redes sociales.</w:t>
            </w:r>
          </w:p>
        </w:tc>
      </w:tr>
      <w:tr>
        <w:trPr>
          <w:cantSplit/>
        </w:trPr>
        <w:tc>
          <w:tcPr>
            <w:tcW w:type="dxa" w:w="1512"/>
            <w:tcMar>
              <w:top w:w="58" w:type="dxa"/>
              <w:start w:w="70" w:type="dxa"/>
              <w:bottom w:w="58" w:type="dxa"/>
              <w:end w:w="70" w:type="dxa"/>
            </w:tcMar>
            <w:shd w:fill="FFFFFF"/>
          </w:tcPr>
          <w:p>
            <w:pPr>
              <w:spacing w:after="0"/>
            </w:pPr>
            <w:r>
              <w:rPr>
                <w:b/>
                <w:sz w:val="16"/>
              </w:rPr>
              <w:t>DD-CI-14</w:t>
            </w:r>
          </w:p>
        </w:tc>
        <w:tc>
          <w:tcPr>
            <w:tcW w:type="dxa" w:w="3600"/>
            <w:tcMar>
              <w:top w:w="58" w:type="dxa"/>
              <w:start w:w="70" w:type="dxa"/>
              <w:bottom w:w="58" w:type="dxa"/>
              <w:end w:w="70" w:type="dxa"/>
            </w:tcMar>
            <w:shd w:fill="FFFFFF"/>
          </w:tcPr>
          <w:p>
            <w:pPr>
              <w:spacing w:after="0"/>
            </w:pPr>
            <w:r>
              <w:rPr>
                <w:sz w:val="16"/>
              </w:rPr>
              <w:t>Atención de salud digital / teleorientación</w:t>
            </w:r>
          </w:p>
        </w:tc>
        <w:tc>
          <w:tcPr>
            <w:tcW w:type="dxa" w:w="5040"/>
            <w:tcMar>
              <w:top w:w="58" w:type="dxa"/>
              <w:start w:w="70" w:type="dxa"/>
              <w:bottom w:w="58" w:type="dxa"/>
              <w:end w:w="70" w:type="dxa"/>
            </w:tcMar>
            <w:shd w:fill="FFFFFF"/>
          </w:tcPr>
          <w:p>
            <w:pPr>
              <w:spacing w:after="0"/>
            </w:pPr>
            <w:r>
              <w:rPr>
                <w:sz w:val="15"/>
              </w:rPr>
              <w:t>Teleconsulta, teleorientación, seguimiento remoto o mensajería clínica.</w:t>
            </w:r>
          </w:p>
        </w:tc>
      </w:tr>
      <w:tr>
        <w:trPr>
          <w:cantSplit/>
        </w:trPr>
        <w:tc>
          <w:tcPr>
            <w:tcW w:type="dxa" w:w="1512"/>
            <w:tcMar>
              <w:top w:w="58" w:type="dxa"/>
              <w:start w:w="70" w:type="dxa"/>
              <w:bottom w:w="58" w:type="dxa"/>
              <w:end w:w="70" w:type="dxa"/>
            </w:tcMar>
            <w:shd w:fill="F2F3F4"/>
          </w:tcPr>
          <w:p>
            <w:pPr>
              <w:spacing w:after="0"/>
            </w:pPr>
            <w:r>
              <w:rPr>
                <w:b/>
                <w:sz w:val="16"/>
              </w:rPr>
              <w:t>DD-ACT-15</w:t>
            </w:r>
          </w:p>
        </w:tc>
        <w:tc>
          <w:tcPr>
            <w:tcW w:type="dxa" w:w="3600"/>
            <w:tcMar>
              <w:top w:w="58" w:type="dxa"/>
              <w:start w:w="70" w:type="dxa"/>
              <w:bottom w:w="58" w:type="dxa"/>
              <w:end w:w="70" w:type="dxa"/>
            </w:tcMar>
            <w:shd w:fill="F2F3F4"/>
          </w:tcPr>
          <w:p>
            <w:pPr>
              <w:spacing w:after="0"/>
            </w:pPr>
            <w:r>
              <w:rPr>
                <w:sz w:val="16"/>
              </w:rPr>
              <w:t>Acta de rechazo o revocación</w:t>
            </w:r>
          </w:p>
        </w:tc>
        <w:tc>
          <w:tcPr>
            <w:tcW w:type="dxa" w:w="5040"/>
            <w:tcMar>
              <w:top w:w="58" w:type="dxa"/>
              <w:start w:w="70" w:type="dxa"/>
              <w:bottom w:w="58" w:type="dxa"/>
              <w:end w:w="70" w:type="dxa"/>
            </w:tcMar>
            <w:shd w:fill="F2F3F4"/>
          </w:tcPr>
          <w:p>
            <w:pPr>
              <w:spacing w:after="0"/>
            </w:pPr>
            <w:r>
              <w:rPr>
                <w:sz w:val="15"/>
              </w:rPr>
              <w:t>Cuando se rechaza, suspende o revoca total/parcialmente un procedimiento.</w:t>
            </w:r>
          </w:p>
        </w:tc>
      </w:tr>
    </w:tbl>
    <w:p>
      <w:pPr>
        <w:pStyle w:val="DDHeading1"/>
        <w:keepNext/>
      </w:pPr>
      <w:r>
        <w:t>5. Actualización normativa y control de versiones</w:t>
      </w:r>
    </w:p>
    <w:p>
      <w:pPr>
        <w:spacing w:after="50"/>
        <w:ind w:left="230" w:hanging="187"/>
        <w:keepLines/>
      </w:pPr>
      <w:r>
        <w:rPr>
          <w:b/>
        </w:rPr>
        <w:t xml:space="preserve">• </w:t>
      </w:r>
      <w:r>
        <w:t>Responsable de revisión clínica: Director Clínico / encargado designado. Responsable de revisión legal: asesoría jurídica externa o interna de la sociedad prestadora.</w:t>
      </w:r>
    </w:p>
    <w:p>
      <w:pPr>
        <w:spacing w:after="50"/>
        <w:ind w:left="230" w:hanging="187"/>
        <w:keepLines/>
      </w:pPr>
      <w:r>
        <w:rPr>
          <w:b/>
        </w:rPr>
        <w:t xml:space="preserve">• </w:t>
      </w:r>
      <w:r>
        <w:t>Revisar al menos anualmente, al modificar protocolos, técnicas, proveedores relevantes, plataforma de firma/ficha clínica o normativa aplicable.</w:t>
      </w:r>
    </w:p>
    <w:p>
      <w:pPr>
        <w:spacing w:after="50"/>
        <w:ind w:left="230" w:hanging="187"/>
        <w:keepLines/>
      </w:pPr>
      <w:r>
        <w:rPr>
          <w:b/>
        </w:rPr>
        <w:t xml:space="preserve">• </w:t>
      </w:r>
      <w:r>
        <w:t>La Ley N.º 21.719 sobre protección y tratamiento de datos personales entra en vigencia el 1 de diciembre de 2026. Antes de esa fecha, actualizar aviso de privacidad, mecanismos de ejercicio de derechos, contratos con proveedores tecnológicos y procedimientos internos de seguridad.</w:t>
      </w:r>
    </w:p>
    <w:p>
      <w:pPr>
        <w:pStyle w:val="DDHeading1"/>
        <w:keepNext/>
      </w:pPr>
      <w:r>
        <w:t>Marco normativo de referencia</w:t>
      </w:r>
    </w:p>
    <w:p>
      <w:pPr>
        <w:pStyle w:val="DDDisclaimer"/>
        <w:spacing w:after="60"/>
        <w:keepLines/>
      </w:pPr>
      <w:r>
        <w:t>Este formato se ha diseñado considerando, entre otras normas, la Ley N.º 20.584 (especialmente sus artículos 10, 13 y 14), el Decreto Supremo N.º 31 de 2012 del Ministerio de Salud, el Decreto Supremo N.º 41 de 2012 del Ministerio de Salud, la Ley N.º 19.628 sobre protección de la vida privada y la Ley N.º 19.799 sobre documentos y firma electrónica. Desde el 1 de diciembre de 2026 debe revisarse y adecuarse a la Ley N.º 21.719 sobre protección y tratamiento de datos personales.</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r>
      <w:rPr>
        <w:rFonts w:ascii="Arial" w:hAnsi="Arial"/>
        <w:color w:val="4A5055"/>
        <w:sz w:val="14"/>
      </w:rPr>
      <w:t xml:space="preserve">Digital Dent - Sociedad de Inversiones H y A SpA, RUT 77.145.971-4 - Manuel Montt 820, Of. 21, Temuco - Documento integrante de ficha clínica - Página </w:t>
    </w:r>
    <w:r>
      <w:rPr>
        <w:rFonts w:ascii="Arial" w:hAnsi="Arial"/>
        <w:color w:val="4A5055"/>
        <w:sz w:val="14"/>
      </w:rPr>
      <w:fldChar w:fldCharType="begin"/>
      <w:instrText xml:space="preserve">PAGE</w:instrText>
      <w:fldChar w:fldCharType="end"/>
    </w:r>
    <w:r>
      <w:rPr>
        <w:rFonts w:ascii="Arial" w:hAnsi="Arial"/>
        <w:color w:val="4A5055"/>
        <w:sz w:val="14"/>
      </w:rPr>
      <w:t xml:space="preserve"> de </w:t>
    </w:r>
    <w:r>
      <w:rPr>
        <w:rFonts w:ascii="Arial" w:hAnsi="Arial"/>
        <w:color w:val="4A5055"/>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auto" w:w="0"/>
      <w:jc w:val="center"/>
      <w:tblLayout w:type="fixed"/>
      <w:tblLook w:firstColumn="1" w:firstRow="1" w:lastColumn="0" w:lastRow="0" w:noHBand="0" w:noVBand="1" w:val="04A0"/>
    </w:tblPr>
    <w:tblGrid>
      <w:gridCol w:w="6840"/>
      <w:gridCol w:w="3384"/>
    </w:tblGrid>
    <w:tr>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pPr>
          <w:r>
            <w:rPr>
              <w:rFonts w:ascii="Arial" w:hAnsi="Arial"/>
              <w:b/>
              <w:color w:val="FFFFFF"/>
              <w:sz w:val="28"/>
            </w:rPr>
            <w:t>DIGITAL DENT</w:t>
          </w:r>
          <w:r>
            <w:rPr>
              <w:rFonts w:ascii="Arial" w:hAnsi="Arial"/>
              <w:b/>
              <w:color w:val="D8C184"/>
              <w:sz w:val="15"/>
            </w:rPr>
            <w:t xml:space="preserve">   |   ODONTOLOGÍA DIGITAL</w:t>
          </w:r>
        </w:p>
      </w:tc>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jc w:val="right"/>
          </w:pPr>
          <w:r>
            <w:rPr>
              <w:rFonts w:ascii="Arial" w:hAnsi="Arial"/>
              <w:b/>
              <w:color w:val="FFFFFF"/>
              <w:sz w:val="16"/>
            </w:rPr>
            <w:t>DD-MAN-CI-00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B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DTitle">
    <w:name w:val="DD Title"/>
    <w:pPr>
      <w:spacing w:after="100" w:before="0" w:line="245" w:lineRule="auto"/>
    </w:pPr>
    <w:rPr>
      <w:rFonts w:ascii="Arial" w:hAnsi="Arial" w:eastAsia="Arial"/>
      <w:b/>
      <w:color w:val="1F2428"/>
      <w:sz w:val="32"/>
    </w:rPr>
  </w:style>
  <w:style w:type="paragraph" w:customStyle="1" w:styleId="DDSubtitle">
    <w:name w:val="DD Subtitle"/>
    <w:pPr>
      <w:spacing w:after="160" w:before="0" w:line="245" w:lineRule="auto"/>
    </w:pPr>
    <w:rPr>
      <w:rFonts w:ascii="Arial" w:hAnsi="Arial" w:eastAsia="Arial"/>
      <w:b/>
      <w:color w:val="B88A2B"/>
      <w:sz w:val="21"/>
    </w:rPr>
  </w:style>
  <w:style w:type="paragraph" w:customStyle="1" w:styleId="DDHeading1">
    <w:name w:val="DD Heading 1"/>
    <w:pPr>
      <w:spacing w:after="80" w:before="160" w:line="245" w:lineRule="auto"/>
    </w:pPr>
    <w:rPr>
      <w:rFonts w:ascii="Arial" w:hAnsi="Arial" w:eastAsia="Arial"/>
      <w:b/>
      <w:color w:val="1F2428"/>
      <w:sz w:val="22"/>
    </w:rPr>
  </w:style>
  <w:style w:type="paragraph" w:customStyle="1" w:styleId="DDHeading2">
    <w:name w:val="DD Heading 2"/>
    <w:pPr>
      <w:spacing w:after="40" w:before="100" w:line="245" w:lineRule="auto"/>
    </w:pPr>
    <w:rPr>
      <w:rFonts w:ascii="Arial" w:hAnsi="Arial" w:eastAsia="Arial"/>
      <w:b/>
      <w:color w:val="B88A2B"/>
      <w:sz w:val="19"/>
    </w:rPr>
  </w:style>
  <w:style w:type="paragraph" w:customStyle="1" w:styleId="DDBodySmall">
    <w:name w:val="DD Body Small"/>
    <w:pPr>
      <w:spacing w:after="20" w:before="0" w:line="245" w:lineRule="auto"/>
    </w:pPr>
    <w:rPr>
      <w:rFonts w:ascii="Arial" w:hAnsi="Arial" w:eastAsia="Arial"/>
      <w:b w:val="0"/>
      <w:color w:val="4A5055"/>
      <w:sz w:val="16"/>
    </w:rPr>
  </w:style>
  <w:style w:type="paragraph" w:customStyle="1" w:styleId="DDNote">
    <w:name w:val="DD Note"/>
    <w:pPr>
      <w:spacing w:after="40" w:before="0" w:line="245" w:lineRule="auto"/>
    </w:pPr>
    <w:rPr>
      <w:rFonts w:ascii="Arial" w:hAnsi="Arial" w:eastAsia="Arial"/>
      <w:b w:val="0"/>
      <w:color w:val="4A5055"/>
      <w:sz w:val="16"/>
    </w:rPr>
  </w:style>
  <w:style w:type="paragraph" w:customStyle="1" w:styleId="DDDisclaimer">
    <w:name w:val="DD Disclaimer"/>
    <w:pPr>
      <w:spacing w:after="20" w:before="0" w:line="245" w:lineRule="auto"/>
    </w:pPr>
    <w:rPr>
      <w:rFonts w:ascii="Arial" w:hAnsi="Arial" w:eastAsia="Arial"/>
      <w:b w:val="0"/>
      <w:color w:val="4A50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