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IMPLANTES DENTALES Y CIRUGÍA GUIADA</w:t>
      </w:r>
    </w:p>
    <w:p>
      <w:pPr>
        <w:pStyle w:val="DDSubtitle"/>
        <w:jc w:val="center"/>
      </w:pPr>
      <w:r>
        <w:t>Instalación de implantes, planificación digital, guía quirúrgica y etapas de rehabilitación</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Tipo de tratamiento: </w:t>
            </w:r>
            <w:r>
              <w:rPr>
                <w:color w:val="4A5055"/>
                <w:sz w:val="16"/>
              </w:rPr>
              <w:t>{{TIPO_TRATAMIENTO_IMPLANTES}}</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 sitio(s) implantario(s) y plan quirúrgico</w:t>
            </w:r>
            <w:r>
              <w:rPr>
                <w:i/>
                <w:color w:val="4A5055"/>
                <w:sz w:val="15"/>
              </w:rPr>
              <w:t xml:space="preserve"> - indicar zona, número de implantes, guía quirúrgica, carga inmediata/diferida, fase protésica y necesidad de injerto/seno</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reemplazar una o más piezas ausentes o no recuperables mediante la instalación de un implante osteointegrable y su posterior rehabilitación protésica, buscando recuperar función, estabilidad, estética y confort según el caso.</w:t>
      </w:r>
    </w:p>
    <w:p>
      <w:pPr>
        <w:spacing w:after="60"/>
        <w:keepLines/>
      </w:pPr>
      <w:r>
        <w:t>Cómo se realizará: el tratamiento suele incluir evaluación clínica, imágenes, planificación digital, cirugía de instalación, controles de cicatrización/osteointegración, posibles etapas de segunda cirugía y rehabilitación con corona, puente o prótesis. Puede utilizarse guía quirúrgica. Si se requieren injertos o elevación de seno, debe usarse el consentimiento específico DD-CI-09 además de este formato.</w:t>
      </w:r>
    </w:p>
    <w:p>
      <w:pPr>
        <w:spacing w:after="60"/>
        <w:keepLines/>
      </w:pPr>
      <w:r>
        <w:t>Alternativas razonables: puente dentosoportado, prótesis removible, no reemplazar la pieza, tratamiento de la pieza remanente si es viable, derivación o diferir el procedimiento. Cada alternativa presenta ventajas, limitaciones, costos y pronóstico propios.</w:t>
      </w:r>
    </w:p>
    <w:p>
      <w:pPr>
        <w:spacing w:after="60"/>
        <w:keepLines/>
      </w:pPr>
      <w:r>
        <w:t>Consecuencias de postergar o no realizar el tratamiento: pérdida de función/estética, migración de dientes vecinos, sobreerupción, cambios oclusales, pérdida ósea en el sitio edéntulo y eventual mayor complejidad de una rehabilitación futura.</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Dolor, edema, sangrado, hematoma, infección, molestias por suturas, apertura bucal limitada temporalmente y necesidad de controles/medicación.</w:t>
      </w:r>
    </w:p>
    <w:p>
      <w:pPr>
        <w:spacing w:after="32"/>
        <w:ind w:left="230" w:hanging="187"/>
        <w:keepLines/>
      </w:pPr>
      <w:r>
        <w:rPr>
          <w:b/>
        </w:rPr>
        <w:t xml:space="preserve">• </w:t>
      </w:r>
      <w:r>
        <w:t>Demora de la cicatrización, necesidad de prótesis provisoria, restricciones de dieta e incapacidad temporal para cargar/masticar en el área intervenida.</w:t>
      </w:r>
    </w:p>
    <w:p>
      <w:pPr>
        <w:pStyle w:val="DDHeading2"/>
        <w:keepNext/>
      </w:pPr>
      <w:r>
        <w:t>Riesgos menos frecuentes, pero relevantes</w:t>
      </w:r>
    </w:p>
    <w:p>
      <w:pPr>
        <w:spacing w:after="32"/>
        <w:ind w:left="230" w:hanging="187"/>
        <w:keepLines/>
      </w:pPr>
      <w:r>
        <w:rPr>
          <w:b/>
        </w:rPr>
        <w:t xml:space="preserve">• </w:t>
      </w:r>
      <w:r>
        <w:t>Falta de osteointegración o pérdida temprana/tardía del implante; periimplantitis/mucositis; recesión de tejidos, exposición de componentes, aflojamiento o fractura de tornillos/restauración.</w:t>
      </w:r>
    </w:p>
    <w:p>
      <w:pPr>
        <w:spacing w:after="32"/>
        <w:ind w:left="230" w:hanging="187"/>
        <w:keepLines/>
      </w:pPr>
      <w:r>
        <w:rPr>
          <w:b/>
        </w:rPr>
        <w:t xml:space="preserve">• </w:t>
      </w:r>
      <w:r>
        <w:t>Daño a dientes o raíces vecinas, perforación de corticales, lesión o alteración temporal/persistente de nervios, comunicación o perforación de seno maxilar, sangrado significativo, necesidad de retirar el implante, injertar, reintervenir, derivar o modificar el plan.</w:t>
      </w:r>
    </w:p>
    <w:p>
      <w:pPr>
        <w:spacing w:after="32"/>
        <w:ind w:left="230" w:hanging="187"/>
        <w:keepLines/>
      </w:pPr>
      <w:r>
        <w:rPr>
          <w:b/>
        </w:rPr>
        <w:t xml:space="preserve">• </w:t>
      </w:r>
      <w:r>
        <w:t>Resultados estéticos limitados por biotipo gingival, hueso disponible, posición de los implantes, línea de sonrisa, higiene, enfermedad periodontal previa, hábitos y cicatrización individual.</w:t>
      </w:r>
    </w:p>
    <w:p>
      <w:pPr>
        <w:pStyle w:val="DDHeading2"/>
        <w:keepNext/>
      </w:pPr>
      <w:r>
        <w:t>Situaciones que pueden modificar el pronóstico o exigir cambios del plan</w:t>
      </w:r>
    </w:p>
    <w:p>
      <w:pPr>
        <w:spacing w:after="32"/>
        <w:ind w:left="230" w:hanging="187"/>
        <w:keepLines/>
      </w:pPr>
      <w:r>
        <w:rPr>
          <w:b/>
        </w:rPr>
        <w:t xml:space="preserve">• </w:t>
      </w:r>
      <w:r>
        <w:t>Tabaco/vapeo, diabetes no controlada, periodontitis no estabilizada, higiene deficiente, bruxismo, consumo de ciertos medicamentos, radioterapia, enfermedades sistémicas y ausencia de controles pueden comprometer el pronóstico.</w:t>
      </w:r>
    </w:p>
    <w:p>
      <w:pPr>
        <w:spacing w:after="32"/>
        <w:ind w:left="230" w:hanging="187"/>
        <w:keepLines/>
      </w:pPr>
      <w:r>
        <w:rPr>
          <w:b/>
        </w:rPr>
        <w:t xml:space="preserve">• </w:t>
      </w:r>
      <w:r>
        <w:t>La cirugía guiada mejora la planificación, pero no elimina riesgos ni sustituye el juicio clínico; puede requerirse adaptación intraoperatoria.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Trazabilidad de implantes y materiales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Marca / sistema: </w:t>
            </w:r>
            <w:r>
              <w:rPr>
                <w:color w:val="4A5055"/>
                <w:sz w:val="16"/>
              </w:rPr>
              <w:t>{{IMPLANTE_MARCA_SISTEMA}}</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Lote / referencia: </w:t>
            </w:r>
            <w:r>
              <w:rPr>
                <w:color w:val="4A5055"/>
                <w:sz w:val="16"/>
              </w:rPr>
              <w:t>{{IMPLANTE_LOTE_REFERENCIA}}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Diámetro x largo: </w:t>
            </w:r>
            <w:r>
              <w:rPr>
                <w:color w:val="4A5055"/>
                <w:sz w:val="16"/>
              </w:rPr>
              <w:t>{{IMPLANTE_DIMENSIONES}}</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Posición / pieza: </w:t>
            </w:r>
            <w:r>
              <w:rPr>
                <w:color w:val="4A5055"/>
                <w:sz w:val="16"/>
              </w:rPr>
              <w:t>{{IMPLANTE_POSICION}}</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Componente protésico principal: </w:t>
            </w:r>
            <w:r>
              <w:rPr>
                <w:color w:val="4A5055"/>
                <w:sz w:val="16"/>
              </w:rPr>
              <w:t>{{COMPONENTE_PROTESICO}}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Etiqueta / sticker incorporado a ficha: </w:t>
            </w:r>
            <w:r>
              <w:rPr>
                <w:color w:val="4A5055"/>
                <w:sz w:val="16"/>
              </w:rPr>
              <w:t>[ ] Sí   [ ] No   Motivo: {{MOTIVO_SIN_STICKER}}</w:t>
            </w:r>
          </w:p>
        </w:tc>
      </w:tr>
    </w:tbl>
    <w:p>
      <w:pPr>
        <w:spacing w:after="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Asistiré a controles quirúrgicos, de rehabilitación y mantención periodontal/implantológica según pauta.</w:t>
      </w:r>
    </w:p>
    <w:p>
      <w:pPr>
        <w:spacing w:after="32"/>
        <w:ind w:left="101" w:hanging="14"/>
        <w:keepLines/>
      </w:pPr>
      <w:r>
        <w:rPr>
          <w:b/>
        </w:rPr>
        <w:t xml:space="preserve">[ ] </w:t>
      </w:r>
      <w:r>
        <w:t>No fumaré ni vapearé durante el período indicado y mantendré higiene estricta.</w:t>
      </w:r>
    </w:p>
    <w:p>
      <w:pPr>
        <w:spacing w:after="32"/>
        <w:ind w:left="101" w:hanging="14"/>
        <w:keepLines/>
      </w:pPr>
      <w:r>
        <w:rPr>
          <w:b/>
        </w:rPr>
        <w:t xml:space="preserve">[ ] </w:t>
      </w:r>
      <w:r>
        <w:t>Entiendo que la garantía comercial, cuando exista, se regula por condiciones separadas y no sustituye mi deber de controles/mantención ni el análisis clínico individual.</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DD-CI-08.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DD-CI-08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