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REGENERACIÓN ÓSEA Y ELEVACIÓN DE SENO MAXILAR</w:t>
      </w:r>
    </w:p>
    <w:p>
      <w:pPr>
        <w:pStyle w:val="DDSubtitle"/>
        <w:jc w:val="center"/>
      </w:pPr>
      <w:r>
        <w:t>Injertos, preservación alveolar, regeneración ósea guiada y procedimientos de seno maxilar</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Procedimiento específico: </w:t>
            </w:r>
            <w:r>
              <w:rPr>
                <w:color w:val="4A5055"/>
                <w:sz w:val="16"/>
              </w:rPr>
              <w:t>{{PROCEDIMIENTO_REGENERATIVO}}</w:t>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Zona / técnica / biomateriales y membranas proyectadas</w:t>
            </w:r>
            <w:r>
              <w:rPr>
                <w:i/>
                <w:color w:val="4A5055"/>
                <w:sz w:val="15"/>
              </w:rPr>
              <w:t xml:space="preserve"> - indicar sitio, tipo de injerto, membrana, fijación, posible origen del biomaterial y relación con implante</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aumentar o preservar volumen/calidad ósea y de tejidos para permitir o mejorar el pronóstico de un implante o rehabilitación posterior, o manejar defectos óseos según indicación clínica.</w:t>
      </w:r>
    </w:p>
    <w:p>
      <w:pPr>
        <w:spacing w:after="60"/>
        <w:keepLines/>
      </w:pPr>
      <w:r>
        <w:t>Cómo se realizará: el procedimiento puede incluir preservación de alvéolo, injerto particulado o en bloque, regeneración ósea guiada, membranas, fijaciones, elevación de seno maxilar por abordaje crestal o lateral, suturas y controles. Los materiales utilizados se registrarán en la ficha clínica. Puede realizarse junto a la instalación de implante o en una etapa previa.</w:t>
      </w:r>
    </w:p>
    <w:p>
      <w:pPr>
        <w:spacing w:after="60"/>
        <w:keepLines/>
      </w:pPr>
      <w:r>
        <w:t>Alternativas razonables: realizar tratamiento sin injerto cuando el pronóstico lo permita, emplear otra técnica/región, usar prótesis alternativa, derivar, diferir o no realizar el procedimiento. El profesional explicará si alguna alternativa no resulta clínicamente segura o predecible.</w:t>
      </w:r>
    </w:p>
    <w:p>
      <w:pPr>
        <w:spacing w:after="60"/>
        <w:keepLines/>
      </w:pPr>
      <w:r>
        <w:t>Consecuencias de postergar o no realizar el tratamiento: imposibilidad o mayor dificultad para instalar implantes, menor estabilidad/estética futura, progresión del defecto, pérdida de soporte y necesidad de tratamientos alternativos.</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Dolor, edema, hematoma, sangrado, infección, dehiscencia de herida, exposición de membrana, pérdida parcial de injerto, necesidad de medicación y controles más prolongados.</w:t>
      </w:r>
    </w:p>
    <w:p>
      <w:pPr>
        <w:spacing w:after="32"/>
        <w:ind w:left="230" w:hanging="187"/>
        <w:keepLines/>
      </w:pPr>
      <w:r>
        <w:rPr>
          <w:b/>
        </w:rPr>
        <w:t xml:space="preserve">• </w:t>
      </w:r>
      <w:r>
        <w:t>Demora de la cicatrización o necesidad de reprogramar la instalación del implante.</w:t>
      </w:r>
    </w:p>
    <w:p>
      <w:pPr>
        <w:pStyle w:val="DDHeading2"/>
        <w:keepNext/>
      </w:pPr>
      <w:r>
        <w:t>Riesgos menos frecuentes, pero relevantes</w:t>
      </w:r>
    </w:p>
    <w:p>
      <w:pPr>
        <w:spacing w:after="32"/>
        <w:ind w:left="230" w:hanging="187"/>
        <w:keepLines/>
      </w:pPr>
      <w:r>
        <w:rPr>
          <w:b/>
        </w:rPr>
        <w:t xml:space="preserve">• </w:t>
      </w:r>
      <w:r>
        <w:t>Reabsorción o fracaso parcial/total del injerto, necesidad de nuevo injerto o cambio de plan; lesión de raíces, dientes vecinos, nervios o tejidos blandos.</w:t>
      </w:r>
    </w:p>
    <w:p>
      <w:pPr>
        <w:spacing w:after="32"/>
        <w:ind w:left="230" w:hanging="187"/>
        <w:keepLines/>
      </w:pPr>
      <w:r>
        <w:rPr>
          <w:b/>
        </w:rPr>
        <w:t xml:space="preserve">• </w:t>
      </w:r>
      <w:r>
        <w:t>En elevación de seno maxilar: perforación de la membrana sinusal, sinusitis, comunicación bucosinusal, desplazamiento de material, congestión/dolor sinusal, sangrado y necesidad de evaluación por otorrinolaringología o derivación.</w:t>
      </w:r>
    </w:p>
    <w:p>
      <w:pPr>
        <w:spacing w:after="32"/>
        <w:ind w:left="230" w:hanging="187"/>
        <w:keepLines/>
      </w:pPr>
      <w:r>
        <w:rPr>
          <w:b/>
        </w:rPr>
        <w:t xml:space="preserve">• </w:t>
      </w:r>
      <w:r>
        <w:t>Reacción a biomateriales, membranas, fijaciones o anestésicos; retiro de material; necesidad de procedimiento adicional.</w:t>
      </w:r>
    </w:p>
    <w:p>
      <w:pPr>
        <w:pStyle w:val="DDHeading2"/>
        <w:keepNext/>
      </w:pPr>
      <w:r>
        <w:t>Situaciones que pueden modificar el pronóstico o exigir cambios del plan</w:t>
      </w:r>
    </w:p>
    <w:p>
      <w:pPr>
        <w:spacing w:after="32"/>
        <w:ind w:left="230" w:hanging="187"/>
        <w:keepLines/>
      </w:pPr>
      <w:r>
        <w:rPr>
          <w:b/>
        </w:rPr>
        <w:t xml:space="preserve">• </w:t>
      </w:r>
      <w:r>
        <w:t>El resultado depende del defecto inicial, vascularización, higiene, estabilidad del sitio, tabaquismo, condiciones sistémicas, control de infección y cumplimiento de cuidados.</w:t>
      </w:r>
    </w:p>
    <w:p>
      <w:pPr>
        <w:spacing w:after="32"/>
        <w:ind w:left="230" w:hanging="187"/>
        <w:keepLines/>
      </w:pPr>
      <w:r>
        <w:rPr>
          <w:b/>
        </w:rPr>
        <w:t xml:space="preserve">• </w:t>
      </w:r>
      <w:r>
        <w:t>Ningún biomaterial garantiza la formación ósea suficiente ni la posterior osteointegración de un implante.</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Materiales / trazabilidad</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Biomaterial / marca / lote: </w:t>
            </w:r>
            <w:r>
              <w:rPr>
                <w:color w:val="4A5055"/>
                <w:sz w:val="16"/>
              </w:rPr>
              <w:t>{{BIOMATERIAL_MARCA_LOTE}}</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Membrana / marca / lote: </w:t>
            </w:r>
            <w:r>
              <w:rPr>
                <w:color w:val="4A5055"/>
                <w:sz w:val="16"/>
              </w:rPr>
              <w:t>{{MEMBRANA_MARCA_LOTE}}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Fijaciones / marca / lote: </w:t>
            </w:r>
            <w:r>
              <w:rPr>
                <w:color w:val="4A5055"/>
                <w:sz w:val="16"/>
              </w:rPr>
              <w:t>{{FIJACIONES_MARCA_LOTE}}</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Etiqueta(s) incorporada(s) a ficha: </w:t>
            </w:r>
            <w:r>
              <w:rPr>
                <w:color w:val="4A5055"/>
                <w:sz w:val="16"/>
              </w:rPr>
              <w:t>[ ] Sí   [ ] No   Motivo: {{MOTIVO_SIN_ETIQUETA}}</w:t>
            </w:r>
          </w:p>
        </w:tc>
      </w:tr>
    </w:tbl>
    <w:p>
      <w:pPr>
        <w:spacing w:after="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No fumaré ni vapearé y evitaré maniobras que aumenten presión sinusal si se me indican (por ejemplo, sonarse con fuerza) durante el período señalado.</w:t>
      </w:r>
    </w:p>
    <w:p>
      <w:pPr>
        <w:spacing w:after="32"/>
        <w:ind w:left="101" w:hanging="14"/>
        <w:keepLines/>
      </w:pPr>
      <w:r>
        <w:rPr>
          <w:b/>
        </w:rPr>
        <w:t xml:space="preserve">[ ] </w:t>
      </w:r>
      <w:r>
        <w:t>Asistiré a controles y avisaré fiebre, secreción nasal purulenta, dolor sinusal intenso, sangrado persistente, exposición de material o edema progresivo.</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DD-CI-09.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DD-CI-09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