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BLANQUEAMIENTO DENTAL</w:t>
      </w:r>
    </w:p>
    <w:p>
      <w:pPr>
        <w:pStyle w:val="DDSubtitle"/>
        <w:jc w:val="center"/>
      </w:pPr>
      <w:r>
        <w:t>Blanqueamiento clínico, domiciliario supervisado o combinado</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Modalidad propuesta: </w:t>
            </w:r>
            <w:r>
              <w:rPr>
                <w:color w:val="4A5055"/>
                <w:sz w:val="16"/>
              </w:rPr>
              <w:t>{{MODALIDAD_BLANQUEAMIENTO}}</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 producto / concentración / pauta</w:t>
            </w:r>
            <w:r>
              <w:rPr>
                <w:i/>
                <w:color w:val="4A5055"/>
                <w:sz w:val="15"/>
              </w:rPr>
              <w:t xml:space="preserve"> - indicar modalidad, producto, concentración, número de sesiones y uso de férulas si corresponde</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aclarar el color de dientes naturales mediante agentes blanqueadores indicados por el profesional, dentro de los límites biológicos, diagnósticos y estéticos individuales.</w:t>
      </w:r>
    </w:p>
    <w:p>
      <w:pPr>
        <w:spacing w:after="60"/>
        <w:keepLines/>
      </w:pPr>
      <w:r>
        <w:t>Cómo se realizará: se realizará evaluación previa de caries, restauraciones, fisuras, encías, sensibilidad y otras condiciones. El plan puede ser clínico, domiciliario supervisado o combinado, con protectores de tejidos blandos, férulas e indicaciones de uso/higiene. El resultado será evaluado progresivamente.</w:t>
      </w:r>
    </w:p>
    <w:p>
      <w:pPr>
        <w:spacing w:after="60"/>
        <w:keepLines/>
      </w:pPr>
      <w:r>
        <w:t>Alternativas razonables: no blanquear, profilaxis, pulido, restauraciones/coronas/carillas para mejorar color, tratamiento de sensibilidad, esperar a estabilizar salud oral o postergar el procedimiento.</w:t>
      </w:r>
    </w:p>
    <w:p>
      <w:pPr>
        <w:spacing w:after="60"/>
        <w:keepLines/>
      </w:pPr>
      <w:r>
        <w:t>Consecuencias de postergar o no realizar el tratamiento: persistencia de la tonalidad actual o búsqueda de soluciones restauradoras/protésicas con mayor invasividad y costo. No se recomienda blanqueamiento como sustituto de tratar caries, enfermedad periodontal o restauraciones defectuosas.</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Sensibilidad dentaria transitoria; irritación o ardor de encías/labios/tejidos blandos; molestias por férulas; necesidad de espaciar sesiones, reducir concentración o suspender temporalmente.</w:t>
      </w:r>
    </w:p>
    <w:p>
      <w:pPr>
        <w:spacing w:after="32"/>
        <w:ind w:left="230" w:hanging="187"/>
        <w:keepLines/>
      </w:pPr>
      <w:r>
        <w:rPr>
          <w:b/>
        </w:rPr>
        <w:t xml:space="preserve">• </w:t>
      </w:r>
      <w:r>
        <w:t>Resultados graduales, variables y no necesariamente uniformes entre todas las piezas.</w:t>
      </w:r>
    </w:p>
    <w:p>
      <w:pPr>
        <w:pStyle w:val="DDHeading2"/>
        <w:keepNext/>
      </w:pPr>
      <w:r>
        <w:t>Riesgos menos frecuentes, pero relevantes</w:t>
      </w:r>
    </w:p>
    <w:p>
      <w:pPr>
        <w:spacing w:after="32"/>
        <w:ind w:left="230" w:hanging="187"/>
        <w:keepLines/>
      </w:pPr>
      <w:r>
        <w:rPr>
          <w:b/>
        </w:rPr>
        <w:t xml:space="preserve">• </w:t>
      </w:r>
      <w:r>
        <w:t>Aumento de sensibilidad en piezas con fisuras, recesión, restauraciones, caries o exposición dentinaria; necesidad de tratamiento desensibilizante, restaurador o de otra índole.</w:t>
      </w:r>
    </w:p>
    <w:p>
      <w:pPr>
        <w:spacing w:after="32"/>
        <w:ind w:left="230" w:hanging="187"/>
        <w:keepLines/>
      </w:pPr>
      <w:r>
        <w:rPr>
          <w:b/>
        </w:rPr>
        <w:t xml:space="preserve">• </w:t>
      </w:r>
      <w:r>
        <w:t>El blanqueamiento no cambia el color de coronas, carillas, restauraciones, prótesis ni implantes. Puede ser necesaria su sustitución posterior para armonizar el color, con costo y tratamiento adicionales.</w:t>
      </w:r>
    </w:p>
    <w:p>
      <w:pPr>
        <w:spacing w:after="32"/>
        <w:ind w:left="230" w:hanging="187"/>
        <w:keepLines/>
      </w:pPr>
      <w:r>
        <w:rPr>
          <w:b/>
        </w:rPr>
        <w:t xml:space="preserve">• </w:t>
      </w:r>
      <w:r>
        <w:t>Reaparición gradual de pigmentación por dieta, tabaco, hábitos o características individuales; necesidad de mantención.</w:t>
      </w:r>
    </w:p>
    <w:p>
      <w:pPr>
        <w:pStyle w:val="DDHeading2"/>
        <w:keepNext/>
      </w:pPr>
      <w:r>
        <w:t>Situaciones que pueden modificar el pronóstico o exigir cambios del plan</w:t>
      </w:r>
    </w:p>
    <w:p>
      <w:pPr>
        <w:spacing w:after="32"/>
        <w:ind w:left="230" w:hanging="187"/>
        <w:keepLines/>
      </w:pPr>
      <w:r>
        <w:rPr>
          <w:b/>
        </w:rPr>
        <w:t xml:space="preserve">• </w:t>
      </w:r>
      <w:r>
        <w:t>No se inicia o se suspende si existen contraindicaciones clínicas, caries activas, enfermedad periodontal no controlada, lesiones de mucosa u otras condiciones que el profesional estime relevantes.</w:t>
      </w:r>
    </w:p>
    <w:p>
      <w:pPr>
        <w:spacing w:after="32"/>
        <w:ind w:left="230" w:hanging="187"/>
        <w:keepLines/>
      </w:pPr>
      <w:r>
        <w:rPr>
          <w:b/>
        </w:rPr>
        <w:t xml:space="preserve">• </w:t>
      </w:r>
      <w:r>
        <w:t>El tratamiento no garantiza un tono específico ni un resultado idéntico al de fotografías o simulaciones.</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Usaré los productos sólo como se indique y no aumentaré concentración/tiempo de exposición por iniciativa propia.</w:t>
      </w:r>
    </w:p>
    <w:p>
      <w:pPr>
        <w:spacing w:after="32"/>
        <w:ind w:left="101" w:hanging="14"/>
        <w:keepLines/>
      </w:pPr>
      <w:r>
        <w:rPr>
          <w:b/>
        </w:rPr>
        <w:t xml:space="preserve">[ ] </w:t>
      </w:r>
      <w:r>
        <w:t>Informaré sensibilidad intensa, ardor, ulceración o dolor persistente.</w:t>
      </w:r>
    </w:p>
    <w:p>
      <w:pPr>
        <w:spacing w:after="32"/>
        <w:ind w:left="101" w:hanging="14"/>
        <w:keepLines/>
      </w:pPr>
      <w:r>
        <w:rPr>
          <w:b/>
        </w:rPr>
        <w:t xml:space="preserve">[ ] </w:t>
      </w:r>
      <w:r>
        <w:t>Evitaré alimentos/bebidas pigmentantes y tabaco conforme a las recomendaciones entregadas.</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DD-CI-12.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DD-CI-12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