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PARA ATENCIÓN DE SALUD DIGITAL Y TELEORIENTACIÓN</w:t>
      </w:r>
    </w:p>
    <w:p>
      <w:pPr>
        <w:pStyle w:val="DDSubtitle"/>
        <w:jc w:val="center"/>
      </w:pPr>
      <w:r>
        <w:t>Teleconsulta, teleorientación, seguimiento remoto y mensajería clínica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Modalidad digital: </w:t>
            </w:r>
            <w:r>
              <w:rPr>
                <w:color w:val="4A5055"/>
                <w:sz w:val="16"/>
              </w:rPr>
              <w:t>{{MODALIDAD_SALUD_DIGITAL}}</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Motivo de teleatención / alcance previsto</w:t>
            </w:r>
            <w:r>
              <w:rPr>
                <w:i/>
                <w:color w:val="4A5055"/>
                <w:sz w:val="15"/>
              </w:rPr>
              <w:t xml:space="preserve"> - indicar orientación, seguimiento, control postoperatorio, interpretación de información, coordinación u otro</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facilitar orientación, seguimiento o atención odontológica a distancia, cuando sea clínicamente adecuada, sin reemplazar la evaluación presencial que resulte necesaria.</w:t>
      </w:r>
    </w:p>
    <w:p>
      <w:pPr>
        <w:spacing w:after="60"/>
        <w:keepLines/>
      </w:pPr>
      <w:r>
        <w:t>Cómo se realizará: la atención puede efectuarse mediante videollamada, llamada, plataforma de ficha clínica, correo o mensajería institucional. Se registrará en la ficha clínica lo relevante de la interacción, indicaciones, decisiones y medidas de seguridad adoptadas. El profesional tratante se identificará y la persona podrá solicitar atención presencial cuando corresponda.</w:t>
      </w:r>
    </w:p>
    <w:p>
      <w:pPr>
        <w:spacing w:after="60"/>
        <w:keepLines/>
      </w:pPr>
      <w:r>
        <w:t>Alternativas razonables: atención presencial, derivación, postergación de la decisión clínica o no utilizar la modalidad digital. En situaciones que requieran examen físico, imagenología, procedimiento o evaluación urgente, se indicará atención presencial o servicio de urgencia.</w:t>
      </w:r>
    </w:p>
    <w:p>
      <w:pPr>
        <w:spacing w:after="60"/>
        <w:keepLines/>
      </w:pPr>
      <w:r>
        <w:t>Consecuencias de postergar o no realizar el tratamiento: puede retrasarse el diagnóstico o requerirse evaluación presencial posterior por limitaciones del examen remoto, calidad de imagen, conectividad o falta de datos clínicos suficientes.</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Interrupciones de conectividad, retraso de información, limitación para observar o palpar estructuras, dificultad para verificar signos clínicos y necesidad de repetir o complementar la atención de forma presencial.</w:t>
      </w:r>
    </w:p>
    <w:p>
      <w:pPr>
        <w:spacing w:after="32"/>
        <w:ind w:left="230" w:hanging="187"/>
        <w:keepLines/>
      </w:pPr>
      <w:r>
        <w:rPr>
          <w:b/>
        </w:rPr>
        <w:t xml:space="preserve">• </w:t>
      </w:r>
      <w:r>
        <w:t>Riesgos de privacidad o seguridad inherentes a comunicaciones electrónicas, mitigados mediante el uso de canales adecuados y la limitación de información sensible enviada por medios no seguros.</w:t>
      </w:r>
    </w:p>
    <w:p>
      <w:pPr>
        <w:pStyle w:val="DDHeading2"/>
        <w:keepNext/>
      </w:pPr>
      <w:r>
        <w:t>Riesgos menos frecuentes, pero relevantes</w:t>
      </w:r>
    </w:p>
    <w:p>
      <w:pPr>
        <w:spacing w:after="32"/>
        <w:ind w:left="230" w:hanging="187"/>
        <w:keepLines/>
      </w:pPr>
      <w:r>
        <w:rPr>
          <w:b/>
        </w:rPr>
        <w:t xml:space="preserve">• </w:t>
      </w:r>
      <w:r>
        <w:t>Interpretación incompleta por imágenes/video de calidad insuficiente, datos inexactos o imposibilidad de realizar examen clínico; indicación de urgencia o derivación presencial.</w:t>
      </w:r>
    </w:p>
    <w:p>
      <w:pPr>
        <w:spacing w:after="32"/>
        <w:ind w:left="230" w:hanging="187"/>
        <w:keepLines/>
      </w:pPr>
      <w:r>
        <w:rPr>
          <w:b/>
        </w:rPr>
        <w:t xml:space="preserve">• </w:t>
      </w:r>
      <w:r>
        <w:t>En caso de emergencia, la teleatención no sustituye la asistencia inmediata. La persona debe acudir al servicio de urgencia más cercano o solicitar ayuda de emergencia según corresponda.</w:t>
      </w:r>
    </w:p>
    <w:p>
      <w:pPr>
        <w:pStyle w:val="DDHeading2"/>
        <w:keepNext/>
      </w:pPr>
      <w:r>
        <w:t>Situaciones que pueden modificar el pronóstico o exigir cambios del plan</w:t>
      </w:r>
    </w:p>
    <w:p>
      <w:pPr>
        <w:spacing w:after="32"/>
        <w:ind w:left="230" w:hanging="187"/>
        <w:keepLines/>
      </w:pPr>
      <w:r>
        <w:rPr>
          <w:b/>
        </w:rPr>
        <w:t xml:space="preserve">• </w:t>
      </w:r>
      <w:r>
        <w:t>La atención digital sólo se usará si el profesional la estima adecuada para el caso y puede suspenderse/cambiarse a presencial si ello es más seguro.</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Proporcionaré datos de contacto y ubicación actual cuando sea relevante; utilizaré una conexión y un espacio razonablemente privado.</w:t>
      </w:r>
    </w:p>
    <w:p>
      <w:pPr>
        <w:spacing w:after="32"/>
        <w:ind w:left="101" w:hanging="14"/>
        <w:keepLines/>
      </w:pPr>
      <w:r>
        <w:rPr>
          <w:b/>
        </w:rPr>
        <w:t xml:space="preserve">[ ] </w:t>
      </w:r>
      <w:r>
        <w:t>No grabaré la atención sin autorización de las personas participantes.</w:t>
      </w:r>
    </w:p>
    <w:p>
      <w:pPr>
        <w:spacing w:after="32"/>
        <w:ind w:left="101" w:hanging="14"/>
        <w:keepLines/>
      </w:pPr>
      <w:r>
        <w:rPr>
          <w:b/>
        </w:rPr>
        <w:t xml:space="preserve">[ ] </w:t>
      </w:r>
      <w:r>
        <w:t>Informaré inmediatamente si presento síntomas de alarma o si mi situación cambia mientras espero atención presencial.</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DD-CI-14.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DD-CI-14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