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DTitle"/>
        <w:jc w:val="center"/>
      </w:pPr>
      <w:r>
        <w:t>ÍNDICE MAESTRO DE CONSENTIMIENTOS INFORMADOS</w:t>
      </w:r>
    </w:p>
    <w:p>
      <w:pPr>
        <w:pStyle w:val="DDSubtitle"/>
        <w:jc w:val="center"/>
      </w:pPr>
      <w:r>
        <w:t>Digital Dent - Formatos Word para ficha clínica | Versión 1.0 | 24 de junio de 2026</w:t>
      </w:r>
    </w:p>
    <w:tbl>
      <w:tblPr>
        <w:tblW w:type="auto" w:w="0"/>
        <w:jc w:val="center"/>
        <w:tblLook w:firstColumn="1" w:firstRow="1" w:lastColumn="0" w:lastRow="0" w:noHBand="0" w:noVBand="1" w:val="04A0"/>
      </w:tblPr>
      <w:tblGrid>
        <w:gridCol w:w="10368"/>
      </w:tblGrid>
      <w:tr>
        <w:trPr>
          <w:cantSplit/>
        </w:trPr>
        <w:tc>
          <w:tcPr>
            <w:tcW w:type="dxa" w:w="10368"/>
            <w:tcBorders>
              <w:top w:val="single" w:sz="8" w:color="B88A2B"/>
              <w:left w:val="single" w:sz="8" w:color="B88A2B"/>
              <w:bottom w:val="single" w:sz="8" w:color="B88A2B"/>
              <w:right w:val="single" w:sz="8" w:color="B88A2B"/>
            </w:tcBorders>
            <w:shd w:fill="F3E9D2"/>
            <w:tcMar>
              <w:top w:w="75" w:type="dxa"/>
              <w:start w:w="95" w:type="dxa"/>
              <w:bottom w:w="75" w:type="dxa"/>
              <w:end w:w="95" w:type="dxa"/>
            </w:tcMar>
          </w:tcPr>
          <w:p>
            <w:pPr>
              <w:spacing w:after="30"/>
            </w:pPr>
            <w:r>
              <w:rPr>
                <w:b/>
              </w:rPr>
              <w:t xml:space="preserve">Contenido: </w:t>
            </w:r>
            <w:r>
              <w:t>Esta hoja es un índice y guía rápida. Los formatos completos e individuales se encuentran en los documentos Word separados incluidos en la carpeta/ZIP.</w:t>
            </w:r>
          </w:p>
        </w:tc>
      </w:tr>
    </w:tbl>
    <w:p>
      <w:pPr>
        <w:spacing w:after="20"/>
      </w:pPr>
    </w:p>
    <w:p>
      <w:pPr>
        <w:pStyle w:val="DDHeading1"/>
        <w:keepNext/>
      </w:pPr>
      <w:r>
        <w:t>Documentos incluidos</w:t>
      </w:r>
    </w:p>
    <w:p>
      <w:pPr>
        <w:pStyle w:val="DDNote"/>
        <w:spacing w:after="60"/>
        <w:keepLines/>
      </w:pPr>
      <w:r>
        <w:t>DD-CI-01 - Atención general, ficha clínica y datos: Primera atención y actualización de datos. No sustituye consentimiento específico.</w:t>
      </w:r>
    </w:p>
    <w:p>
      <w:pPr>
        <w:pStyle w:val="DDNote"/>
        <w:spacing w:after="60"/>
        <w:keepLines/>
      </w:pPr>
      <w:r>
        <w:t>DD-CI-02 - Diagnóstico e imagenología digital: Radiografías intra/extraorales, escáner intraoral y planificación digital. Para CBCT externo, coordinar con consentimiento del centro proveedor.</w:t>
      </w:r>
    </w:p>
    <w:p>
      <w:pPr>
        <w:pStyle w:val="DDNote"/>
        <w:spacing w:after="60"/>
        <w:keepLines/>
      </w:pPr>
      <w:r>
        <w:t>DD-CI-03 - Anestesia local: Cuando se aplicará anestesia local o se prevea uso de vasoconstrictor.</w:t>
      </w:r>
    </w:p>
    <w:p>
      <w:pPr>
        <w:pStyle w:val="DDNote"/>
        <w:spacing w:after="60"/>
        <w:keepLines/>
      </w:pPr>
      <w:r>
        <w:t>DD-CI-04 - Higiene y terapia periodontal: Profilaxis, destartraje supragingival/subgingival, raspado y alisado radicular.</w:t>
      </w:r>
    </w:p>
    <w:p>
      <w:pPr>
        <w:pStyle w:val="DDNote"/>
        <w:spacing w:after="60"/>
        <w:keepLines/>
      </w:pPr>
      <w:r>
        <w:t>DD-CI-05 - Restauraciones dentales: Restauraciones directas/indirectas, manejo de caries y reconstrucciones.</w:t>
      </w:r>
    </w:p>
    <w:p>
      <w:pPr>
        <w:pStyle w:val="DDNote"/>
        <w:spacing w:after="60"/>
        <w:keepLines/>
      </w:pPr>
      <w:r>
        <w:t>DD-CI-06 - Endodoncia: Tratamiento de conductos, retratamiento y procedimientos asociados.</w:t>
      </w:r>
    </w:p>
    <w:p>
      <w:pPr>
        <w:pStyle w:val="DDNote"/>
        <w:spacing w:after="60"/>
        <w:keepLines/>
      </w:pPr>
      <w:r>
        <w:t>DD-CI-07 - Exodoncia y cirugía bucal menor: Extracciones simples/quirúrgicas, biopsia menor u otros procedimientos consignados.</w:t>
      </w:r>
    </w:p>
    <w:p>
      <w:pPr>
        <w:pStyle w:val="DDNote"/>
        <w:spacing w:after="60"/>
        <w:keepLines/>
      </w:pPr>
      <w:r>
        <w:t>DD-CI-08 - Implantes dentales y cirugía guiada: Instalación de implantes y planificación/guía quirúrgica.</w:t>
      </w:r>
    </w:p>
    <w:p>
      <w:pPr>
        <w:pStyle w:val="DDNote"/>
        <w:spacing w:after="60"/>
        <w:keepLines/>
      </w:pPr>
      <w:r>
        <w:t>DD-CI-09 - Regeneración ósea y elevación de seno: Injertos, regeneración guiada, preservación alveolar, elevación de seno maxilar.</w:t>
      </w:r>
    </w:p>
    <w:p>
      <w:pPr>
        <w:pStyle w:val="DDNote"/>
        <w:spacing w:after="60"/>
        <w:keepLines/>
      </w:pPr>
      <w:r>
        <w:t>DD-CI-10 - Rehabilitación protésica, coronas, puentes y carillas: Preparación dentaria, prótesis fija/removible, carillas y estética restauradora.</w:t>
      </w:r>
    </w:p>
    <w:p>
      <w:pPr>
        <w:pStyle w:val="DDNote"/>
        <w:spacing w:after="60"/>
        <w:keepLines/>
      </w:pPr>
      <w:r>
        <w:t>DD-CI-11 - Ortodoncia: Brackets, alineadores u otros aparatos; incluir plan individual, extracciones/stripping si corresponde.</w:t>
      </w:r>
    </w:p>
    <w:p>
      <w:pPr>
        <w:pStyle w:val="DDNote"/>
        <w:spacing w:after="60"/>
        <w:keepLines/>
      </w:pPr>
      <w:r>
        <w:t>DD-CI-12 - Blanqueamiento dental: Clínico, domiciliario supervisado o combinado.</w:t>
      </w:r>
    </w:p>
    <w:p>
      <w:pPr>
        <w:pStyle w:val="DDNote"/>
        <w:spacing w:after="60"/>
        <w:keepLines/>
      </w:pPr>
      <w:r>
        <w:t>DD-CI-13 - Fotografías, videos y uso de imagen: Separar registro clínico, docencia/investigación y publicidad/redes sociales.</w:t>
      </w:r>
    </w:p>
    <w:p>
      <w:pPr>
        <w:pStyle w:val="DDNote"/>
        <w:spacing w:after="60"/>
        <w:keepLines/>
      </w:pPr>
      <w:r>
        <w:t>DD-CI-14 - Atención de salud digital / teleorientación: Teleconsulta, teleorientación, seguimiento remoto o mensajería clínica.</w:t>
      </w:r>
    </w:p>
    <w:p>
      <w:pPr>
        <w:pStyle w:val="DDNote"/>
        <w:spacing w:after="60"/>
        <w:keepLines/>
      </w:pPr>
      <w:r>
        <w:t>DD-ACT-15 - Acta de rechazo o revocación: Cuando se rechaza, suspende o revoca total/parcialmente un procedimiento.</w:t>
      </w:r>
    </w:p>
    <w:p>
      <w:pPr>
        <w:pStyle w:val="DDHeading1"/>
        <w:keepNext/>
      </w:pPr>
      <w:r>
        <w:t>Nota de implementación</w:t>
      </w:r>
    </w:p>
    <w:p>
      <w:pPr>
        <w:spacing w:after="60"/>
        <w:keepLines/>
      </w:pPr>
      <w:r>
        <w:t>Los formatos completos deben ser revisados por la dirección clínica y asesoría jurídica antes de su puesta en producción, completados según el caso concreto e integrados a la ficha clínica. Este índice no sustituye los documentos individuales ni la explicación clínica del profesional tratante.</w:t>
      </w:r>
    </w:p>
    <w:p>
      <w:pPr>
        <w:pStyle w:val="DDHeading1"/>
        <w:keepNext/>
      </w:pPr>
      <w:r>
        <w:t>Marco normativo de referencia</w:t>
      </w:r>
    </w:p>
    <w:p>
      <w:pPr>
        <w:pStyle w:val="DDDisclaimer"/>
        <w:spacing w:after="60"/>
        <w:keepLines/>
      </w:pPr>
      <w:r>
        <w:t>Este formato se ha diseñado considerando, entre otras normas, la Ley N.º 20.584 (especialmente sus artículos 10, 13 y 14), el Decreto Supremo N.º 31 de 2012 del Ministerio de Salud, el Decreto Supremo N.º 41 de 2012 del Ministerio de Salud, la Ley N.º 19.628 sobre protección de la vida privada y la Ley N.º 19.799 sobre documentos y firma electrónica. Desde el 1 de diciembre de 2026 debe revisarse y adecuarse a la Ley N.º 21.719 sobre protección y tratamiento de datos personales.</w:t>
      </w:r>
    </w:p>
    <w:sectPr w:rsidR="00FC693F" w:rsidRPr="0006063C" w:rsidSect="00034616">
      <w:headerReference w:type="default" r:id="rId9"/>
      <w:footerReference w:type="default" r:id="rId10"/>
      <w:pgSz w:w="12240" w:h="15840"/>
      <w:pgMar w:top="792" w:right="936" w:bottom="792" w:left="936"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20" w:after="0"/>
      <w:jc w:val="center"/>
    </w:pPr>
    <w:r>
      <w:rPr>
        <w:rFonts w:ascii="Arial" w:hAnsi="Arial"/>
        <w:color w:val="4A5055"/>
        <w:sz w:val="14"/>
      </w:rPr>
      <w:t xml:space="preserve">Digital Dent - Sociedad de Inversiones H y A SpA, RUT 77.145.971-4 - Manuel Montt 820, Of. 21, Temuco - Documento integrante de ficha clínica - Página </w:t>
    </w:r>
    <w:r>
      <w:rPr>
        <w:rFonts w:ascii="Arial" w:hAnsi="Arial"/>
        <w:color w:val="4A5055"/>
        <w:sz w:val="14"/>
      </w:rPr>
      <w:fldChar w:fldCharType="begin"/>
      <w:instrText xml:space="preserve">PAGE</w:instrText>
      <w:fldChar w:fldCharType="end"/>
    </w:r>
    <w:r>
      <w:rPr>
        <w:rFonts w:ascii="Arial" w:hAnsi="Arial"/>
        <w:color w:val="4A5055"/>
        <w:sz w:val="14"/>
      </w:rPr>
      <w:t xml:space="preserve"> de </w:t>
    </w:r>
    <w:r>
      <w:rPr>
        <w:rFonts w:ascii="Arial" w:hAnsi="Arial"/>
        <w:color w:val="4A5055"/>
        <w:sz w:val="14"/>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p>
  <w:tbl>
    <w:tblPr>
      <w:tblW w:type="auto" w:w="0"/>
      <w:jc w:val="center"/>
      <w:tblLayout w:type="fixed"/>
      <w:tblLook w:firstColumn="1" w:firstRow="1" w:lastColumn="0" w:lastRow="0" w:noHBand="0" w:noVBand="1" w:val="04A0"/>
    </w:tblPr>
    <w:tblGrid>
      <w:gridCol w:w="6840"/>
      <w:gridCol w:w="3384"/>
    </w:tblGrid>
    <w:tr>
      <w:tc>
        <w:tcPr>
          <w:tcW w:type="dxa" w:w="5112"/>
          <w:tcBorders>
            <w:top w:val="single" w:sz="3" w:color="1F2428"/>
            <w:left w:val="single" w:sz="3" w:color="1F2428"/>
            <w:bottom w:val="single" w:sz="3" w:color="1F2428"/>
            <w:right w:val="single" w:sz="3" w:color="1F2428"/>
          </w:tcBorders>
          <w:tcMar>
            <w:top w:w="35" w:type="dxa"/>
            <w:start w:w="65" w:type="dxa"/>
            <w:bottom w:w="35" w:type="dxa"/>
            <w:end w:w="65" w:type="dxa"/>
          </w:tcMar>
          <w:shd w:fill="1F2428"/>
        </w:tcPr>
        <w:p>
          <w:pPr>
            <w:spacing w:after="0"/>
          </w:pPr>
          <w:r>
            <w:rPr>
              <w:rFonts w:ascii="Arial" w:hAnsi="Arial"/>
              <w:b/>
              <w:color w:val="FFFFFF"/>
              <w:sz w:val="28"/>
            </w:rPr>
            <w:t>DIGITAL DENT</w:t>
          </w:r>
          <w:r>
            <w:rPr>
              <w:rFonts w:ascii="Arial" w:hAnsi="Arial"/>
              <w:b/>
              <w:color w:val="D8C184"/>
              <w:sz w:val="15"/>
            </w:rPr>
            <w:t xml:space="preserve">   |   ODONTOLOGÍA DIGITAL</w:t>
          </w:r>
        </w:p>
      </w:tc>
      <w:tc>
        <w:tcPr>
          <w:tcW w:type="dxa" w:w="5112"/>
          <w:tcBorders>
            <w:top w:val="single" w:sz="3" w:color="1F2428"/>
            <w:left w:val="single" w:sz="3" w:color="1F2428"/>
            <w:bottom w:val="single" w:sz="3" w:color="1F2428"/>
            <w:right w:val="single" w:sz="3" w:color="1F2428"/>
          </w:tcBorders>
          <w:tcMar>
            <w:top w:w="35" w:type="dxa"/>
            <w:start w:w="65" w:type="dxa"/>
            <w:bottom w:w="35" w:type="dxa"/>
            <w:end w:w="65" w:type="dxa"/>
          </w:tcMar>
          <w:shd w:fill="1F2428"/>
        </w:tcPr>
        <w:p>
          <w:pPr>
            <w:spacing w:after="0"/>
            <w:jc w:val="right"/>
          </w:pPr>
          <w:r>
            <w:rPr>
              <w:rFonts w:ascii="Arial" w:hAnsi="Arial"/>
              <w:b/>
              <w:color w:val="FFFFFF"/>
              <w:sz w:val="16"/>
            </w:rPr>
            <w:t>DD-PACK-2026  |  V1.0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eastAsia="Arial"/>
      <w:color w:val="2B31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DTitle">
    <w:name w:val="DD Title"/>
    <w:pPr>
      <w:spacing w:after="100" w:before="0" w:line="245" w:lineRule="auto"/>
    </w:pPr>
    <w:rPr>
      <w:rFonts w:ascii="Arial" w:hAnsi="Arial" w:eastAsia="Arial"/>
      <w:b/>
      <w:color w:val="1F2428"/>
      <w:sz w:val="32"/>
    </w:rPr>
  </w:style>
  <w:style w:type="paragraph" w:customStyle="1" w:styleId="DDSubtitle">
    <w:name w:val="DD Subtitle"/>
    <w:pPr>
      <w:spacing w:after="160" w:before="0" w:line="245" w:lineRule="auto"/>
    </w:pPr>
    <w:rPr>
      <w:rFonts w:ascii="Arial" w:hAnsi="Arial" w:eastAsia="Arial"/>
      <w:b/>
      <w:color w:val="B88A2B"/>
      <w:sz w:val="21"/>
    </w:rPr>
  </w:style>
  <w:style w:type="paragraph" w:customStyle="1" w:styleId="DDHeading1">
    <w:name w:val="DD Heading 1"/>
    <w:pPr>
      <w:spacing w:after="80" w:before="160" w:line="245" w:lineRule="auto"/>
    </w:pPr>
    <w:rPr>
      <w:rFonts w:ascii="Arial" w:hAnsi="Arial" w:eastAsia="Arial"/>
      <w:b/>
      <w:color w:val="1F2428"/>
      <w:sz w:val="22"/>
    </w:rPr>
  </w:style>
  <w:style w:type="paragraph" w:customStyle="1" w:styleId="DDHeading2">
    <w:name w:val="DD Heading 2"/>
    <w:pPr>
      <w:spacing w:after="40" w:before="100" w:line="245" w:lineRule="auto"/>
    </w:pPr>
    <w:rPr>
      <w:rFonts w:ascii="Arial" w:hAnsi="Arial" w:eastAsia="Arial"/>
      <w:b/>
      <w:color w:val="B88A2B"/>
      <w:sz w:val="19"/>
    </w:rPr>
  </w:style>
  <w:style w:type="paragraph" w:customStyle="1" w:styleId="DDBodySmall">
    <w:name w:val="DD Body Small"/>
    <w:pPr>
      <w:spacing w:after="20" w:before="0" w:line="245" w:lineRule="auto"/>
    </w:pPr>
    <w:rPr>
      <w:rFonts w:ascii="Arial" w:hAnsi="Arial" w:eastAsia="Arial"/>
      <w:b w:val="0"/>
      <w:color w:val="4A5055"/>
      <w:sz w:val="16"/>
    </w:rPr>
  </w:style>
  <w:style w:type="paragraph" w:customStyle="1" w:styleId="DDNote">
    <w:name w:val="DD Note"/>
    <w:pPr>
      <w:spacing w:after="40" w:before="0" w:line="245" w:lineRule="auto"/>
    </w:pPr>
    <w:rPr>
      <w:rFonts w:ascii="Arial" w:hAnsi="Arial" w:eastAsia="Arial"/>
      <w:b w:val="0"/>
      <w:color w:val="4A5055"/>
      <w:sz w:val="16"/>
    </w:rPr>
  </w:style>
  <w:style w:type="paragraph" w:customStyle="1" w:styleId="DDDisclaimer">
    <w:name w:val="DD Disclaimer"/>
    <w:pPr>
      <w:spacing w:after="20" w:before="0" w:line="245" w:lineRule="auto"/>
    </w:pPr>
    <w:rPr>
      <w:rFonts w:ascii="Arial" w:hAnsi="Arial" w:eastAsia="Arial"/>
      <w:b w:val="0"/>
      <w:color w:val="4A5055"/>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