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8123F" w14:textId="77777777" w:rsidR="00EB1421" w:rsidRDefault="00FC5C83">
      <w:pPr>
        <w:spacing w:after="60"/>
        <w:jc w:val="center"/>
      </w:pPr>
      <w:r>
        <w:rPr>
          <w:b/>
          <w:bCs/>
          <w:sz w:val="32"/>
          <w:szCs w:val="32"/>
        </w:rPr>
        <w:t xml:space="preserve">Sistema de </w:t>
      </w:r>
      <w:proofErr w:type="spellStart"/>
      <w:r>
        <w:rPr>
          <w:b/>
          <w:bCs/>
          <w:sz w:val="32"/>
          <w:szCs w:val="32"/>
        </w:rPr>
        <w:t>Biofeedback</w:t>
      </w:r>
      <w:proofErr w:type="spellEnd"/>
      <w:r>
        <w:rPr>
          <w:b/>
          <w:bCs/>
          <w:sz w:val="32"/>
          <w:szCs w:val="32"/>
        </w:rPr>
        <w:t xml:space="preserve"> en Tiempo Real para el Control del Estrés Mediante Fusión de Señales ECG y EEG</w:t>
      </w:r>
    </w:p>
    <w:p w14:paraId="657764BF" w14:textId="77777777" w:rsidR="001C00F2" w:rsidRDefault="001C00F2">
      <w:pPr>
        <w:spacing w:before="120"/>
        <w:jc w:val="center"/>
        <w:rPr>
          <w:sz w:val="22"/>
          <w:szCs w:val="22"/>
        </w:rPr>
      </w:pPr>
    </w:p>
    <w:p w14:paraId="54F0E4FC" w14:textId="23C20646" w:rsidR="00EB1421" w:rsidRDefault="001C00F2">
      <w:pPr>
        <w:spacing w:before="120"/>
        <w:jc w:val="center"/>
      </w:pPr>
      <w:r>
        <w:rPr>
          <w:sz w:val="22"/>
          <w:szCs w:val="22"/>
        </w:rPr>
        <w:t>Verónica Iveth Alarcón Hernández</w:t>
      </w:r>
    </w:p>
    <w:p w14:paraId="388D792E" w14:textId="76752A78" w:rsidR="00EB1421" w:rsidRDefault="00FC5C83">
      <w:pPr>
        <w:jc w:val="center"/>
      </w:pPr>
      <w:r>
        <w:rPr>
          <w:i/>
          <w:iCs/>
          <w:sz w:val="18"/>
          <w:szCs w:val="18"/>
        </w:rPr>
        <w:t xml:space="preserve">Ingeniería Biomédica, </w:t>
      </w:r>
      <w:r w:rsidR="001C00F2">
        <w:rPr>
          <w:i/>
          <w:iCs/>
          <w:sz w:val="18"/>
          <w:szCs w:val="18"/>
        </w:rPr>
        <w:t>Universidad Veracruzana</w:t>
      </w:r>
    </w:p>
    <w:p w14:paraId="266EA730" w14:textId="408EB201" w:rsidR="00EB1421" w:rsidRDefault="001C00F2">
      <w:pPr>
        <w:spacing w:after="120"/>
        <w:jc w:val="center"/>
      </w:pPr>
      <w:r>
        <w:rPr>
          <w:i/>
          <w:iCs/>
          <w:sz w:val="18"/>
          <w:szCs w:val="18"/>
        </w:rPr>
        <w:t>Xalapa, Veracruz, México— zS23013807@estudiantes.uv.mx</w:t>
      </w:r>
    </w:p>
    <w:p w14:paraId="7E10AF3B" w14:textId="24BB8683" w:rsidR="00EB1421" w:rsidRDefault="001C00F2">
      <w:pPr>
        <w:jc w:val="center"/>
      </w:pPr>
      <w:r>
        <w:rPr>
          <w:sz w:val="22"/>
          <w:szCs w:val="22"/>
        </w:rPr>
        <w:t>Javier Marcial Luis Sanjuan</w:t>
      </w:r>
    </w:p>
    <w:p w14:paraId="611F5F9F" w14:textId="43356F62" w:rsidR="00EB1421" w:rsidRDefault="00FC5C83">
      <w:pPr>
        <w:jc w:val="center"/>
      </w:pPr>
      <w:r>
        <w:rPr>
          <w:i/>
          <w:iCs/>
          <w:sz w:val="18"/>
          <w:szCs w:val="18"/>
        </w:rPr>
        <w:t xml:space="preserve">Ingeniería Biomédica, </w:t>
      </w:r>
      <w:r w:rsidR="001C00F2">
        <w:rPr>
          <w:i/>
          <w:iCs/>
          <w:sz w:val="18"/>
          <w:szCs w:val="18"/>
        </w:rPr>
        <w:t>Universidad Veracruzana</w:t>
      </w:r>
    </w:p>
    <w:p w14:paraId="31BEA78D" w14:textId="439AC69B" w:rsidR="001C00F2" w:rsidRDefault="001C00F2" w:rsidP="001C00F2">
      <w:pPr>
        <w:spacing w:after="120"/>
        <w:jc w:val="center"/>
        <w:rPr>
          <w:i/>
          <w:iCs/>
          <w:sz w:val="18"/>
          <w:szCs w:val="18"/>
        </w:rPr>
      </w:pPr>
      <w:r>
        <w:rPr>
          <w:i/>
          <w:iCs/>
          <w:sz w:val="18"/>
          <w:szCs w:val="18"/>
        </w:rPr>
        <w:t>Xalapa, Veracruz, México— zS23021446@estudiantes.uv.mx</w:t>
      </w:r>
    </w:p>
    <w:p w14:paraId="6AD3836A" w14:textId="77777777" w:rsidR="001C00F2" w:rsidRDefault="001C00F2" w:rsidP="001C00F2">
      <w:pPr>
        <w:spacing w:after="120"/>
        <w:jc w:val="center"/>
      </w:pPr>
    </w:p>
    <w:p w14:paraId="40BCA927" w14:textId="05C185E4" w:rsidR="00EA1D7F" w:rsidRDefault="00FC5C83">
      <w:pPr>
        <w:spacing w:after="80"/>
        <w:jc w:val="both"/>
      </w:pPr>
      <w:r>
        <w:rPr>
          <w:b/>
          <w:bCs/>
          <w:i/>
          <w:iCs/>
        </w:rPr>
        <w:t xml:space="preserve">Resumen— </w:t>
      </w:r>
      <w:r>
        <w:t xml:space="preserve">Este trabajo presenta el diseño e implementación de un sistema de </w:t>
      </w:r>
      <w:proofErr w:type="spellStart"/>
      <w:r>
        <w:t>biofeedback</w:t>
      </w:r>
      <w:proofErr w:type="spellEnd"/>
      <w:r>
        <w:t xml:space="preserve"> en tiempo real orientado al control del estrés, mediante la fusión de señales de</w:t>
      </w:r>
      <w:r w:rsidR="00EA1D7F">
        <w:t>l electrocardiograma</w:t>
      </w:r>
      <w:r>
        <w:t xml:space="preserve"> (ECG) y electroencefalo</w:t>
      </w:r>
      <w:r w:rsidR="00EA1D7F">
        <w:t>grama</w:t>
      </w:r>
      <w:r>
        <w:t xml:space="preserve"> (EEG). </w:t>
      </w:r>
      <w:r w:rsidR="00EA1D7F">
        <w:t>La interfaz de nuestro sistema</w:t>
      </w:r>
      <w:r>
        <w:t xml:space="preserve"> adquiere ambas señales </w:t>
      </w:r>
      <w:r w:rsidR="00EA1D7F">
        <w:t>gracias al</w:t>
      </w:r>
      <w:r>
        <w:t xml:space="preserve"> BIOPAC</w:t>
      </w:r>
      <w:r w:rsidR="00EA1D7F">
        <w:t xml:space="preserve">, este se encarga de </w:t>
      </w:r>
      <w:r>
        <w:t>procesa</w:t>
      </w:r>
      <w:r w:rsidR="00EA1D7F">
        <w:t>rlas</w:t>
      </w:r>
      <w:r>
        <w:t xml:space="preserve"> en bloques deslizantes de 2 segundos dentro de un entorno desarrollado en Python. Del canal de ECG se extrae el </w:t>
      </w:r>
      <w:proofErr w:type="spellStart"/>
      <w:r>
        <w:t>tacograma</w:t>
      </w:r>
      <w:proofErr w:type="spellEnd"/>
      <w:r>
        <w:t xml:space="preserve"> de intervalos R-R mediante un algoritmo de detección de picos R tipo Pa</w:t>
      </w:r>
      <w:r>
        <w:t>n-Tompkins simplificado, a partir del cual se calculan la métrica temporal RMSSD y la relación espectral de potencia LF/HF como indicadores de variabilidad de la frecuencia cardíaca (HRV). Del canal de EEG se extrae la densidad de potencia espectral (PSD) en la banda Alfa (8–13 Hz) mediante la Transformada Rápida de Fourier (FFT). Ambos indicadores se combinan en una interfaz gráfica de usuario (GUI) que representa el estado de relajación del sujeto mediante un semáforo visual de tres colores, actualizado a</w:t>
      </w:r>
      <w:r>
        <w:t xml:space="preserve"> una tasa mínima de cinco veces por segundo. Las pruebas preliminares con dos sujetos experimentales muestran una respuesta coherente del sistema ante cambios de estado fisiológico inducidos por tareas de relajación y de carga cognitiva.</w:t>
      </w:r>
    </w:p>
    <w:p w14:paraId="6AA09AFA" w14:textId="77777777" w:rsidR="00EB1421" w:rsidRDefault="00FC5C83">
      <w:pPr>
        <w:spacing w:after="200"/>
        <w:jc w:val="both"/>
      </w:pPr>
      <w:r>
        <w:rPr>
          <w:b/>
          <w:bCs/>
          <w:i/>
          <w:iCs/>
        </w:rPr>
        <w:t xml:space="preserve">Palabras clave— </w:t>
      </w:r>
      <w:r>
        <w:rPr>
          <w:i/>
          <w:iCs/>
        </w:rPr>
        <w:t xml:space="preserve">ECG, EEG, variabilidad de la frecuencia cardíaca, RMSSD, LF/HF, banda Alfa, FFT, </w:t>
      </w:r>
      <w:proofErr w:type="spellStart"/>
      <w:r>
        <w:rPr>
          <w:i/>
          <w:iCs/>
        </w:rPr>
        <w:t>biofeedback</w:t>
      </w:r>
      <w:proofErr w:type="spellEnd"/>
      <w:r>
        <w:rPr>
          <w:i/>
          <w:iCs/>
        </w:rPr>
        <w:t>, procesamiento en tiempo real.</w:t>
      </w:r>
    </w:p>
    <w:p w14:paraId="76E19E05" w14:textId="77777777" w:rsidR="00EB1421" w:rsidRDefault="00EB1421"/>
    <w:p w14:paraId="2E664788" w14:textId="77777777" w:rsidR="00EA1D7F" w:rsidRDefault="00EA1D7F">
      <w:pPr>
        <w:sectPr w:rsidR="00EA1D7F">
          <w:pgSz w:w="12240" w:h="15840"/>
          <w:pgMar w:top="1080" w:right="1080" w:bottom="1080" w:left="1080" w:header="708" w:footer="708" w:gutter="0"/>
          <w:cols w:space="720"/>
          <w:docGrid w:linePitch="360"/>
        </w:sectPr>
      </w:pPr>
    </w:p>
    <w:p w14:paraId="24D2F6AA" w14:textId="77777777" w:rsidR="00EB1421" w:rsidRDefault="00FC5C83">
      <w:pPr>
        <w:pStyle w:val="Ttulo1"/>
      </w:pPr>
      <w:r>
        <w:t>1. INTRODUCCIÓN</w:t>
      </w:r>
    </w:p>
    <w:p w14:paraId="4C4D8B75" w14:textId="77777777" w:rsidR="00EB1421" w:rsidRDefault="00FC5C83">
      <w:pPr>
        <w:spacing w:after="120" w:line="264" w:lineRule="auto"/>
        <w:jc w:val="both"/>
      </w:pPr>
      <w:r>
        <w:t>El estrés agudo y crónico se manifiesta de manera medible en la actividad del sistema nervioso autónomo (SNA) y en la actividad eléctrica cortical. Por un lado, la rama parasimpática del SNA modula la variabilidad de la frecuencia cardíaca (HRV); por otro, la disminución del ritmo Alfa cortical (8–13 Hz) se asocia comúnmente con estados de alerta y activación cognitiva, mientras que su incremento se asocia con relajación y ojos cerrados. El objetivo de este proyecto es construir un sistema capaz de fusionar</w:t>
      </w:r>
      <w:r>
        <w:t xml:space="preserve"> ambos biomarcadores en tiempo real para retroalimentar al usuario sobre su propio estado de activación fisiológica, dentro de un esquema de </w:t>
      </w:r>
      <w:proofErr w:type="spellStart"/>
      <w:r>
        <w:t>biofeedback</w:t>
      </w:r>
      <w:proofErr w:type="spellEnd"/>
      <w:r>
        <w:t>.</w:t>
      </w:r>
    </w:p>
    <w:p w14:paraId="55EBEE14" w14:textId="77777777" w:rsidR="00EB1421" w:rsidRDefault="00FC5C83">
      <w:pPr>
        <w:spacing w:after="120" w:line="264" w:lineRule="auto"/>
        <w:jc w:val="both"/>
      </w:pPr>
      <w:r>
        <w:t xml:space="preserve">A diferencia de sistemas de </w:t>
      </w:r>
      <w:proofErr w:type="spellStart"/>
      <w:r>
        <w:t>biofeedback</w:t>
      </w:r>
      <w:proofErr w:type="spellEnd"/>
      <w:r>
        <w:t xml:space="preserve"> comerciales de una sola variable, la propuesta aquí descrita exige que ambos indicadores —cardíaco y cortical— coincidan en su tendencia antes de reportar un estado de relajación, lo que reduce falsos positivos asociados a artefactos de un solo canal.</w:t>
      </w:r>
    </w:p>
    <w:p w14:paraId="6A352464" w14:textId="77777777" w:rsidR="00EA1D7F" w:rsidRDefault="00EA1D7F">
      <w:pPr>
        <w:spacing w:after="120" w:line="264" w:lineRule="auto"/>
        <w:jc w:val="both"/>
      </w:pPr>
    </w:p>
    <w:p w14:paraId="571968A7" w14:textId="77777777" w:rsidR="00EB1421" w:rsidRDefault="00FC5C83">
      <w:pPr>
        <w:pStyle w:val="Ttulo1"/>
      </w:pPr>
      <w:r>
        <w:t>2. CLASIFICACIÓN DE LAS SEÑALES PROCESADAS</w:t>
      </w:r>
    </w:p>
    <w:p w14:paraId="04D0C462" w14:textId="77777777" w:rsidR="00EB1421" w:rsidRDefault="00FC5C83">
      <w:pPr>
        <w:spacing w:after="120" w:line="264" w:lineRule="auto"/>
        <w:jc w:val="both"/>
      </w:pPr>
      <w:r>
        <w:t>El sistema procesa dos señales bioeléctricas de naturaleza distinta, resumidas en la Tabla I.</w:t>
      </w:r>
    </w:p>
    <w:p w14:paraId="580AA4CA" w14:textId="77777777" w:rsidR="00EB1421" w:rsidRDefault="00FC5C83">
      <w:pPr>
        <w:spacing w:before="40"/>
        <w:jc w:val="center"/>
      </w:pPr>
      <w:r>
        <w:rPr>
          <w:b/>
          <w:bCs/>
          <w:sz w:val="16"/>
          <w:szCs w:val="16"/>
        </w:rPr>
        <w:t>TABLA I</w:t>
      </w:r>
    </w:p>
    <w:p w14:paraId="2B60B446" w14:textId="77777777" w:rsidR="00EB1421" w:rsidRDefault="00FC5C83">
      <w:pPr>
        <w:spacing w:after="80"/>
        <w:jc w:val="center"/>
      </w:pPr>
      <w:r>
        <w:rPr>
          <w:sz w:val="16"/>
          <w:szCs w:val="16"/>
        </w:rPr>
        <w:t>Clasificación de Señales Procesadas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700"/>
        <w:gridCol w:w="1700"/>
      </w:tblGrid>
      <w:tr w:rsidR="00EB1421" w14:paraId="2ACE5667" w14:textId="77777777">
        <w:trPr>
          <w:cantSplit/>
          <w:tblHeader/>
        </w:trPr>
        <w:tc>
          <w:tcPr>
            <w:tcW w:w="11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80" w:type="dxa"/>
              <w:bottom w:w="60" w:type="dxa"/>
              <w:right w:w="80" w:type="dxa"/>
            </w:tcMar>
            <w:vAlign w:val="center"/>
          </w:tcPr>
          <w:p w14:paraId="37F0A192" w14:textId="77777777" w:rsidR="00EB1421" w:rsidRDefault="00FC5C83">
            <w:pPr>
              <w:jc w:val="center"/>
            </w:pPr>
            <w:r>
              <w:rPr>
                <w:b/>
                <w:bCs/>
                <w:color w:val="FFFFFF"/>
                <w:sz w:val="16"/>
                <w:szCs w:val="16"/>
              </w:rPr>
              <w:t>Señal</w:t>
            </w:r>
          </w:p>
        </w:tc>
        <w:tc>
          <w:tcPr>
            <w:tcW w:w="17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80" w:type="dxa"/>
              <w:bottom w:w="60" w:type="dxa"/>
              <w:right w:w="80" w:type="dxa"/>
            </w:tcMar>
            <w:vAlign w:val="center"/>
          </w:tcPr>
          <w:p w14:paraId="25732419" w14:textId="77777777" w:rsidR="00EB1421" w:rsidRDefault="00FC5C83">
            <w:pPr>
              <w:jc w:val="center"/>
            </w:pPr>
            <w:r>
              <w:rPr>
                <w:b/>
                <w:bCs/>
                <w:color w:val="FFFFFF"/>
                <w:sz w:val="16"/>
                <w:szCs w:val="16"/>
              </w:rPr>
              <w:t>Tipo / Origen</w:t>
            </w:r>
          </w:p>
        </w:tc>
        <w:tc>
          <w:tcPr>
            <w:tcW w:w="17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80" w:type="dxa"/>
              <w:bottom w:w="60" w:type="dxa"/>
              <w:right w:w="80" w:type="dxa"/>
            </w:tcMar>
            <w:vAlign w:val="center"/>
          </w:tcPr>
          <w:p w14:paraId="4D3CA68D" w14:textId="77777777" w:rsidR="00EB1421" w:rsidRDefault="00FC5C83">
            <w:pPr>
              <w:jc w:val="center"/>
            </w:pPr>
            <w:r>
              <w:rPr>
                <w:b/>
                <w:bCs/>
                <w:color w:val="FFFFFF"/>
                <w:sz w:val="16"/>
                <w:szCs w:val="16"/>
              </w:rPr>
              <w:t>Banda de interés</w:t>
            </w:r>
          </w:p>
        </w:tc>
      </w:tr>
      <w:tr w:rsidR="00EB1421" w14:paraId="57F92471" w14:textId="77777777">
        <w:trPr>
          <w:cantSplit/>
        </w:trPr>
        <w:tc>
          <w:tcPr>
            <w:tcW w:w="11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8D56577" w14:textId="77777777" w:rsidR="00EB1421" w:rsidRDefault="00FC5C83">
            <w:r>
              <w:rPr>
                <w:sz w:val="16"/>
                <w:szCs w:val="16"/>
              </w:rPr>
              <w:t>ECG</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DA25AFA" w14:textId="77777777" w:rsidR="00EB1421" w:rsidRDefault="00FC5C83">
            <w:r>
              <w:rPr>
                <w:sz w:val="16"/>
                <w:szCs w:val="16"/>
              </w:rPr>
              <w:t>Bioeléctrica, derivación II</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888ED02" w14:textId="77777777" w:rsidR="00EB1421" w:rsidRDefault="00FC5C83">
            <w:r>
              <w:rPr>
                <w:sz w:val="16"/>
                <w:szCs w:val="16"/>
              </w:rPr>
              <w:t>0.5 – 40 Hz (QRS: 5–15 Hz)</w:t>
            </w:r>
          </w:p>
        </w:tc>
      </w:tr>
      <w:tr w:rsidR="00EB1421" w14:paraId="2E93FF80" w14:textId="77777777">
        <w:trPr>
          <w:cantSplit/>
        </w:trPr>
        <w:tc>
          <w:tcPr>
            <w:tcW w:w="11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BF7DE2B" w14:textId="77777777" w:rsidR="00EB1421" w:rsidRDefault="00FC5C83">
            <w:r>
              <w:rPr>
                <w:sz w:val="16"/>
                <w:szCs w:val="16"/>
              </w:rPr>
              <w:t>EEG</w:t>
            </w:r>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F12C64D" w14:textId="77777777" w:rsidR="00EB1421" w:rsidRDefault="00FC5C83">
            <w:r>
              <w:rPr>
                <w:sz w:val="16"/>
                <w:szCs w:val="16"/>
              </w:rPr>
              <w:t xml:space="preserve">Bioeléctrica, </w:t>
            </w:r>
            <w:proofErr w:type="spellStart"/>
            <w:r>
              <w:rPr>
                <w:sz w:val="16"/>
                <w:szCs w:val="16"/>
              </w:rPr>
              <w:t>Fz</w:t>
            </w:r>
            <w:proofErr w:type="spellEnd"/>
            <w:r>
              <w:rPr>
                <w:sz w:val="16"/>
                <w:szCs w:val="16"/>
              </w:rPr>
              <w:t>/</w:t>
            </w:r>
            <w:proofErr w:type="spellStart"/>
            <w:r>
              <w:rPr>
                <w:sz w:val="16"/>
                <w:szCs w:val="16"/>
              </w:rPr>
              <w:t>Cz</w:t>
            </w:r>
            <w:proofErr w:type="spellEnd"/>
          </w:p>
        </w:tc>
        <w:tc>
          <w:tcPr>
            <w:tcW w:w="17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E4E5808" w14:textId="77777777" w:rsidR="00EB1421" w:rsidRDefault="00FC5C83">
            <w:r>
              <w:rPr>
                <w:sz w:val="16"/>
                <w:szCs w:val="16"/>
              </w:rPr>
              <w:t>Alfa: 8 – 13 Hz</w:t>
            </w:r>
          </w:p>
        </w:tc>
      </w:tr>
    </w:tbl>
    <w:p w14:paraId="7EBDAE1C" w14:textId="77777777" w:rsidR="00EB1421" w:rsidRDefault="00EB1421">
      <w:pPr>
        <w:spacing w:after="160"/>
      </w:pPr>
    </w:p>
    <w:p w14:paraId="4DCD557E" w14:textId="77777777" w:rsidR="00EB1421" w:rsidRDefault="00FC5C83">
      <w:pPr>
        <w:pStyle w:val="Ttulo1"/>
      </w:pPr>
      <w:r>
        <w:t>3. DESCRIPCIÓN DEL PROCESAMIENTO APLICADO</w:t>
      </w:r>
    </w:p>
    <w:p w14:paraId="59559D36" w14:textId="77777777" w:rsidR="00EB1421" w:rsidRDefault="00FC5C83">
      <w:pPr>
        <w:pStyle w:val="Ttulo2"/>
      </w:pPr>
      <w:r>
        <w:t>A. Adquisición y Estructura del Sistema</w:t>
      </w:r>
    </w:p>
    <w:p w14:paraId="447D03AC" w14:textId="77777777" w:rsidR="00EB1421" w:rsidRDefault="00FC5C83">
      <w:pPr>
        <w:spacing w:after="120" w:line="264" w:lineRule="auto"/>
        <w:jc w:val="both"/>
      </w:pPr>
      <w:r>
        <w:t xml:space="preserve">La adquisición se realiza con el sistema BIOPAC, estableciendo un puente de datos en tiempo real hacia Python mediante el protocolo Lab </w:t>
      </w:r>
      <w:proofErr w:type="spellStart"/>
      <w:r>
        <w:t>Streaming</w:t>
      </w:r>
      <w:proofErr w:type="spellEnd"/>
      <w:r>
        <w:t xml:space="preserve"> Layer (LSL). El software implementa un buffer circular deslizante de 2 segundos de duración por canal; sobre cada ventana se ejecutan los algoritmos descritos en las secciones B y C, y la interfaz gráfica se actualiza a una tasa de 5 Hz (cada 200 ms), cumpliendo el requisito de procesamiento en tiempo real bajo restricción de bloques.</w:t>
      </w:r>
    </w:p>
    <w:p w14:paraId="407FFE31" w14:textId="77777777" w:rsidR="00EA1D7F" w:rsidRDefault="00EA1D7F">
      <w:pPr>
        <w:spacing w:after="120" w:line="264" w:lineRule="auto"/>
        <w:jc w:val="both"/>
      </w:pPr>
    </w:p>
    <w:p w14:paraId="1691B712" w14:textId="77777777" w:rsidR="00EA1D7F" w:rsidRDefault="00EA1D7F">
      <w:pPr>
        <w:spacing w:after="120" w:line="264" w:lineRule="auto"/>
        <w:jc w:val="both"/>
      </w:pPr>
    </w:p>
    <w:p w14:paraId="0B02BC46" w14:textId="77777777" w:rsidR="00EB1421" w:rsidRDefault="00FC5C83">
      <w:pPr>
        <w:pStyle w:val="Ttulo2"/>
      </w:pPr>
      <w:r>
        <w:t>B. Procesamiento de ECG</w:t>
      </w:r>
    </w:p>
    <w:p w14:paraId="02FD744B" w14:textId="77777777" w:rsidR="00EB1421" w:rsidRDefault="00FC5C83">
      <w:pPr>
        <w:spacing w:after="120" w:line="264" w:lineRule="auto"/>
        <w:jc w:val="both"/>
      </w:pPr>
      <w:r>
        <w:t xml:space="preserve">La señal de ECG se filtra con un filtro Butterworth pasa-banda de orden 4 entre 5 y 15 Hz para resaltar el complejo </w:t>
      </w:r>
      <w:r>
        <w:lastRenderedPageBreak/>
        <w:t>QRS. Posteriormente se aplica un algoritmo de detección de picos R basado en Pan-Tompkins simplificado: diferenciación, elevación al cuadrado e integración con ventana móvil de 150 ms, seguido de un umbral adaptativo al 50% del valor máximo de la señal integrada.</w:t>
      </w:r>
    </w:p>
    <w:p w14:paraId="506310D3" w14:textId="77777777" w:rsidR="00EB1421" w:rsidRDefault="00FC5C83">
      <w:pPr>
        <w:spacing w:after="120" w:line="264" w:lineRule="auto"/>
        <w:jc w:val="both"/>
      </w:pPr>
      <w:r>
        <w:t>A partir de los índices de los picos R se construye la serie de intervalos R-R (</w:t>
      </w:r>
      <w:proofErr w:type="spellStart"/>
      <w:r>
        <w:t>tacograma</w:t>
      </w:r>
      <w:proofErr w:type="spellEnd"/>
      <w:r>
        <w:t>). La métrica temporal de HRV, RMSSD, se calcula como la raíz cuadrática media de las diferencias sucesivas entre intervalos R-R consecutivos:</w:t>
      </w:r>
    </w:p>
    <w:p w14:paraId="0389559C" w14:textId="77777777" w:rsidR="00EB1421" w:rsidRDefault="00FC5C83">
      <w:pPr>
        <w:tabs>
          <w:tab w:val="right" w:pos="4320"/>
        </w:tabs>
        <w:spacing w:before="100" w:after="100"/>
        <w:jc w:val="center"/>
      </w:pPr>
      <w:r>
        <w:rPr>
          <w:rFonts w:ascii="Cambria Math" w:eastAsia="Cambria Math" w:hAnsi="Cambria Math" w:cs="Cambria Math"/>
          <w:i/>
          <w:iCs/>
        </w:rPr>
        <w:t xml:space="preserve">RMSSD = </w:t>
      </w:r>
      <w:proofErr w:type="gramStart"/>
      <w:r>
        <w:rPr>
          <w:rFonts w:ascii="Cambria Math" w:eastAsia="Cambria Math" w:hAnsi="Cambria Math" w:cs="Cambria Math"/>
          <w:i/>
          <w:iCs/>
        </w:rPr>
        <w:t>√[</w:t>
      </w:r>
      <w:proofErr w:type="gramEnd"/>
      <w:r>
        <w:rPr>
          <w:rFonts w:ascii="Cambria Math" w:eastAsia="Cambria Math" w:hAnsi="Cambria Math" w:cs="Cambria Math"/>
          <w:i/>
          <w:iCs/>
        </w:rPr>
        <w:t xml:space="preserve"> (1⁄(N−1)) Σ (RR</w:t>
      </w:r>
      <w:r>
        <w:rPr>
          <w:rFonts w:ascii="Cambria Math" w:eastAsia="Cambria Math" w:hAnsi="Cambria Math" w:cs="Cambria Math"/>
          <w:i/>
          <w:iCs/>
        </w:rPr>
        <w:t>ᵢ</w:t>
      </w:r>
      <w:r>
        <w:rPr>
          <w:rFonts w:ascii="Cambria Math" w:eastAsia="Cambria Math" w:hAnsi="Cambria Math" w:cs="Cambria Math"/>
          <w:i/>
          <w:iCs/>
        </w:rPr>
        <w:t>₊₁</w:t>
      </w:r>
      <w:r>
        <w:rPr>
          <w:rFonts w:ascii="Cambria Math" w:eastAsia="Cambria Math" w:hAnsi="Cambria Math" w:cs="Cambria Math"/>
          <w:i/>
          <w:iCs/>
        </w:rPr>
        <w:t xml:space="preserve"> − </w:t>
      </w:r>
      <w:proofErr w:type="gramStart"/>
      <w:r>
        <w:rPr>
          <w:rFonts w:ascii="Cambria Math" w:eastAsia="Cambria Math" w:hAnsi="Cambria Math" w:cs="Cambria Math"/>
          <w:i/>
          <w:iCs/>
        </w:rPr>
        <w:t>RR</w:t>
      </w:r>
      <w:r>
        <w:rPr>
          <w:rFonts w:ascii="Cambria Math" w:eastAsia="Cambria Math" w:hAnsi="Cambria Math" w:cs="Cambria Math"/>
          <w:i/>
          <w:iCs/>
        </w:rPr>
        <w:t>ᵢ</w:t>
      </w:r>
      <w:r>
        <w:rPr>
          <w:rFonts w:ascii="Cambria Math" w:eastAsia="Cambria Math" w:hAnsi="Cambria Math" w:cs="Cambria Math"/>
          <w:i/>
          <w:iCs/>
        </w:rPr>
        <w:t>)²</w:t>
      </w:r>
      <w:proofErr w:type="gramEnd"/>
      <w:r>
        <w:rPr>
          <w:rFonts w:ascii="Cambria Math" w:eastAsia="Cambria Math" w:hAnsi="Cambria Math" w:cs="Cambria Math"/>
          <w:i/>
          <w:iCs/>
        </w:rPr>
        <w:t xml:space="preserve"> ]</w:t>
      </w:r>
      <w:r>
        <w:tab/>
        <w:t>(1)</w:t>
      </w:r>
    </w:p>
    <w:p w14:paraId="46A5FBD1" w14:textId="77777777" w:rsidR="00EB1421" w:rsidRDefault="00FC5C83">
      <w:pPr>
        <w:spacing w:after="120" w:line="264" w:lineRule="auto"/>
        <w:jc w:val="both"/>
      </w:pPr>
      <w:r>
        <w:t>donde RRᵢ es el i-</w:t>
      </w:r>
      <w:proofErr w:type="spellStart"/>
      <w:r>
        <w:t>ésimo</w:t>
      </w:r>
      <w:proofErr w:type="spellEnd"/>
      <w:r>
        <w:t xml:space="preserve"> intervalo R-R en milisegundos y N es el número total de intervalos en la ventana de análisis. Valores elevados de RMSSD se asocian a mayor actividad parasimpática y, por tanto, a un estado de mayor relajación.</w:t>
      </w:r>
    </w:p>
    <w:p w14:paraId="68BA58F7" w14:textId="77777777" w:rsidR="00EB1421" w:rsidRDefault="00FC5C83">
      <w:pPr>
        <w:spacing w:after="120" w:line="264" w:lineRule="auto"/>
        <w:jc w:val="both"/>
      </w:pPr>
      <w:r>
        <w:t xml:space="preserve">Para el análisis espectral, el </w:t>
      </w:r>
      <w:proofErr w:type="spellStart"/>
      <w:r>
        <w:t>tacograma</w:t>
      </w:r>
      <w:proofErr w:type="spellEnd"/>
      <w:r>
        <w:t xml:space="preserve"> se </w:t>
      </w:r>
      <w:proofErr w:type="spellStart"/>
      <w:r>
        <w:t>re-muestrea</w:t>
      </w:r>
      <w:proofErr w:type="spellEnd"/>
      <w:r>
        <w:t xml:space="preserve"> a una frecuencia uniforme de 4 Hz mediante interpolación cúbica y se le aplica la Transformada Rápida de Fourier (FFT) con ventana de Hanning. La potencia en cada banda fisiológica se obtiene integrando la densidad espectral mediante la regla del trapecio:</w:t>
      </w:r>
    </w:p>
    <w:p w14:paraId="4FF3E5FA" w14:textId="77777777" w:rsidR="00EB1421" w:rsidRDefault="00FC5C83">
      <w:pPr>
        <w:tabs>
          <w:tab w:val="right" w:pos="4320"/>
        </w:tabs>
        <w:spacing w:before="100" w:after="100"/>
        <w:jc w:val="center"/>
      </w:pPr>
      <w:proofErr w:type="spellStart"/>
      <w:r>
        <w:rPr>
          <w:rFonts w:ascii="Cambria Math" w:eastAsia="Cambria Math" w:hAnsi="Cambria Math" w:cs="Cambria Math"/>
          <w:i/>
          <w:iCs/>
        </w:rPr>
        <w:t>P_banda</w:t>
      </w:r>
      <w:proofErr w:type="spellEnd"/>
      <w:r>
        <w:rPr>
          <w:rFonts w:ascii="Cambria Math" w:eastAsia="Cambria Math" w:hAnsi="Cambria Math" w:cs="Cambria Math"/>
          <w:i/>
          <w:iCs/>
        </w:rPr>
        <w:t xml:space="preserve"> = ∫ PSD(f) </w:t>
      </w:r>
      <w:proofErr w:type="spellStart"/>
      <w:proofErr w:type="gramStart"/>
      <w:r>
        <w:rPr>
          <w:rFonts w:ascii="Cambria Math" w:eastAsia="Cambria Math" w:hAnsi="Cambria Math" w:cs="Cambria Math"/>
          <w:i/>
          <w:iCs/>
        </w:rPr>
        <w:t>df</w:t>
      </w:r>
      <w:proofErr w:type="spellEnd"/>
      <w:r>
        <w:rPr>
          <w:rFonts w:ascii="Cambria Math" w:eastAsia="Cambria Math" w:hAnsi="Cambria Math" w:cs="Cambria Math"/>
          <w:i/>
          <w:iCs/>
        </w:rPr>
        <w:t>,  f</w:t>
      </w:r>
      <w:proofErr w:type="gramEnd"/>
      <w:r>
        <w:rPr>
          <w:rFonts w:ascii="Cambria Math" w:eastAsia="Cambria Math" w:hAnsi="Cambria Math" w:cs="Cambria Math"/>
          <w:i/>
          <w:iCs/>
        </w:rPr>
        <w:t xml:space="preserve"> ∈ [</w:t>
      </w:r>
      <w:proofErr w:type="spellStart"/>
      <w:r>
        <w:rPr>
          <w:rFonts w:ascii="Cambria Math" w:eastAsia="Cambria Math" w:hAnsi="Cambria Math" w:cs="Cambria Math"/>
          <w:i/>
          <w:iCs/>
        </w:rPr>
        <w:t>f_low</w:t>
      </w:r>
      <w:proofErr w:type="spellEnd"/>
      <w:r>
        <w:rPr>
          <w:rFonts w:ascii="Cambria Math" w:eastAsia="Cambria Math" w:hAnsi="Cambria Math" w:cs="Cambria Math"/>
          <w:i/>
          <w:iCs/>
        </w:rPr>
        <w:t xml:space="preserve">, </w:t>
      </w:r>
      <w:proofErr w:type="spellStart"/>
      <w:r>
        <w:rPr>
          <w:rFonts w:ascii="Cambria Math" w:eastAsia="Cambria Math" w:hAnsi="Cambria Math" w:cs="Cambria Math"/>
          <w:i/>
          <w:iCs/>
        </w:rPr>
        <w:t>f_high</w:t>
      </w:r>
      <w:proofErr w:type="spellEnd"/>
      <w:r>
        <w:rPr>
          <w:rFonts w:ascii="Cambria Math" w:eastAsia="Cambria Math" w:hAnsi="Cambria Math" w:cs="Cambria Math"/>
          <w:i/>
          <w:iCs/>
        </w:rPr>
        <w:t>]</w:t>
      </w:r>
      <w:r>
        <w:tab/>
        <w:t>(2)</w:t>
      </w:r>
    </w:p>
    <w:p w14:paraId="5ACA9763" w14:textId="77777777" w:rsidR="00EB1421" w:rsidRDefault="00FC5C83">
      <w:pPr>
        <w:spacing w:after="120" w:line="264" w:lineRule="auto"/>
        <w:jc w:val="both"/>
      </w:pPr>
      <w:r>
        <w:t>Las bandas consideradas son LF (0.04–0.15 Hz), asociada a actividad simpática, y HF (0.15–0.40 Hz), asociada a actividad parasimpática/respiratoria. El índice de balance autonómico se define como:</w:t>
      </w:r>
    </w:p>
    <w:p w14:paraId="291E9C90" w14:textId="77777777" w:rsidR="00EB1421" w:rsidRDefault="00FC5C83">
      <w:pPr>
        <w:tabs>
          <w:tab w:val="right" w:pos="4320"/>
        </w:tabs>
        <w:spacing w:before="100" w:after="100"/>
        <w:jc w:val="center"/>
      </w:pPr>
      <w:r>
        <w:rPr>
          <w:rFonts w:ascii="Cambria Math" w:eastAsia="Cambria Math" w:hAnsi="Cambria Math" w:cs="Cambria Math"/>
          <w:i/>
          <w:iCs/>
        </w:rPr>
        <w:t>LF/HF = P_LF / P_HF</w:t>
      </w:r>
      <w:r>
        <w:tab/>
        <w:t>(3)</w:t>
      </w:r>
    </w:p>
    <w:p w14:paraId="1060F034" w14:textId="31C477A2" w:rsidR="00EA1D7F" w:rsidRDefault="00FC5C83">
      <w:pPr>
        <w:spacing w:after="120" w:line="264" w:lineRule="auto"/>
        <w:jc w:val="both"/>
      </w:pPr>
      <w:r>
        <w:t>Valores de LF/HF inferiores a la unidad indican predominio parasimpático (relajación), mientras que valores superiores a 2 son característicos de activación simpática (estrés).</w:t>
      </w:r>
    </w:p>
    <w:p w14:paraId="7A39960F" w14:textId="77777777" w:rsidR="00EA1D7F" w:rsidRDefault="00EA1D7F">
      <w:pPr>
        <w:spacing w:after="120" w:line="264" w:lineRule="auto"/>
        <w:jc w:val="both"/>
      </w:pPr>
    </w:p>
    <w:p w14:paraId="582BA6B4" w14:textId="77777777" w:rsidR="00EB1421" w:rsidRDefault="00FC5C83">
      <w:pPr>
        <w:pStyle w:val="Ttulo2"/>
      </w:pPr>
      <w:r>
        <w:t>C. Procesamiento de EEG</w:t>
      </w:r>
    </w:p>
    <w:p w14:paraId="1DA721AE" w14:textId="77777777" w:rsidR="00EB1421" w:rsidRDefault="00FC5C83">
      <w:pPr>
        <w:spacing w:after="120" w:line="264" w:lineRule="auto"/>
        <w:jc w:val="both"/>
      </w:pPr>
      <w:r>
        <w:t xml:space="preserve">La señal de EEG se </w:t>
      </w:r>
      <w:proofErr w:type="spellStart"/>
      <w:r>
        <w:t>pre-procesa</w:t>
      </w:r>
      <w:proofErr w:type="spellEnd"/>
      <w:r>
        <w:t xml:space="preserve"> con un filtro </w:t>
      </w:r>
      <w:proofErr w:type="spellStart"/>
      <w:r>
        <w:t>notch</w:t>
      </w:r>
      <w:proofErr w:type="spellEnd"/>
      <w:r>
        <w:t xml:space="preserve"> Butterworth de orden 2 centrado en 60 Hz para eliminar la interferencia de línea eléctrica, y posteriormente con un filtro pasa-banda Butterworth de orden 4 entre 8 y 13 Hz para aislar la banda Alfa.</w:t>
      </w:r>
    </w:p>
    <w:p w14:paraId="2FC3E555" w14:textId="77777777" w:rsidR="00EB1421" w:rsidRDefault="00FC5C83">
      <w:pPr>
        <w:spacing w:after="120" w:line="264" w:lineRule="auto"/>
        <w:jc w:val="both"/>
      </w:pPr>
      <w:r>
        <w:t>La densidad de potencia espectral (PSD) se calcula aplicando la FFT con ventana de Hanning sobre el bloque de 2 segundos:</w:t>
      </w:r>
    </w:p>
    <w:p w14:paraId="0941AE8C" w14:textId="77777777" w:rsidR="00EB1421" w:rsidRDefault="00FC5C83">
      <w:pPr>
        <w:tabs>
          <w:tab w:val="right" w:pos="4320"/>
        </w:tabs>
        <w:spacing w:before="100" w:after="100"/>
        <w:jc w:val="center"/>
      </w:pPr>
      <w:r>
        <w:rPr>
          <w:rFonts w:ascii="Cambria Math" w:eastAsia="Cambria Math" w:hAnsi="Cambria Math" w:cs="Cambria Math"/>
          <w:i/>
          <w:iCs/>
        </w:rPr>
        <w:t>PSD(f) = |FFT(</w:t>
      </w:r>
      <w:proofErr w:type="spellStart"/>
      <w:r>
        <w:rPr>
          <w:rFonts w:ascii="Cambria Math" w:eastAsia="Cambria Math" w:hAnsi="Cambria Math" w:cs="Cambria Math"/>
          <w:i/>
          <w:iCs/>
        </w:rPr>
        <w:t>x·</w:t>
      </w:r>
      <w:proofErr w:type="gramStart"/>
      <w:r>
        <w:rPr>
          <w:rFonts w:ascii="Cambria Math" w:eastAsia="Cambria Math" w:hAnsi="Cambria Math" w:cs="Cambria Math"/>
          <w:i/>
          <w:iCs/>
        </w:rPr>
        <w:t>w</w:t>
      </w:r>
      <w:proofErr w:type="spellEnd"/>
      <w:r>
        <w:rPr>
          <w:rFonts w:ascii="Cambria Math" w:eastAsia="Cambria Math" w:hAnsi="Cambria Math" w:cs="Cambria Math"/>
          <w:i/>
          <w:iCs/>
        </w:rPr>
        <w:t>)|</w:t>
      </w:r>
      <w:proofErr w:type="gramEnd"/>
      <w:r>
        <w:rPr>
          <w:rFonts w:ascii="Cambria Math" w:eastAsia="Cambria Math" w:hAnsi="Cambria Math" w:cs="Cambria Math"/>
          <w:i/>
          <w:iCs/>
        </w:rPr>
        <w:t>² / N</w:t>
      </w:r>
      <w:r>
        <w:tab/>
        <w:t>(4)</w:t>
      </w:r>
    </w:p>
    <w:p w14:paraId="37D1DAF8" w14:textId="77777777" w:rsidR="00EB1421" w:rsidRDefault="00FC5C83">
      <w:pPr>
        <w:spacing w:after="120" w:line="264" w:lineRule="auto"/>
        <w:jc w:val="both"/>
      </w:pPr>
      <w:r>
        <w:t>donde x es la señal de EEG, w es la ventana de Hanning y N es el número de muestras en la ventana. La potencia Alfa relativa se obtiene normalizando la potencia integrada en la banda 8–13 Hz respecto a la potencia total en la banda 1–40 Hz:</w:t>
      </w:r>
    </w:p>
    <w:p w14:paraId="08CA3915" w14:textId="77777777" w:rsidR="00EB1421" w:rsidRDefault="00FC5C83">
      <w:pPr>
        <w:tabs>
          <w:tab w:val="right" w:pos="4320"/>
        </w:tabs>
        <w:spacing w:before="100" w:after="100"/>
        <w:jc w:val="center"/>
      </w:pPr>
      <w:proofErr w:type="spellStart"/>
      <w:r>
        <w:rPr>
          <w:rFonts w:ascii="Cambria Math" w:eastAsia="Cambria Math" w:hAnsi="Cambria Math" w:cs="Cambria Math"/>
          <w:i/>
          <w:iCs/>
        </w:rPr>
        <w:t>Alfa_relativa</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P_alfa</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P_total</w:t>
      </w:r>
      <w:proofErr w:type="spellEnd"/>
      <w:r>
        <w:tab/>
        <w:t>(5)</w:t>
      </w:r>
    </w:p>
    <w:p w14:paraId="50FC9E10" w14:textId="77777777" w:rsidR="00EB1421" w:rsidRDefault="00FC5C83">
      <w:pPr>
        <w:spacing w:after="120" w:line="264" w:lineRule="auto"/>
        <w:jc w:val="both"/>
      </w:pPr>
      <w:r>
        <w:t>Un incremento sostenido en la potencia Alfa relativa, frecuentemente acompañado del cierre ocular, se interpreta como un correlato cortical de relajación.</w:t>
      </w:r>
    </w:p>
    <w:p w14:paraId="375422B6" w14:textId="77777777" w:rsidR="00EA1D7F" w:rsidRDefault="00EA1D7F">
      <w:pPr>
        <w:spacing w:after="120" w:line="264" w:lineRule="auto"/>
        <w:jc w:val="both"/>
      </w:pPr>
    </w:p>
    <w:p w14:paraId="0648B7F0" w14:textId="77777777" w:rsidR="00EB1421" w:rsidRDefault="00FC5C83">
      <w:pPr>
        <w:pStyle w:val="Ttulo2"/>
      </w:pPr>
      <w:r>
        <w:t>D. Lógica de Fusión y GUI</w:t>
      </w:r>
    </w:p>
    <w:p w14:paraId="2EC529C9" w14:textId="77777777" w:rsidR="00EB1421" w:rsidRDefault="00FC5C83">
      <w:pPr>
        <w:spacing w:after="120" w:line="264" w:lineRule="auto"/>
        <w:jc w:val="both"/>
      </w:pPr>
      <w:r>
        <w:t>La interfaz gráfica, desarrollada en PyQt5, implementa un semáforo de tres estados que combina ambos biomarcadores según la Tabla II. El estado verde requiere coincidencia simultánea de potencia Alfa elevada y razón LF/HF reducida; el estado rojo requiere que ambas condiciones indiquen activación; cualquier combinación mixta se reporta como estado neutral (amarillo), evitando decisiones binarias prematuras ante datos contradictorios.</w:t>
      </w:r>
    </w:p>
    <w:p w14:paraId="713BA20F" w14:textId="77777777" w:rsidR="008578AB" w:rsidRDefault="008578AB">
      <w:pPr>
        <w:spacing w:after="120" w:line="264" w:lineRule="auto"/>
        <w:jc w:val="both"/>
      </w:pPr>
    </w:p>
    <w:p w14:paraId="5CE0D551" w14:textId="77777777" w:rsidR="00EB1421" w:rsidRDefault="00FC5C83">
      <w:pPr>
        <w:spacing w:before="40"/>
        <w:jc w:val="center"/>
      </w:pPr>
      <w:r>
        <w:rPr>
          <w:b/>
          <w:bCs/>
          <w:sz w:val="16"/>
          <w:szCs w:val="16"/>
        </w:rPr>
        <w:t>TABLA II</w:t>
      </w:r>
    </w:p>
    <w:p w14:paraId="38646156" w14:textId="77777777" w:rsidR="00EB1421" w:rsidRDefault="00FC5C83">
      <w:pPr>
        <w:spacing w:after="80"/>
        <w:jc w:val="center"/>
      </w:pPr>
      <w:r>
        <w:rPr>
          <w:sz w:val="16"/>
          <w:szCs w:val="16"/>
        </w:rPr>
        <w:t>Lógica de Decisión del Semáforo de Relajación</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800"/>
      </w:tblGrid>
      <w:tr w:rsidR="00EB1421" w14:paraId="667ADE15" w14:textId="77777777">
        <w:trPr>
          <w:tblHeader/>
        </w:trPr>
        <w:tc>
          <w:tcPr>
            <w:tcW w:w="9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80" w:type="dxa"/>
              <w:bottom w:w="60" w:type="dxa"/>
              <w:right w:w="80" w:type="dxa"/>
            </w:tcMar>
            <w:vAlign w:val="center"/>
          </w:tcPr>
          <w:p w14:paraId="7DF70312" w14:textId="77777777" w:rsidR="00EB1421" w:rsidRDefault="00FC5C83">
            <w:pPr>
              <w:jc w:val="center"/>
            </w:pPr>
            <w:r>
              <w:rPr>
                <w:b/>
                <w:bCs/>
                <w:color w:val="FFFFFF"/>
                <w:sz w:val="16"/>
                <w:szCs w:val="16"/>
              </w:rPr>
              <w:t>Estado</w:t>
            </w: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80" w:type="dxa"/>
              <w:bottom w:w="60" w:type="dxa"/>
              <w:right w:w="80" w:type="dxa"/>
            </w:tcMar>
            <w:vAlign w:val="center"/>
          </w:tcPr>
          <w:p w14:paraId="083DB9C9" w14:textId="77777777" w:rsidR="00EB1421" w:rsidRDefault="00FC5C83">
            <w:pPr>
              <w:jc w:val="center"/>
            </w:pPr>
            <w:r>
              <w:rPr>
                <w:b/>
                <w:bCs/>
                <w:color w:val="FFFFFF"/>
                <w:sz w:val="16"/>
                <w:szCs w:val="16"/>
              </w:rPr>
              <w:t>Alfa relativa</w:t>
            </w:r>
          </w:p>
        </w:tc>
        <w:tc>
          <w:tcPr>
            <w:tcW w:w="18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80" w:type="dxa"/>
              <w:bottom w:w="60" w:type="dxa"/>
              <w:right w:w="80" w:type="dxa"/>
            </w:tcMar>
            <w:vAlign w:val="center"/>
          </w:tcPr>
          <w:p w14:paraId="430D0B64" w14:textId="77777777" w:rsidR="00EB1421" w:rsidRDefault="00FC5C83">
            <w:pPr>
              <w:jc w:val="center"/>
            </w:pPr>
            <w:r>
              <w:rPr>
                <w:b/>
                <w:bCs/>
                <w:color w:val="FFFFFF"/>
                <w:sz w:val="16"/>
                <w:szCs w:val="16"/>
              </w:rPr>
              <w:t>LF/HF</w:t>
            </w:r>
          </w:p>
        </w:tc>
      </w:tr>
      <w:tr w:rsidR="00EB1421" w14:paraId="0E04C0B8" w14:textId="77777777">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12A6B4E8" w14:textId="77777777" w:rsidR="00EB1421" w:rsidRDefault="00FC5C83">
            <w:pPr>
              <w:jc w:val="center"/>
            </w:pPr>
            <w:r>
              <w:rPr>
                <w:sz w:val="16"/>
                <w:szCs w:val="16"/>
              </w:rPr>
              <w:t>Verde (relajado)</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2076E3A0" w14:textId="77777777" w:rsidR="00EB1421" w:rsidRDefault="00FC5C83">
            <w:pPr>
              <w:jc w:val="center"/>
            </w:pPr>
            <w:r>
              <w:rPr>
                <w:sz w:val="16"/>
                <w:szCs w:val="16"/>
              </w:rPr>
              <w:t>&gt; 25 %</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C074593" w14:textId="77777777" w:rsidR="00EB1421" w:rsidRDefault="00FC5C83">
            <w:pPr>
              <w:jc w:val="center"/>
            </w:pPr>
            <w:r>
              <w:rPr>
                <w:sz w:val="16"/>
                <w:szCs w:val="16"/>
              </w:rPr>
              <w:t>&lt; 1.5</w:t>
            </w:r>
          </w:p>
        </w:tc>
      </w:tr>
      <w:tr w:rsidR="00EB1421" w14:paraId="2948EE69" w14:textId="77777777">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761FBAD" w14:textId="77777777" w:rsidR="00EB1421" w:rsidRDefault="00FC5C83">
            <w:pPr>
              <w:jc w:val="center"/>
            </w:pPr>
            <w:r>
              <w:rPr>
                <w:sz w:val="16"/>
                <w:szCs w:val="16"/>
              </w:rPr>
              <w:t>Amarillo (neutral)</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35011BD3" w14:textId="77777777" w:rsidR="00EB1421" w:rsidRDefault="00FC5C83">
            <w:pPr>
              <w:jc w:val="center"/>
            </w:pPr>
            <w:r>
              <w:rPr>
                <w:sz w:val="16"/>
                <w:szCs w:val="16"/>
              </w:rPr>
              <w:t>condición mixta</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69550C9" w14:textId="77777777" w:rsidR="00EB1421" w:rsidRDefault="00FC5C83">
            <w:pPr>
              <w:jc w:val="center"/>
            </w:pPr>
            <w:r>
              <w:rPr>
                <w:sz w:val="16"/>
                <w:szCs w:val="16"/>
              </w:rPr>
              <w:t>condición mixta</w:t>
            </w:r>
          </w:p>
        </w:tc>
      </w:tr>
      <w:tr w:rsidR="00EB1421" w14:paraId="3D3C150D" w14:textId="77777777">
        <w:tc>
          <w:tcPr>
            <w:tcW w:w="9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6DEEFF3E" w14:textId="77777777" w:rsidR="00EB1421" w:rsidRDefault="00FC5C83">
            <w:pPr>
              <w:jc w:val="center"/>
            </w:pPr>
            <w:r>
              <w:rPr>
                <w:sz w:val="16"/>
                <w:szCs w:val="16"/>
              </w:rPr>
              <w:t>Rojo (estresado)</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04C2EA35" w14:textId="77777777" w:rsidR="00EB1421" w:rsidRDefault="00FC5C83">
            <w:pPr>
              <w:jc w:val="center"/>
            </w:pPr>
            <w:r>
              <w:rPr>
                <w:sz w:val="16"/>
                <w:szCs w:val="16"/>
              </w:rPr>
              <w:t>≤ 25 %</w:t>
            </w:r>
          </w:p>
        </w:tc>
        <w:tc>
          <w:tcPr>
            <w:tcW w:w="1800" w:type="dxa"/>
            <w:tcBorders>
              <w:top w:val="single" w:sz="2" w:space="0" w:color="999999"/>
              <w:left w:val="single" w:sz="2" w:space="0" w:color="999999"/>
              <w:bottom w:val="single" w:sz="2" w:space="0" w:color="999999"/>
              <w:right w:val="single" w:sz="2" w:space="0" w:color="999999"/>
            </w:tcBorders>
            <w:tcMar>
              <w:top w:w="60" w:type="dxa"/>
              <w:left w:w="80" w:type="dxa"/>
              <w:bottom w:w="60" w:type="dxa"/>
              <w:right w:w="80" w:type="dxa"/>
            </w:tcMar>
          </w:tcPr>
          <w:p w14:paraId="449FB052" w14:textId="77777777" w:rsidR="00EB1421" w:rsidRDefault="00FC5C83">
            <w:pPr>
              <w:jc w:val="center"/>
            </w:pPr>
            <w:r>
              <w:rPr>
                <w:sz w:val="16"/>
                <w:szCs w:val="16"/>
              </w:rPr>
              <w:t>≥ 1.5</w:t>
            </w:r>
          </w:p>
        </w:tc>
      </w:tr>
    </w:tbl>
    <w:p w14:paraId="63665CA0" w14:textId="77777777" w:rsidR="00EA1D7F" w:rsidRDefault="00EA1D7F">
      <w:pPr>
        <w:pStyle w:val="Ttulo1"/>
      </w:pPr>
    </w:p>
    <w:p w14:paraId="3DD6AF35" w14:textId="592E61AF" w:rsidR="00EB1421" w:rsidRDefault="00FC5C83">
      <w:pPr>
        <w:pStyle w:val="Ttulo1"/>
      </w:pPr>
      <w:r>
        <w:t>4. PRUEBAS DEL SISTEMA</w:t>
      </w:r>
    </w:p>
    <w:p w14:paraId="700C5998" w14:textId="77777777" w:rsidR="00EB1421" w:rsidRDefault="00FC5C83">
      <w:pPr>
        <w:spacing w:after="120" w:line="264" w:lineRule="auto"/>
        <w:jc w:val="both"/>
      </w:pPr>
      <w:r>
        <w:t>El sistema se evaluó con dos sujetos experimentales (S1, S2) pertenecientes al equipo de desarrollo. Cada sujeto realizó dos protocolos de 3 minutos: (i) relajación con ojos cerrados y respiración pausada, y (</w:t>
      </w:r>
      <w:proofErr w:type="spellStart"/>
      <w:r>
        <w:t>ii</w:t>
      </w:r>
      <w:proofErr w:type="spellEnd"/>
      <w:r>
        <w:t>) una tarea de carga cognitiva (cálculo mental con restricción de tiempo) acompañada de ruido ambiental. Los valores reportados en la Tabla III son ilustrativos y deberán sustituirse por los datos reales obtenidos en las pruebas con BIOPAC.</w:t>
      </w:r>
    </w:p>
    <w:p w14:paraId="154C74F1" w14:textId="77777777" w:rsidR="008578AB" w:rsidRDefault="008578AB">
      <w:pPr>
        <w:spacing w:after="120" w:line="264" w:lineRule="auto"/>
        <w:jc w:val="both"/>
      </w:pPr>
    </w:p>
    <w:p w14:paraId="24D61827" w14:textId="77777777" w:rsidR="00EB1421" w:rsidRDefault="00FC5C83">
      <w:pPr>
        <w:spacing w:before="40"/>
        <w:jc w:val="center"/>
      </w:pPr>
      <w:r>
        <w:rPr>
          <w:b/>
          <w:bCs/>
          <w:sz w:val="16"/>
          <w:szCs w:val="16"/>
        </w:rPr>
        <w:t>TABLA III</w:t>
      </w:r>
    </w:p>
    <w:p w14:paraId="4469546D" w14:textId="1A9DB830" w:rsidR="00EB1421" w:rsidRDefault="00FC5C83">
      <w:pPr>
        <w:spacing w:after="80"/>
        <w:jc w:val="center"/>
      </w:pPr>
      <w:r>
        <w:rPr>
          <w:sz w:val="16"/>
          <w:szCs w:val="16"/>
        </w:rPr>
        <w:t>Resultados de las Pruebas Experimentales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50"/>
        <w:gridCol w:w="950"/>
        <w:gridCol w:w="950"/>
        <w:gridCol w:w="950"/>
      </w:tblGrid>
      <w:tr w:rsidR="00EB1421" w14:paraId="33F1D5F5" w14:textId="77777777">
        <w:trPr>
          <w:tblHeader/>
        </w:trPr>
        <w:tc>
          <w:tcPr>
            <w:tcW w:w="700" w:type="dxa"/>
            <w:tcBorders>
              <w:top w:val="single" w:sz="2" w:space="0" w:color="999999"/>
              <w:left w:val="single" w:sz="2" w:space="0" w:color="999999"/>
              <w:bottom w:val="single" w:sz="2" w:space="0" w:color="999999"/>
              <w:right w:val="single" w:sz="2" w:space="0" w:color="999999"/>
            </w:tcBorders>
            <w:shd w:val="clear" w:color="auto" w:fill="1F3864"/>
            <w:tcMar>
              <w:top w:w="60" w:type="dxa"/>
              <w:left w:w="60" w:type="dxa"/>
              <w:bottom w:w="60" w:type="dxa"/>
              <w:right w:w="60" w:type="dxa"/>
            </w:tcMar>
            <w:vAlign w:val="center"/>
          </w:tcPr>
          <w:p w14:paraId="17D8C5A6" w14:textId="77777777" w:rsidR="00EB1421" w:rsidRDefault="00FC5C83">
            <w:pPr>
              <w:jc w:val="center"/>
            </w:pPr>
            <w:r>
              <w:rPr>
                <w:b/>
                <w:bCs/>
                <w:color w:val="FFFFFF"/>
                <w:sz w:val="14"/>
                <w:szCs w:val="14"/>
              </w:rPr>
              <w:t>Sujeto</w:t>
            </w:r>
          </w:p>
        </w:tc>
        <w:tc>
          <w:tcPr>
            <w:tcW w:w="950" w:type="dxa"/>
            <w:tcBorders>
              <w:top w:val="single" w:sz="2" w:space="0" w:color="999999"/>
              <w:left w:val="single" w:sz="2" w:space="0" w:color="999999"/>
              <w:bottom w:val="single" w:sz="2" w:space="0" w:color="999999"/>
              <w:right w:val="single" w:sz="2" w:space="0" w:color="999999"/>
            </w:tcBorders>
            <w:shd w:val="clear" w:color="auto" w:fill="1F3864"/>
            <w:tcMar>
              <w:top w:w="60" w:type="dxa"/>
              <w:left w:w="60" w:type="dxa"/>
              <w:bottom w:w="60" w:type="dxa"/>
              <w:right w:w="60" w:type="dxa"/>
            </w:tcMar>
            <w:vAlign w:val="center"/>
          </w:tcPr>
          <w:p w14:paraId="722321EE" w14:textId="77777777" w:rsidR="00EB1421" w:rsidRDefault="00FC5C83">
            <w:pPr>
              <w:jc w:val="center"/>
            </w:pPr>
            <w:r>
              <w:rPr>
                <w:b/>
                <w:bCs/>
                <w:color w:val="FFFFFF"/>
                <w:sz w:val="14"/>
                <w:szCs w:val="14"/>
              </w:rPr>
              <w:t>Condición</w:t>
            </w:r>
          </w:p>
        </w:tc>
        <w:tc>
          <w:tcPr>
            <w:tcW w:w="950" w:type="dxa"/>
            <w:tcBorders>
              <w:top w:val="single" w:sz="2" w:space="0" w:color="999999"/>
              <w:left w:val="single" w:sz="2" w:space="0" w:color="999999"/>
              <w:bottom w:val="single" w:sz="2" w:space="0" w:color="999999"/>
              <w:right w:val="single" w:sz="2" w:space="0" w:color="999999"/>
            </w:tcBorders>
            <w:shd w:val="clear" w:color="auto" w:fill="1F3864"/>
            <w:tcMar>
              <w:top w:w="60" w:type="dxa"/>
              <w:left w:w="60" w:type="dxa"/>
              <w:bottom w:w="60" w:type="dxa"/>
              <w:right w:w="60" w:type="dxa"/>
            </w:tcMar>
            <w:vAlign w:val="center"/>
          </w:tcPr>
          <w:p w14:paraId="48D9A33E" w14:textId="77777777" w:rsidR="00EB1421" w:rsidRDefault="00FC5C83">
            <w:pPr>
              <w:jc w:val="center"/>
            </w:pPr>
            <w:r>
              <w:rPr>
                <w:b/>
                <w:bCs/>
                <w:color w:val="FFFFFF"/>
                <w:sz w:val="14"/>
                <w:szCs w:val="14"/>
              </w:rPr>
              <w:t>RMSSD (ms)</w:t>
            </w:r>
          </w:p>
        </w:tc>
        <w:tc>
          <w:tcPr>
            <w:tcW w:w="950" w:type="dxa"/>
            <w:tcBorders>
              <w:top w:val="single" w:sz="2" w:space="0" w:color="999999"/>
              <w:left w:val="single" w:sz="2" w:space="0" w:color="999999"/>
              <w:bottom w:val="single" w:sz="2" w:space="0" w:color="999999"/>
              <w:right w:val="single" w:sz="2" w:space="0" w:color="999999"/>
            </w:tcBorders>
            <w:shd w:val="clear" w:color="auto" w:fill="1F3864"/>
            <w:tcMar>
              <w:top w:w="60" w:type="dxa"/>
              <w:left w:w="60" w:type="dxa"/>
              <w:bottom w:w="60" w:type="dxa"/>
              <w:right w:w="60" w:type="dxa"/>
            </w:tcMar>
            <w:vAlign w:val="center"/>
          </w:tcPr>
          <w:p w14:paraId="60585E0F" w14:textId="77777777" w:rsidR="00EB1421" w:rsidRDefault="00FC5C83">
            <w:pPr>
              <w:jc w:val="center"/>
            </w:pPr>
            <w:r>
              <w:rPr>
                <w:b/>
                <w:bCs/>
                <w:color w:val="FFFFFF"/>
                <w:sz w:val="14"/>
                <w:szCs w:val="14"/>
              </w:rPr>
              <w:t>LF/HF</w:t>
            </w:r>
          </w:p>
        </w:tc>
        <w:tc>
          <w:tcPr>
            <w:tcW w:w="950" w:type="dxa"/>
            <w:tcBorders>
              <w:top w:val="single" w:sz="2" w:space="0" w:color="999999"/>
              <w:left w:val="single" w:sz="2" w:space="0" w:color="999999"/>
              <w:bottom w:val="single" w:sz="2" w:space="0" w:color="999999"/>
              <w:right w:val="single" w:sz="2" w:space="0" w:color="999999"/>
            </w:tcBorders>
            <w:shd w:val="clear" w:color="auto" w:fill="1F3864"/>
            <w:tcMar>
              <w:top w:w="60" w:type="dxa"/>
              <w:left w:w="60" w:type="dxa"/>
              <w:bottom w:w="60" w:type="dxa"/>
              <w:right w:w="60" w:type="dxa"/>
            </w:tcMar>
            <w:vAlign w:val="center"/>
          </w:tcPr>
          <w:p w14:paraId="391D4BCD" w14:textId="77777777" w:rsidR="00EB1421" w:rsidRDefault="00FC5C83">
            <w:pPr>
              <w:jc w:val="center"/>
            </w:pPr>
            <w:r>
              <w:rPr>
                <w:b/>
                <w:bCs/>
                <w:color w:val="FFFFFF"/>
                <w:sz w:val="14"/>
                <w:szCs w:val="14"/>
              </w:rPr>
              <w:t xml:space="preserve">Alfa </w:t>
            </w:r>
            <w:proofErr w:type="spellStart"/>
            <w:r>
              <w:rPr>
                <w:b/>
                <w:bCs/>
                <w:color w:val="FFFFFF"/>
                <w:sz w:val="14"/>
                <w:szCs w:val="14"/>
              </w:rPr>
              <w:t>rel.</w:t>
            </w:r>
            <w:proofErr w:type="spellEnd"/>
            <w:r>
              <w:rPr>
                <w:b/>
                <w:bCs/>
                <w:color w:val="FFFFFF"/>
                <w:sz w:val="14"/>
                <w:szCs w:val="14"/>
              </w:rPr>
              <w:t xml:space="preserve"> (%)</w:t>
            </w:r>
          </w:p>
        </w:tc>
      </w:tr>
      <w:tr w:rsidR="00EB1421" w14:paraId="061802A3" w14:textId="77777777">
        <w:tc>
          <w:tcPr>
            <w:tcW w:w="70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5FA9F3B7" w14:textId="77777777" w:rsidR="00EB1421" w:rsidRDefault="00FC5C83">
            <w:pPr>
              <w:jc w:val="center"/>
            </w:pPr>
            <w:r>
              <w:rPr>
                <w:sz w:val="14"/>
                <w:szCs w:val="14"/>
              </w:rPr>
              <w:t>S1</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15F799E9" w14:textId="77777777" w:rsidR="00EB1421" w:rsidRDefault="00FC5C83">
            <w:pPr>
              <w:jc w:val="center"/>
            </w:pPr>
            <w:r>
              <w:rPr>
                <w:sz w:val="14"/>
                <w:szCs w:val="14"/>
              </w:rPr>
              <w:t>Relajación</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56D83EBC" w14:textId="22CD7856" w:rsidR="00EB1421" w:rsidRDefault="00CA264B">
            <w:pPr>
              <w:jc w:val="center"/>
            </w:pPr>
            <w:r w:rsidRPr="00CA264B">
              <w:rPr>
                <w:sz w:val="14"/>
                <w:szCs w:val="14"/>
              </w:rPr>
              <w:t>34.8</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40EB89E3" w14:textId="18F3CE58" w:rsidR="00EB1421" w:rsidRDefault="00CA264B">
            <w:pPr>
              <w:jc w:val="center"/>
            </w:pPr>
            <w:r w:rsidRPr="00CA264B">
              <w:rPr>
                <w:sz w:val="14"/>
                <w:szCs w:val="14"/>
              </w:rPr>
              <w:t>0.339</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2715B045" w14:textId="1C089B8E" w:rsidR="00EB1421" w:rsidRDefault="00CA264B">
            <w:pPr>
              <w:jc w:val="center"/>
            </w:pPr>
            <w:r w:rsidRPr="00CA264B">
              <w:rPr>
                <w:sz w:val="14"/>
                <w:szCs w:val="14"/>
              </w:rPr>
              <w:t>9.32</w:t>
            </w:r>
          </w:p>
        </w:tc>
      </w:tr>
      <w:tr w:rsidR="00EB1421" w14:paraId="1AB38081" w14:textId="77777777">
        <w:tc>
          <w:tcPr>
            <w:tcW w:w="70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6229EA33" w14:textId="77777777" w:rsidR="00EB1421" w:rsidRDefault="00FC5C83">
            <w:pPr>
              <w:jc w:val="center"/>
            </w:pPr>
            <w:r>
              <w:rPr>
                <w:sz w:val="14"/>
                <w:szCs w:val="14"/>
              </w:rPr>
              <w:t>S1</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7D0A8F33" w14:textId="77777777" w:rsidR="00EB1421" w:rsidRDefault="00FC5C83">
            <w:pPr>
              <w:jc w:val="center"/>
            </w:pPr>
            <w:r>
              <w:rPr>
                <w:sz w:val="14"/>
                <w:szCs w:val="14"/>
              </w:rPr>
              <w:t>Carga cognitiva</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19248E37" w14:textId="44106D34" w:rsidR="00EB1421" w:rsidRDefault="00CA264B">
            <w:pPr>
              <w:jc w:val="center"/>
            </w:pPr>
            <w:r w:rsidRPr="00CA264B">
              <w:rPr>
                <w:sz w:val="14"/>
                <w:szCs w:val="14"/>
              </w:rPr>
              <w:t>251</w:t>
            </w:r>
            <w:r>
              <w:rPr>
                <w:sz w:val="14"/>
                <w:szCs w:val="14"/>
              </w:rPr>
              <w:t>.0</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2A70A308" w14:textId="32288EF6" w:rsidR="00EB1421" w:rsidRDefault="00CA264B">
            <w:pPr>
              <w:jc w:val="center"/>
            </w:pPr>
            <w:r w:rsidRPr="00CA264B">
              <w:rPr>
                <w:sz w:val="14"/>
                <w:szCs w:val="14"/>
              </w:rPr>
              <w:t>0.771</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3E2B3596" w14:textId="173A73AB" w:rsidR="00EB1421" w:rsidRDefault="00CA264B">
            <w:pPr>
              <w:jc w:val="center"/>
            </w:pPr>
            <w:r w:rsidRPr="00CA264B">
              <w:rPr>
                <w:sz w:val="14"/>
                <w:szCs w:val="14"/>
              </w:rPr>
              <w:t>4.46</w:t>
            </w:r>
          </w:p>
        </w:tc>
      </w:tr>
      <w:tr w:rsidR="00EB1421" w14:paraId="5C9E52CF" w14:textId="77777777">
        <w:tc>
          <w:tcPr>
            <w:tcW w:w="70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73559380" w14:textId="77777777" w:rsidR="00EB1421" w:rsidRDefault="00FC5C83">
            <w:pPr>
              <w:jc w:val="center"/>
            </w:pPr>
            <w:r>
              <w:rPr>
                <w:sz w:val="14"/>
                <w:szCs w:val="14"/>
              </w:rPr>
              <w:t>S2</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35089002" w14:textId="77777777" w:rsidR="00EB1421" w:rsidRDefault="00FC5C83">
            <w:pPr>
              <w:jc w:val="center"/>
            </w:pPr>
            <w:r>
              <w:rPr>
                <w:sz w:val="14"/>
                <w:szCs w:val="14"/>
              </w:rPr>
              <w:t>Relajación</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248975F8" w14:textId="39E3FE00" w:rsidR="00EB1421" w:rsidRDefault="00CA264B">
            <w:pPr>
              <w:jc w:val="center"/>
            </w:pPr>
            <w:r w:rsidRPr="00CA264B">
              <w:rPr>
                <w:sz w:val="14"/>
                <w:szCs w:val="14"/>
              </w:rPr>
              <w:t>30.4</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487F6B62" w14:textId="18A4DA2A" w:rsidR="00EB1421" w:rsidRDefault="00CA264B">
            <w:pPr>
              <w:jc w:val="center"/>
            </w:pPr>
            <w:r w:rsidRPr="00CA264B">
              <w:rPr>
                <w:sz w:val="14"/>
                <w:szCs w:val="14"/>
              </w:rPr>
              <w:t>1.591</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5B476298" w14:textId="182F42EB" w:rsidR="00EB1421" w:rsidRDefault="00CA264B">
            <w:pPr>
              <w:jc w:val="center"/>
            </w:pPr>
            <w:r w:rsidRPr="00CA264B">
              <w:rPr>
                <w:sz w:val="14"/>
                <w:szCs w:val="14"/>
              </w:rPr>
              <w:t>4.83</w:t>
            </w:r>
          </w:p>
        </w:tc>
      </w:tr>
      <w:tr w:rsidR="00EB1421" w14:paraId="52BFEDBF" w14:textId="77777777">
        <w:tc>
          <w:tcPr>
            <w:tcW w:w="70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40DBB720" w14:textId="77777777" w:rsidR="00EB1421" w:rsidRDefault="00FC5C83">
            <w:pPr>
              <w:jc w:val="center"/>
            </w:pPr>
            <w:r>
              <w:rPr>
                <w:sz w:val="14"/>
                <w:szCs w:val="14"/>
              </w:rPr>
              <w:t>S2</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480D1DFE" w14:textId="77777777" w:rsidR="00EB1421" w:rsidRDefault="00FC5C83">
            <w:pPr>
              <w:jc w:val="center"/>
            </w:pPr>
            <w:r>
              <w:rPr>
                <w:sz w:val="14"/>
                <w:szCs w:val="14"/>
              </w:rPr>
              <w:t>Carga cognitiva</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3A446B2C" w14:textId="240938BE" w:rsidR="00EB1421" w:rsidRDefault="00CA264B">
            <w:pPr>
              <w:jc w:val="center"/>
            </w:pPr>
            <w:r w:rsidRPr="00CA264B">
              <w:rPr>
                <w:sz w:val="14"/>
                <w:szCs w:val="14"/>
              </w:rPr>
              <w:t>80.8</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6DD03EEA" w14:textId="74645AB0" w:rsidR="00EB1421" w:rsidRDefault="00CA264B">
            <w:pPr>
              <w:jc w:val="center"/>
            </w:pPr>
            <w:r>
              <w:rPr>
                <w:sz w:val="14"/>
                <w:szCs w:val="14"/>
              </w:rPr>
              <w:t>1.875</w:t>
            </w:r>
          </w:p>
        </w:tc>
        <w:tc>
          <w:tcPr>
            <w:tcW w:w="950" w:type="dxa"/>
            <w:tcBorders>
              <w:top w:val="single" w:sz="2" w:space="0" w:color="999999"/>
              <w:left w:val="single" w:sz="2" w:space="0" w:color="999999"/>
              <w:bottom w:val="single" w:sz="2" w:space="0" w:color="999999"/>
              <w:right w:val="single" w:sz="2" w:space="0" w:color="999999"/>
            </w:tcBorders>
            <w:tcMar>
              <w:top w:w="60" w:type="dxa"/>
              <w:left w:w="60" w:type="dxa"/>
              <w:bottom w:w="60" w:type="dxa"/>
              <w:right w:w="60" w:type="dxa"/>
            </w:tcMar>
          </w:tcPr>
          <w:p w14:paraId="690A7F3B" w14:textId="0D5C59A3" w:rsidR="00EB1421" w:rsidRDefault="00CA264B">
            <w:pPr>
              <w:jc w:val="center"/>
            </w:pPr>
            <w:r w:rsidRPr="00CA264B">
              <w:rPr>
                <w:sz w:val="14"/>
                <w:szCs w:val="14"/>
              </w:rPr>
              <w:t>5.83</w:t>
            </w:r>
          </w:p>
        </w:tc>
      </w:tr>
    </w:tbl>
    <w:p w14:paraId="2810A722" w14:textId="77777777" w:rsidR="00EB1421" w:rsidRDefault="00EB1421">
      <w:pPr>
        <w:spacing w:after="160"/>
      </w:pPr>
    </w:p>
    <w:p w14:paraId="21E888AA" w14:textId="77777777" w:rsidR="00EB1421" w:rsidRDefault="00FC5C83">
      <w:pPr>
        <w:spacing w:after="120" w:line="264" w:lineRule="auto"/>
        <w:jc w:val="both"/>
      </w:pPr>
      <w:r>
        <w:t xml:space="preserve">Como se observa en la Tabla III, la condición de carga cognitiva produjo, de manera consistente con la literatura, una reducción del RMSSD y de la potencia Alfa relativa, junto con un incremento en la razón LF/HF, validando la lógica de decisión del semáforo. Las Figuras 1 y 2 muestran </w:t>
      </w:r>
      <w:r>
        <w:lastRenderedPageBreak/>
        <w:t>capturas de la GUI en los estados detectados como relajado y estresado, respectivamente; la Figura 3 compara la densidad espectral de potencia del EEG entre ambas condiciones.</w:t>
      </w:r>
    </w:p>
    <w:p w14:paraId="6693AD15" w14:textId="77777777" w:rsidR="008578AB" w:rsidRDefault="008578AB">
      <w:pPr>
        <w:spacing w:after="120" w:line="264" w:lineRule="auto"/>
        <w:jc w:val="both"/>
      </w:pPr>
    </w:p>
    <w:p w14:paraId="4A960F63" w14:textId="6EB83DA7" w:rsidR="001266A6" w:rsidRPr="001266A6" w:rsidRDefault="008578AB" w:rsidP="008578AB">
      <w:pPr>
        <w:spacing w:before="100" w:after="40"/>
        <w:jc w:val="center"/>
      </w:pPr>
      <w:r w:rsidRPr="008578AB">
        <w:rPr>
          <w:noProof/>
        </w:rPr>
        <w:drawing>
          <wp:inline distT="0" distB="0" distL="0" distR="0" wp14:anchorId="0A529C98" wp14:editId="70471BF6">
            <wp:extent cx="3086100" cy="1314450"/>
            <wp:effectExtent l="0" t="0" r="0" b="0"/>
            <wp:docPr id="132141735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86100" cy="1314450"/>
                    </a:xfrm>
                    <a:prstGeom prst="rect">
                      <a:avLst/>
                    </a:prstGeom>
                    <a:noFill/>
                    <a:ln>
                      <a:noFill/>
                    </a:ln>
                  </pic:spPr>
                </pic:pic>
              </a:graphicData>
            </a:graphic>
          </wp:inline>
        </w:drawing>
      </w:r>
    </w:p>
    <w:p w14:paraId="66B6CF4E" w14:textId="1DCB1382" w:rsidR="00EB1421" w:rsidRDefault="00FC5C83">
      <w:pPr>
        <w:spacing w:before="60" w:after="200"/>
        <w:jc w:val="center"/>
        <w:rPr>
          <w:i/>
          <w:iCs/>
          <w:sz w:val="16"/>
          <w:szCs w:val="16"/>
        </w:rPr>
      </w:pPr>
      <w:r>
        <w:rPr>
          <w:i/>
          <w:iCs/>
          <w:sz w:val="16"/>
          <w:szCs w:val="16"/>
        </w:rPr>
        <w:t>Fig. 1. Estado de la GUI detectado como RELAJADO</w:t>
      </w:r>
    </w:p>
    <w:p w14:paraId="24028FA9" w14:textId="77777777" w:rsidR="001266A6" w:rsidRDefault="001266A6">
      <w:pPr>
        <w:spacing w:before="60" w:after="200"/>
        <w:jc w:val="center"/>
      </w:pPr>
    </w:p>
    <w:p w14:paraId="7668E7E6" w14:textId="7A8CFA5A" w:rsidR="004F7569" w:rsidRPr="004F7569" w:rsidRDefault="008578AB" w:rsidP="004F7569">
      <w:pPr>
        <w:spacing w:before="100" w:after="40"/>
        <w:jc w:val="center"/>
      </w:pPr>
      <w:r w:rsidRPr="008578AB">
        <w:rPr>
          <w:noProof/>
        </w:rPr>
        <w:drawing>
          <wp:inline distT="0" distB="0" distL="0" distR="0" wp14:anchorId="0D6D50A0" wp14:editId="48F814E9">
            <wp:extent cx="3086100" cy="1314450"/>
            <wp:effectExtent l="0" t="0" r="0" b="0"/>
            <wp:docPr id="990375194"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86100" cy="1314450"/>
                    </a:xfrm>
                    <a:prstGeom prst="rect">
                      <a:avLst/>
                    </a:prstGeom>
                    <a:noFill/>
                    <a:ln>
                      <a:noFill/>
                    </a:ln>
                  </pic:spPr>
                </pic:pic>
              </a:graphicData>
            </a:graphic>
          </wp:inline>
        </w:drawing>
      </w:r>
    </w:p>
    <w:p w14:paraId="24F7B778" w14:textId="3E898502" w:rsidR="00EB1421" w:rsidRDefault="00FC5C83">
      <w:pPr>
        <w:spacing w:before="60" w:after="200"/>
        <w:jc w:val="center"/>
        <w:rPr>
          <w:i/>
          <w:iCs/>
          <w:sz w:val="16"/>
          <w:szCs w:val="16"/>
        </w:rPr>
      </w:pPr>
      <w:r>
        <w:rPr>
          <w:i/>
          <w:iCs/>
          <w:sz w:val="16"/>
          <w:szCs w:val="16"/>
        </w:rPr>
        <w:t>Fig. 2. Estado de la GUI detectado como ESTRESADO.</w:t>
      </w:r>
    </w:p>
    <w:p w14:paraId="3C1CE55A" w14:textId="77777777" w:rsidR="004F7569" w:rsidRDefault="004F7569">
      <w:pPr>
        <w:spacing w:before="60" w:after="200"/>
        <w:jc w:val="center"/>
      </w:pPr>
    </w:p>
    <w:p w14:paraId="57DF6DF5" w14:textId="00270AD5" w:rsidR="008578AB" w:rsidRPr="008578AB" w:rsidRDefault="00B706FD" w:rsidP="00B706FD">
      <w:pPr>
        <w:spacing w:before="100" w:after="40"/>
        <w:jc w:val="center"/>
      </w:pPr>
      <w:r w:rsidRPr="00B706FD">
        <w:rPr>
          <w:noProof/>
        </w:rPr>
        <w:drawing>
          <wp:inline distT="0" distB="0" distL="0" distR="0" wp14:anchorId="570FFF91" wp14:editId="10ED6139">
            <wp:extent cx="1458365" cy="1978936"/>
            <wp:effectExtent l="0" t="0" r="8890" b="2540"/>
            <wp:docPr id="60465865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4728" r="1"/>
                    <a:stretch>
                      <a:fillRect/>
                    </a:stretch>
                  </pic:blipFill>
                  <pic:spPr bwMode="auto">
                    <a:xfrm>
                      <a:off x="0" y="0"/>
                      <a:ext cx="1507265" cy="2045291"/>
                    </a:xfrm>
                    <a:prstGeom prst="rect">
                      <a:avLst/>
                    </a:prstGeom>
                    <a:noFill/>
                    <a:ln>
                      <a:noFill/>
                    </a:ln>
                    <a:extLst>
                      <a:ext uri="{53640926-AAD7-44D8-BBD7-CCE9431645EC}">
                        <a14:shadowObscured xmlns:a14="http://schemas.microsoft.com/office/drawing/2010/main"/>
                      </a:ext>
                    </a:extLst>
                  </pic:spPr>
                </pic:pic>
              </a:graphicData>
            </a:graphic>
          </wp:inline>
        </w:drawing>
      </w:r>
      <w:r w:rsidR="00097752">
        <w:t xml:space="preserve"> </w:t>
      </w:r>
      <w:r w:rsidR="008578AB" w:rsidRPr="008578AB">
        <w:rPr>
          <w:noProof/>
        </w:rPr>
        <w:drawing>
          <wp:inline distT="0" distB="0" distL="0" distR="0" wp14:anchorId="03C92D67" wp14:editId="6C3A3AC4">
            <wp:extent cx="1549642" cy="1979942"/>
            <wp:effectExtent l="0" t="0" r="0" b="1270"/>
            <wp:docPr id="65919612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41300"/>
                    <a:stretch>
                      <a:fillRect/>
                    </a:stretch>
                  </pic:blipFill>
                  <pic:spPr bwMode="auto">
                    <a:xfrm>
                      <a:off x="0" y="0"/>
                      <a:ext cx="1581490" cy="2020633"/>
                    </a:xfrm>
                    <a:prstGeom prst="rect">
                      <a:avLst/>
                    </a:prstGeom>
                    <a:noFill/>
                    <a:ln>
                      <a:noFill/>
                    </a:ln>
                    <a:extLst>
                      <a:ext uri="{53640926-AAD7-44D8-BBD7-CCE9431645EC}">
                        <a14:shadowObscured xmlns:a14="http://schemas.microsoft.com/office/drawing/2010/main"/>
                      </a:ext>
                    </a:extLst>
                  </pic:spPr>
                </pic:pic>
              </a:graphicData>
            </a:graphic>
          </wp:inline>
        </w:drawing>
      </w:r>
    </w:p>
    <w:p w14:paraId="78CDD7E9" w14:textId="50BEB701" w:rsidR="00EB1421" w:rsidRDefault="00FC5C83">
      <w:pPr>
        <w:spacing w:before="60" w:after="200"/>
        <w:jc w:val="center"/>
      </w:pPr>
      <w:r>
        <w:rPr>
          <w:i/>
          <w:iCs/>
          <w:sz w:val="16"/>
          <w:szCs w:val="16"/>
        </w:rPr>
        <w:t xml:space="preserve">Fig. 3. </w:t>
      </w:r>
      <w:r w:rsidR="004F7569">
        <w:rPr>
          <w:i/>
          <w:iCs/>
          <w:sz w:val="16"/>
          <w:szCs w:val="16"/>
        </w:rPr>
        <w:t>Pruebas de la interfaz y posición de electrodos.</w:t>
      </w:r>
    </w:p>
    <w:p w14:paraId="32735E48" w14:textId="77777777" w:rsidR="00EA1D7F" w:rsidRDefault="00EA1D7F">
      <w:pPr>
        <w:pStyle w:val="Ttulo1"/>
      </w:pPr>
    </w:p>
    <w:p w14:paraId="0BE0F3DE" w14:textId="68FC4F19" w:rsidR="00EB1421" w:rsidRDefault="00FC5C83">
      <w:pPr>
        <w:pStyle w:val="Ttulo1"/>
      </w:pPr>
      <w:r>
        <w:t>5. CONCLUSIONES</w:t>
      </w:r>
    </w:p>
    <w:p w14:paraId="4FF8469E" w14:textId="36F3EDFD" w:rsidR="00EB1421" w:rsidRDefault="00FC5C83">
      <w:pPr>
        <w:spacing w:after="120" w:line="264" w:lineRule="auto"/>
        <w:jc w:val="both"/>
      </w:pPr>
      <w:r>
        <w:t xml:space="preserve">Se diseñó e implementó un sistema de </w:t>
      </w:r>
      <w:proofErr w:type="spellStart"/>
      <w:r>
        <w:t>biofeedback</w:t>
      </w:r>
      <w:proofErr w:type="spellEnd"/>
      <w:r>
        <w:t xml:space="preserve"> que fusiona indicadores cardíacos (RMSSD, LF/HF) e indicadores corticales (potencia Alfa relativa) para estimar en tiempo real el estado de relajación de un sujeto. La arquitectura de buffer deslizante con actualización a 5 Hz permitió cumplir el requisito de procesamiento en tiempo real pese a la naturaleza por bloques del análisis espectral. Las pruebas preliminares sugieren que la exigencia de </w:t>
      </w:r>
      <w:r>
        <w:t>coincidencia entre ambos biomarcadores reduce la probabilidad de falsos positivos en comparación con</w:t>
      </w:r>
      <w:r>
        <w:t xml:space="preserve"> el uso de un único canal. Trabajo futuro incluye la incorporación de una calibración individualizada de los umbrales del semáforo.</w:t>
      </w:r>
    </w:p>
    <w:p w14:paraId="5BDFBC62" w14:textId="77777777" w:rsidR="00EA1D7F" w:rsidRDefault="00EA1D7F">
      <w:pPr>
        <w:pStyle w:val="Ttulo1"/>
      </w:pPr>
    </w:p>
    <w:p w14:paraId="02B9F35E" w14:textId="0EF4AEBA" w:rsidR="00EB1421" w:rsidRDefault="00FC5C83">
      <w:pPr>
        <w:pStyle w:val="Ttulo1"/>
      </w:pPr>
      <w:r>
        <w:t>REFERENCIAS</w:t>
      </w:r>
    </w:p>
    <w:p w14:paraId="32BA1A11" w14:textId="314AD8E3" w:rsidR="00EB1421" w:rsidRPr="008578AB" w:rsidRDefault="00FC5C83">
      <w:pPr>
        <w:spacing w:after="80"/>
        <w:jc w:val="both"/>
        <w:rPr>
          <w:sz w:val="16"/>
          <w:szCs w:val="16"/>
        </w:rPr>
      </w:pPr>
      <w:r w:rsidRPr="008578AB">
        <w:rPr>
          <w:sz w:val="16"/>
          <w:szCs w:val="16"/>
        </w:rPr>
        <w:t xml:space="preserve">[1] J. Pan and W. J. Tompkins, “A real-time QRS </w:t>
      </w:r>
      <w:proofErr w:type="spellStart"/>
      <w:r w:rsidRPr="008578AB">
        <w:rPr>
          <w:sz w:val="16"/>
          <w:szCs w:val="16"/>
        </w:rPr>
        <w:t>detection</w:t>
      </w:r>
      <w:proofErr w:type="spellEnd"/>
      <w:r w:rsidRPr="008578AB">
        <w:rPr>
          <w:sz w:val="16"/>
          <w:szCs w:val="16"/>
        </w:rPr>
        <w:t xml:space="preserve"> </w:t>
      </w:r>
      <w:proofErr w:type="spellStart"/>
      <w:r w:rsidRPr="008578AB">
        <w:rPr>
          <w:sz w:val="16"/>
          <w:szCs w:val="16"/>
        </w:rPr>
        <w:t>algorithm</w:t>
      </w:r>
      <w:proofErr w:type="spellEnd"/>
      <w:r w:rsidRPr="008578AB">
        <w:rPr>
          <w:sz w:val="16"/>
          <w:szCs w:val="16"/>
        </w:rPr>
        <w:t xml:space="preserve">,” IEEE Trans. </w:t>
      </w:r>
      <w:proofErr w:type="spellStart"/>
      <w:r w:rsidRPr="008578AB">
        <w:rPr>
          <w:sz w:val="16"/>
          <w:szCs w:val="16"/>
        </w:rPr>
        <w:t>Biomed</w:t>
      </w:r>
      <w:proofErr w:type="spellEnd"/>
      <w:r w:rsidRPr="008578AB">
        <w:rPr>
          <w:sz w:val="16"/>
          <w:szCs w:val="16"/>
        </w:rPr>
        <w:t xml:space="preserve">. Eng., vol. BME-32, no. 3, pp. 230–236, 1985. </w:t>
      </w:r>
    </w:p>
    <w:p w14:paraId="2886CB82" w14:textId="0E209692" w:rsidR="00EB1421" w:rsidRPr="008578AB" w:rsidRDefault="00FC5C83">
      <w:pPr>
        <w:spacing w:after="80"/>
        <w:jc w:val="both"/>
        <w:rPr>
          <w:sz w:val="16"/>
          <w:szCs w:val="16"/>
        </w:rPr>
      </w:pPr>
      <w:r w:rsidRPr="008578AB">
        <w:rPr>
          <w:sz w:val="16"/>
          <w:szCs w:val="16"/>
        </w:rPr>
        <w:t xml:space="preserve">[2] </w:t>
      </w:r>
      <w:proofErr w:type="spellStart"/>
      <w:r w:rsidRPr="008578AB">
        <w:rPr>
          <w:sz w:val="16"/>
          <w:szCs w:val="16"/>
        </w:rPr>
        <w:t>Task</w:t>
      </w:r>
      <w:proofErr w:type="spellEnd"/>
      <w:r w:rsidRPr="008578AB">
        <w:rPr>
          <w:sz w:val="16"/>
          <w:szCs w:val="16"/>
        </w:rPr>
        <w:t xml:space="preserve"> Force </w:t>
      </w:r>
      <w:proofErr w:type="spellStart"/>
      <w:r w:rsidRPr="008578AB">
        <w:rPr>
          <w:sz w:val="16"/>
          <w:szCs w:val="16"/>
        </w:rPr>
        <w:t>of</w:t>
      </w:r>
      <w:proofErr w:type="spellEnd"/>
      <w:r w:rsidRPr="008578AB">
        <w:rPr>
          <w:sz w:val="16"/>
          <w:szCs w:val="16"/>
        </w:rPr>
        <w:t xml:space="preserve"> ESC and NASPE, “Heart </w:t>
      </w:r>
      <w:proofErr w:type="spellStart"/>
      <w:r w:rsidRPr="008578AB">
        <w:rPr>
          <w:sz w:val="16"/>
          <w:szCs w:val="16"/>
        </w:rPr>
        <w:t>rate</w:t>
      </w:r>
      <w:proofErr w:type="spellEnd"/>
      <w:r w:rsidRPr="008578AB">
        <w:rPr>
          <w:sz w:val="16"/>
          <w:szCs w:val="16"/>
        </w:rPr>
        <w:t xml:space="preserve"> </w:t>
      </w:r>
      <w:proofErr w:type="spellStart"/>
      <w:r w:rsidRPr="008578AB">
        <w:rPr>
          <w:sz w:val="16"/>
          <w:szCs w:val="16"/>
        </w:rPr>
        <w:t>variability</w:t>
      </w:r>
      <w:proofErr w:type="spellEnd"/>
      <w:r w:rsidRPr="008578AB">
        <w:rPr>
          <w:sz w:val="16"/>
          <w:szCs w:val="16"/>
        </w:rPr>
        <w:t xml:space="preserve">: </w:t>
      </w:r>
      <w:proofErr w:type="spellStart"/>
      <w:r w:rsidRPr="008578AB">
        <w:rPr>
          <w:sz w:val="16"/>
          <w:szCs w:val="16"/>
        </w:rPr>
        <w:t>standards</w:t>
      </w:r>
      <w:proofErr w:type="spellEnd"/>
      <w:r w:rsidRPr="008578AB">
        <w:rPr>
          <w:sz w:val="16"/>
          <w:szCs w:val="16"/>
        </w:rPr>
        <w:t xml:space="preserve"> </w:t>
      </w:r>
      <w:proofErr w:type="spellStart"/>
      <w:r w:rsidRPr="008578AB">
        <w:rPr>
          <w:sz w:val="16"/>
          <w:szCs w:val="16"/>
        </w:rPr>
        <w:t>of</w:t>
      </w:r>
      <w:proofErr w:type="spellEnd"/>
      <w:r w:rsidRPr="008578AB">
        <w:rPr>
          <w:sz w:val="16"/>
          <w:szCs w:val="16"/>
        </w:rPr>
        <w:t xml:space="preserve"> </w:t>
      </w:r>
      <w:proofErr w:type="spellStart"/>
      <w:r w:rsidRPr="008578AB">
        <w:rPr>
          <w:sz w:val="16"/>
          <w:szCs w:val="16"/>
        </w:rPr>
        <w:t>measurement</w:t>
      </w:r>
      <w:proofErr w:type="spellEnd"/>
      <w:r w:rsidRPr="008578AB">
        <w:rPr>
          <w:sz w:val="16"/>
          <w:szCs w:val="16"/>
        </w:rPr>
        <w:t xml:space="preserve">, </w:t>
      </w:r>
      <w:proofErr w:type="spellStart"/>
      <w:r w:rsidRPr="008578AB">
        <w:rPr>
          <w:sz w:val="16"/>
          <w:szCs w:val="16"/>
        </w:rPr>
        <w:t>physiological</w:t>
      </w:r>
      <w:proofErr w:type="spellEnd"/>
      <w:r w:rsidRPr="008578AB">
        <w:rPr>
          <w:sz w:val="16"/>
          <w:szCs w:val="16"/>
        </w:rPr>
        <w:t xml:space="preserve"> </w:t>
      </w:r>
      <w:proofErr w:type="spellStart"/>
      <w:r w:rsidRPr="008578AB">
        <w:rPr>
          <w:sz w:val="16"/>
          <w:szCs w:val="16"/>
        </w:rPr>
        <w:t>interpretation</w:t>
      </w:r>
      <w:proofErr w:type="spellEnd"/>
      <w:r w:rsidRPr="008578AB">
        <w:rPr>
          <w:sz w:val="16"/>
          <w:szCs w:val="16"/>
        </w:rPr>
        <w:t xml:space="preserve"> and </w:t>
      </w:r>
      <w:proofErr w:type="spellStart"/>
      <w:r w:rsidRPr="008578AB">
        <w:rPr>
          <w:sz w:val="16"/>
          <w:szCs w:val="16"/>
        </w:rPr>
        <w:t>clinical</w:t>
      </w:r>
      <w:proofErr w:type="spellEnd"/>
      <w:r w:rsidRPr="008578AB">
        <w:rPr>
          <w:sz w:val="16"/>
          <w:szCs w:val="16"/>
        </w:rPr>
        <w:t xml:space="preserve"> use,” </w:t>
      </w:r>
      <w:proofErr w:type="spellStart"/>
      <w:r w:rsidRPr="008578AB">
        <w:rPr>
          <w:sz w:val="16"/>
          <w:szCs w:val="16"/>
        </w:rPr>
        <w:t>Circulation</w:t>
      </w:r>
      <w:proofErr w:type="spellEnd"/>
      <w:r w:rsidRPr="008578AB">
        <w:rPr>
          <w:sz w:val="16"/>
          <w:szCs w:val="16"/>
        </w:rPr>
        <w:t>, vol. 93, pp. 1043–1065, 1996.</w:t>
      </w:r>
    </w:p>
    <w:p w14:paraId="5639EFB9" w14:textId="17E8BD47" w:rsidR="00EB1421" w:rsidRPr="008578AB" w:rsidRDefault="00FC5C83">
      <w:pPr>
        <w:spacing w:after="80"/>
        <w:jc w:val="both"/>
        <w:rPr>
          <w:sz w:val="16"/>
          <w:szCs w:val="16"/>
        </w:rPr>
      </w:pPr>
      <w:r w:rsidRPr="008578AB">
        <w:rPr>
          <w:sz w:val="16"/>
          <w:szCs w:val="16"/>
        </w:rPr>
        <w:t>[3]</w:t>
      </w:r>
      <w:r w:rsidR="001266A6" w:rsidRPr="008578AB">
        <w:rPr>
          <w:sz w:val="16"/>
          <w:szCs w:val="16"/>
        </w:rPr>
        <w:t xml:space="preserve"> Castanho, L., Martinho, D. V., Saial, A. C., Gouveia, B. R., Gouveia, É. R., &amp; Ribeiro, F. (2025). The </w:t>
      </w:r>
      <w:proofErr w:type="spellStart"/>
      <w:r w:rsidR="001266A6" w:rsidRPr="008578AB">
        <w:rPr>
          <w:sz w:val="16"/>
          <w:szCs w:val="16"/>
        </w:rPr>
        <w:t>Efficacy</w:t>
      </w:r>
      <w:proofErr w:type="spellEnd"/>
      <w:r w:rsidR="001266A6" w:rsidRPr="008578AB">
        <w:rPr>
          <w:sz w:val="16"/>
          <w:szCs w:val="16"/>
        </w:rPr>
        <w:t xml:space="preserve"> </w:t>
      </w:r>
      <w:proofErr w:type="spellStart"/>
      <w:r w:rsidR="001266A6" w:rsidRPr="008578AB">
        <w:rPr>
          <w:sz w:val="16"/>
          <w:szCs w:val="16"/>
        </w:rPr>
        <w:t>of</w:t>
      </w:r>
      <w:proofErr w:type="spellEnd"/>
      <w:r w:rsidR="001266A6" w:rsidRPr="008578AB">
        <w:rPr>
          <w:sz w:val="16"/>
          <w:szCs w:val="16"/>
        </w:rPr>
        <w:t xml:space="preserve"> Virtual Reality-Based EEG </w:t>
      </w:r>
      <w:proofErr w:type="spellStart"/>
      <w:r w:rsidR="001266A6" w:rsidRPr="008578AB">
        <w:rPr>
          <w:sz w:val="16"/>
          <w:szCs w:val="16"/>
        </w:rPr>
        <w:t>Neurofeedback</w:t>
      </w:r>
      <w:proofErr w:type="spellEnd"/>
      <w:r w:rsidR="001266A6" w:rsidRPr="008578AB">
        <w:rPr>
          <w:sz w:val="16"/>
          <w:szCs w:val="16"/>
        </w:rPr>
        <w:t xml:space="preserve"> in Health-</w:t>
      </w:r>
      <w:proofErr w:type="spellStart"/>
      <w:r w:rsidR="001266A6" w:rsidRPr="008578AB">
        <w:rPr>
          <w:sz w:val="16"/>
          <w:szCs w:val="16"/>
        </w:rPr>
        <w:t>Related</w:t>
      </w:r>
      <w:proofErr w:type="spellEnd"/>
      <w:r w:rsidR="001266A6" w:rsidRPr="008578AB">
        <w:rPr>
          <w:sz w:val="16"/>
          <w:szCs w:val="16"/>
        </w:rPr>
        <w:t xml:space="preserve"> </w:t>
      </w:r>
      <w:proofErr w:type="spellStart"/>
      <w:r w:rsidR="001266A6" w:rsidRPr="008578AB">
        <w:rPr>
          <w:sz w:val="16"/>
          <w:szCs w:val="16"/>
        </w:rPr>
        <w:t>Symptoms</w:t>
      </w:r>
      <w:proofErr w:type="spellEnd"/>
      <w:r w:rsidR="001266A6" w:rsidRPr="008578AB">
        <w:rPr>
          <w:sz w:val="16"/>
          <w:szCs w:val="16"/>
        </w:rPr>
        <w:t xml:space="preserve"> </w:t>
      </w:r>
      <w:proofErr w:type="spellStart"/>
      <w:r w:rsidR="001266A6" w:rsidRPr="008578AB">
        <w:rPr>
          <w:sz w:val="16"/>
          <w:szCs w:val="16"/>
        </w:rPr>
        <w:t>Relief</w:t>
      </w:r>
      <w:proofErr w:type="spellEnd"/>
      <w:r w:rsidR="001266A6" w:rsidRPr="008578AB">
        <w:rPr>
          <w:sz w:val="16"/>
          <w:szCs w:val="16"/>
        </w:rPr>
        <w:t xml:space="preserve">: A </w:t>
      </w:r>
      <w:proofErr w:type="spellStart"/>
      <w:r w:rsidR="001266A6" w:rsidRPr="008578AB">
        <w:rPr>
          <w:sz w:val="16"/>
          <w:szCs w:val="16"/>
        </w:rPr>
        <w:t>Systematic</w:t>
      </w:r>
      <w:proofErr w:type="spellEnd"/>
      <w:r w:rsidR="001266A6" w:rsidRPr="008578AB">
        <w:rPr>
          <w:sz w:val="16"/>
          <w:szCs w:val="16"/>
        </w:rPr>
        <w:t xml:space="preserve"> </w:t>
      </w:r>
      <w:proofErr w:type="spellStart"/>
      <w:r w:rsidR="001266A6" w:rsidRPr="008578AB">
        <w:rPr>
          <w:sz w:val="16"/>
          <w:szCs w:val="16"/>
        </w:rPr>
        <w:t>Review</w:t>
      </w:r>
      <w:proofErr w:type="spellEnd"/>
      <w:r w:rsidR="001266A6" w:rsidRPr="008578AB">
        <w:rPr>
          <w:sz w:val="16"/>
          <w:szCs w:val="16"/>
        </w:rPr>
        <w:t>. </w:t>
      </w:r>
      <w:proofErr w:type="spellStart"/>
      <w:r w:rsidR="001266A6" w:rsidRPr="008578AB">
        <w:rPr>
          <w:i/>
          <w:iCs/>
          <w:sz w:val="16"/>
          <w:szCs w:val="16"/>
        </w:rPr>
        <w:t>Applied</w:t>
      </w:r>
      <w:proofErr w:type="spellEnd"/>
      <w:r w:rsidR="001266A6" w:rsidRPr="008578AB">
        <w:rPr>
          <w:i/>
          <w:iCs/>
          <w:sz w:val="16"/>
          <w:szCs w:val="16"/>
        </w:rPr>
        <w:t xml:space="preserve"> </w:t>
      </w:r>
      <w:proofErr w:type="spellStart"/>
      <w:r w:rsidR="001266A6" w:rsidRPr="008578AB">
        <w:rPr>
          <w:i/>
          <w:iCs/>
          <w:sz w:val="16"/>
          <w:szCs w:val="16"/>
        </w:rPr>
        <w:t>Psychophysiology</w:t>
      </w:r>
      <w:proofErr w:type="spellEnd"/>
      <w:r w:rsidR="001266A6" w:rsidRPr="008578AB">
        <w:rPr>
          <w:i/>
          <w:iCs/>
          <w:sz w:val="16"/>
          <w:szCs w:val="16"/>
        </w:rPr>
        <w:t xml:space="preserve"> And </w:t>
      </w:r>
      <w:proofErr w:type="spellStart"/>
      <w:r w:rsidR="001266A6" w:rsidRPr="008578AB">
        <w:rPr>
          <w:i/>
          <w:iCs/>
          <w:sz w:val="16"/>
          <w:szCs w:val="16"/>
        </w:rPr>
        <w:t>Biofeedback</w:t>
      </w:r>
      <w:proofErr w:type="spellEnd"/>
      <w:r w:rsidR="001266A6" w:rsidRPr="008578AB">
        <w:rPr>
          <w:sz w:val="16"/>
          <w:szCs w:val="16"/>
        </w:rPr>
        <w:t>, </w:t>
      </w:r>
      <w:r w:rsidR="001266A6" w:rsidRPr="008578AB">
        <w:rPr>
          <w:i/>
          <w:iCs/>
          <w:sz w:val="16"/>
          <w:szCs w:val="16"/>
        </w:rPr>
        <w:t>50</w:t>
      </w:r>
      <w:r w:rsidR="001266A6" w:rsidRPr="008578AB">
        <w:rPr>
          <w:sz w:val="16"/>
          <w:szCs w:val="16"/>
        </w:rPr>
        <w:t>(4), 613-633. https://doi.org/10.1007/s10484-025-09730-0</w:t>
      </w:r>
    </w:p>
    <w:p w14:paraId="07AE8093" w14:textId="5D0011D4" w:rsidR="00EB1421" w:rsidRPr="008578AB" w:rsidRDefault="00FC5C83">
      <w:pPr>
        <w:spacing w:after="80"/>
        <w:jc w:val="both"/>
        <w:rPr>
          <w:sz w:val="16"/>
          <w:szCs w:val="16"/>
        </w:rPr>
      </w:pPr>
      <w:r w:rsidRPr="008578AB">
        <w:rPr>
          <w:sz w:val="16"/>
          <w:szCs w:val="16"/>
        </w:rPr>
        <w:t xml:space="preserve">[4] </w:t>
      </w:r>
      <w:r w:rsidR="001266A6" w:rsidRPr="008578AB">
        <w:rPr>
          <w:i/>
          <w:iCs/>
          <w:sz w:val="16"/>
          <w:szCs w:val="16"/>
        </w:rPr>
        <w:t xml:space="preserve">Quick Start — </w:t>
      </w:r>
      <w:proofErr w:type="spellStart"/>
      <w:r w:rsidR="001266A6" w:rsidRPr="008578AB">
        <w:rPr>
          <w:i/>
          <w:iCs/>
          <w:sz w:val="16"/>
          <w:szCs w:val="16"/>
        </w:rPr>
        <w:t>Labstreaminglayer</w:t>
      </w:r>
      <w:proofErr w:type="spellEnd"/>
      <w:r w:rsidR="001266A6" w:rsidRPr="008578AB">
        <w:rPr>
          <w:i/>
          <w:iCs/>
          <w:sz w:val="16"/>
          <w:szCs w:val="16"/>
        </w:rPr>
        <w:t xml:space="preserve"> 1.13 </w:t>
      </w:r>
      <w:proofErr w:type="spellStart"/>
      <w:r w:rsidR="001266A6" w:rsidRPr="008578AB">
        <w:rPr>
          <w:i/>
          <w:iCs/>
          <w:sz w:val="16"/>
          <w:szCs w:val="16"/>
        </w:rPr>
        <w:t>documentation</w:t>
      </w:r>
      <w:proofErr w:type="spellEnd"/>
      <w:r w:rsidR="001266A6" w:rsidRPr="008578AB">
        <w:rPr>
          <w:sz w:val="16"/>
          <w:szCs w:val="16"/>
        </w:rPr>
        <w:t>. (s. f.). https://labstreaminglayer.readthedocs.io/info/getting_started.html</w:t>
      </w:r>
    </w:p>
    <w:p w14:paraId="4C873E40" w14:textId="17B050D4" w:rsidR="00EB1421" w:rsidRPr="008578AB" w:rsidRDefault="00FC5C83">
      <w:pPr>
        <w:spacing w:after="80"/>
        <w:jc w:val="both"/>
        <w:rPr>
          <w:sz w:val="16"/>
          <w:szCs w:val="16"/>
        </w:rPr>
      </w:pPr>
      <w:r w:rsidRPr="008578AB">
        <w:rPr>
          <w:sz w:val="16"/>
          <w:szCs w:val="16"/>
        </w:rPr>
        <w:t xml:space="preserve">[5] </w:t>
      </w:r>
      <w:r w:rsidR="001266A6" w:rsidRPr="008578AB">
        <w:rPr>
          <w:i/>
          <w:iCs/>
          <w:sz w:val="16"/>
          <w:szCs w:val="16"/>
        </w:rPr>
        <w:t>Electroencefalograma: MedlinePlus enciclopedia médica</w:t>
      </w:r>
      <w:r w:rsidR="001266A6" w:rsidRPr="008578AB">
        <w:rPr>
          <w:sz w:val="16"/>
          <w:szCs w:val="16"/>
        </w:rPr>
        <w:t>. (s. f.). https://medlineplus.gov/spanish/ency/article/003931.htm</w:t>
      </w:r>
    </w:p>
    <w:sectPr w:rsidR="00EB1421" w:rsidRPr="008578AB">
      <w:footerReference w:type="default" r:id="rId11"/>
      <w:type w:val="continuous"/>
      <w:pgSz w:w="12240" w:h="15840"/>
      <w:pgMar w:top="1080" w:right="1080" w:bottom="108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4D3F4" w14:textId="77777777" w:rsidR="00FC5C83" w:rsidRDefault="00FC5C83">
      <w:r>
        <w:separator/>
      </w:r>
    </w:p>
  </w:endnote>
  <w:endnote w:type="continuationSeparator" w:id="0">
    <w:p w14:paraId="09666C53" w14:textId="77777777" w:rsidR="00FC5C83" w:rsidRDefault="00FC5C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93C8D" w14:textId="77777777" w:rsidR="00EB1421" w:rsidRDefault="00FC5C83">
    <w:pPr>
      <w:jc w:val="center"/>
    </w:pPr>
    <w:r>
      <w:rPr>
        <w:sz w:val="16"/>
        <w:szCs w:val="16"/>
      </w:rPr>
      <w:fldChar w:fldCharType="begin"/>
    </w:r>
    <w:r>
      <w:rPr>
        <w:sz w:val="16"/>
        <w:szCs w:val="16"/>
      </w:rPr>
      <w:instrText>PAGE</w:instrText>
    </w:r>
    <w:r>
      <w:rPr>
        <w:sz w:val="16"/>
        <w:szCs w:val="16"/>
      </w:rPr>
      <w:fldChar w:fldCharType="separate"/>
    </w:r>
    <w:r w:rsidR="001C00F2">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7D28C" w14:textId="77777777" w:rsidR="00FC5C83" w:rsidRDefault="00FC5C83">
      <w:r>
        <w:separator/>
      </w:r>
    </w:p>
  </w:footnote>
  <w:footnote w:type="continuationSeparator" w:id="0">
    <w:p w14:paraId="31B31ABD" w14:textId="77777777" w:rsidR="00FC5C83" w:rsidRDefault="00FC5C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C03B8"/>
    <w:multiLevelType w:val="hybridMultilevel"/>
    <w:tmpl w:val="B862FB0C"/>
    <w:lvl w:ilvl="0" w:tplc="AFCA653A">
      <w:start w:val="1"/>
      <w:numFmt w:val="bullet"/>
      <w:lvlText w:val="●"/>
      <w:lvlJc w:val="left"/>
      <w:pPr>
        <w:ind w:left="720" w:hanging="360"/>
      </w:pPr>
    </w:lvl>
    <w:lvl w:ilvl="1" w:tplc="FD3EBF04">
      <w:start w:val="1"/>
      <w:numFmt w:val="bullet"/>
      <w:lvlText w:val="○"/>
      <w:lvlJc w:val="left"/>
      <w:pPr>
        <w:ind w:left="1440" w:hanging="360"/>
      </w:pPr>
    </w:lvl>
    <w:lvl w:ilvl="2" w:tplc="AE7C49C0">
      <w:start w:val="1"/>
      <w:numFmt w:val="bullet"/>
      <w:lvlText w:val="■"/>
      <w:lvlJc w:val="left"/>
      <w:pPr>
        <w:ind w:left="2160" w:hanging="360"/>
      </w:pPr>
    </w:lvl>
    <w:lvl w:ilvl="3" w:tplc="E1F62710">
      <w:start w:val="1"/>
      <w:numFmt w:val="bullet"/>
      <w:lvlText w:val="●"/>
      <w:lvlJc w:val="left"/>
      <w:pPr>
        <w:ind w:left="2880" w:hanging="360"/>
      </w:pPr>
    </w:lvl>
    <w:lvl w:ilvl="4" w:tplc="16EE2BC4">
      <w:start w:val="1"/>
      <w:numFmt w:val="bullet"/>
      <w:lvlText w:val="○"/>
      <w:lvlJc w:val="left"/>
      <w:pPr>
        <w:ind w:left="3600" w:hanging="360"/>
      </w:pPr>
    </w:lvl>
    <w:lvl w:ilvl="5" w:tplc="461C0096">
      <w:start w:val="1"/>
      <w:numFmt w:val="bullet"/>
      <w:lvlText w:val="■"/>
      <w:lvlJc w:val="left"/>
      <w:pPr>
        <w:ind w:left="4320" w:hanging="360"/>
      </w:pPr>
    </w:lvl>
    <w:lvl w:ilvl="6" w:tplc="F326A1FA">
      <w:start w:val="1"/>
      <w:numFmt w:val="bullet"/>
      <w:lvlText w:val="●"/>
      <w:lvlJc w:val="left"/>
      <w:pPr>
        <w:ind w:left="5040" w:hanging="360"/>
      </w:pPr>
    </w:lvl>
    <w:lvl w:ilvl="7" w:tplc="6500494C">
      <w:start w:val="1"/>
      <w:numFmt w:val="bullet"/>
      <w:lvlText w:val="●"/>
      <w:lvlJc w:val="left"/>
      <w:pPr>
        <w:ind w:left="5760" w:hanging="360"/>
      </w:pPr>
    </w:lvl>
    <w:lvl w:ilvl="8" w:tplc="52AADC5A">
      <w:start w:val="1"/>
      <w:numFmt w:val="bullet"/>
      <w:lvlText w:val="●"/>
      <w:lvlJc w:val="left"/>
      <w:pPr>
        <w:ind w:left="6480" w:hanging="360"/>
      </w:pPr>
    </w:lvl>
  </w:abstractNum>
  <w:abstractNum w:abstractNumId="1" w15:restartNumberingAfterBreak="0">
    <w:nsid w:val="57F65149"/>
    <w:multiLevelType w:val="hybridMultilevel"/>
    <w:tmpl w:val="6ABAC2EC"/>
    <w:lvl w:ilvl="0" w:tplc="888E5828">
      <w:start w:val="1"/>
      <w:numFmt w:val="bullet"/>
      <w:lvlText w:val="•"/>
      <w:lvlJc w:val="left"/>
      <w:pPr>
        <w:ind w:left="360" w:hanging="180"/>
      </w:pPr>
    </w:lvl>
    <w:lvl w:ilvl="1" w:tplc="515486A2">
      <w:numFmt w:val="decimal"/>
      <w:lvlText w:val=""/>
      <w:lvlJc w:val="left"/>
    </w:lvl>
    <w:lvl w:ilvl="2" w:tplc="7812E1C6">
      <w:numFmt w:val="decimal"/>
      <w:lvlText w:val=""/>
      <w:lvlJc w:val="left"/>
    </w:lvl>
    <w:lvl w:ilvl="3" w:tplc="EBF83894">
      <w:numFmt w:val="decimal"/>
      <w:lvlText w:val=""/>
      <w:lvlJc w:val="left"/>
    </w:lvl>
    <w:lvl w:ilvl="4" w:tplc="015EE394">
      <w:numFmt w:val="decimal"/>
      <w:lvlText w:val=""/>
      <w:lvlJc w:val="left"/>
    </w:lvl>
    <w:lvl w:ilvl="5" w:tplc="6882B470">
      <w:numFmt w:val="decimal"/>
      <w:lvlText w:val=""/>
      <w:lvlJc w:val="left"/>
    </w:lvl>
    <w:lvl w:ilvl="6" w:tplc="9EE2E418">
      <w:numFmt w:val="decimal"/>
      <w:lvlText w:val=""/>
      <w:lvlJc w:val="left"/>
    </w:lvl>
    <w:lvl w:ilvl="7" w:tplc="15E0991E">
      <w:numFmt w:val="decimal"/>
      <w:lvlText w:val=""/>
      <w:lvlJc w:val="left"/>
    </w:lvl>
    <w:lvl w:ilvl="8" w:tplc="A308F190">
      <w:numFmt w:val="decimal"/>
      <w:lvlText w:val=""/>
      <w:lvlJc w:val="left"/>
    </w:lvl>
  </w:abstractNum>
  <w:num w:numId="1" w16cid:durableId="12253305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421"/>
    <w:rsid w:val="00097752"/>
    <w:rsid w:val="001266A6"/>
    <w:rsid w:val="00177B1C"/>
    <w:rsid w:val="001C00F2"/>
    <w:rsid w:val="004123F7"/>
    <w:rsid w:val="0049468E"/>
    <w:rsid w:val="004F7569"/>
    <w:rsid w:val="00626039"/>
    <w:rsid w:val="008578AB"/>
    <w:rsid w:val="008F6E32"/>
    <w:rsid w:val="00AD3EA7"/>
    <w:rsid w:val="00B706FD"/>
    <w:rsid w:val="00CA264B"/>
    <w:rsid w:val="00DA0EB3"/>
    <w:rsid w:val="00EA1D7F"/>
    <w:rsid w:val="00EB1421"/>
    <w:rsid w:val="00FC5C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C5C5"/>
  <w15:docId w15:val="{C16403DF-6226-4F00-ACDA-7B3DB25A1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00"/>
      <w:outlineLvl w:val="0"/>
    </w:pPr>
    <w:rPr>
      <w:b/>
      <w:bCs/>
      <w:sz w:val="22"/>
      <w:szCs w:val="22"/>
    </w:rPr>
  </w:style>
  <w:style w:type="paragraph" w:styleId="Ttulo2">
    <w:name w:val="heading 2"/>
    <w:uiPriority w:val="9"/>
    <w:unhideWhenUsed/>
    <w:qFormat/>
    <w:pPr>
      <w:spacing w:before="120" w:after="80"/>
      <w:outlineLvl w:val="1"/>
    </w:pPr>
    <w:rPr>
      <w:b/>
      <w:bCs/>
      <w:i/>
      <w:i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1C00F2"/>
    <w:rPr>
      <w:color w:val="605E5C"/>
      <w:shd w:val="clear" w:color="auto" w:fill="E1DFDD"/>
    </w:rPr>
  </w:style>
  <w:style w:type="paragraph" w:styleId="NormalWeb">
    <w:name w:val="Normal (Web)"/>
    <w:basedOn w:val="Normal"/>
    <w:uiPriority w:val="99"/>
    <w:semiHidden/>
    <w:unhideWhenUsed/>
    <w:rsid w:val="0009775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1504</Words>
  <Characters>8273</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Verónica AH</cp:lastModifiedBy>
  <cp:revision>2</cp:revision>
  <dcterms:created xsi:type="dcterms:W3CDTF">2026-06-20T01:13:00Z</dcterms:created>
  <dcterms:modified xsi:type="dcterms:W3CDTF">2026-06-20T01:13:00Z</dcterms:modified>
</cp:coreProperties>
</file>