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77" w:rsidRPr="00B320B6" w:rsidRDefault="00551E77" w:rsidP="00B320B6">
      <w:pPr>
        <w:spacing w:after="0" w:line="360" w:lineRule="auto"/>
        <w:jc w:val="right"/>
        <w:rPr>
          <w:rFonts w:ascii="Arial" w:hAnsi="Arial" w:cs="Arial"/>
          <w:b/>
          <w:i/>
          <w:sz w:val="52"/>
          <w:szCs w:val="52"/>
          <w:lang w:val="es-ES" w:eastAsia="es-ES"/>
        </w:rPr>
      </w:pPr>
      <w:r w:rsidRPr="00110B0E">
        <w:rPr>
          <w:rFonts w:ascii="Times New Roman" w:hAnsi="Times New Roman"/>
          <w:sz w:val="24"/>
          <w:szCs w:val="24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60.75pt">
            <v:imagedata r:id="rId5" o:title=""/>
          </v:shape>
        </w:pict>
      </w:r>
    </w:p>
    <w:p w:rsidR="00551E77" w:rsidRPr="00B320B6" w:rsidRDefault="00551E77" w:rsidP="00B320B6">
      <w:pPr>
        <w:spacing w:after="0" w:line="360" w:lineRule="auto"/>
        <w:jc w:val="center"/>
        <w:rPr>
          <w:rFonts w:ascii="Arial" w:hAnsi="Arial" w:cs="Arial"/>
          <w:b/>
          <w:i/>
          <w:sz w:val="52"/>
          <w:szCs w:val="52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jc w:val="center"/>
        <w:rPr>
          <w:rFonts w:ascii="Arial" w:hAnsi="Arial" w:cs="Arial"/>
          <w:b/>
          <w:i/>
          <w:sz w:val="44"/>
          <w:szCs w:val="44"/>
          <w:lang w:val="es-ES" w:eastAsia="es-ES"/>
        </w:rPr>
      </w:pPr>
      <w:r>
        <w:rPr>
          <w:rFonts w:ascii="Arial" w:hAnsi="Arial" w:cs="Arial"/>
          <w:b/>
          <w:i/>
          <w:sz w:val="44"/>
          <w:szCs w:val="44"/>
          <w:lang w:val="es-ES" w:eastAsia="es-ES"/>
        </w:rPr>
        <w:t>Trabajo Práctico Nº 2</w:t>
      </w:r>
      <w:r w:rsidRPr="00B320B6">
        <w:rPr>
          <w:rFonts w:ascii="Arial" w:hAnsi="Arial" w:cs="Arial"/>
          <w:b/>
          <w:i/>
          <w:sz w:val="44"/>
          <w:szCs w:val="44"/>
          <w:lang w:val="es-ES" w:eastAsia="es-ES"/>
        </w:rPr>
        <w:t>:</w:t>
      </w:r>
    </w:p>
    <w:p w:rsidR="00551E77" w:rsidRPr="00B320B6" w:rsidRDefault="00551E77" w:rsidP="00B320B6">
      <w:pPr>
        <w:spacing w:after="0" w:line="360" w:lineRule="auto"/>
        <w:jc w:val="center"/>
        <w:rPr>
          <w:rFonts w:ascii="Arial" w:hAnsi="Arial" w:cs="Arial"/>
          <w:b/>
          <w:i/>
          <w:sz w:val="52"/>
          <w:szCs w:val="52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jc w:val="center"/>
        <w:rPr>
          <w:rFonts w:ascii="Arial" w:hAnsi="Arial" w:cs="Arial"/>
          <w:b/>
          <w:i/>
          <w:sz w:val="52"/>
          <w:szCs w:val="52"/>
          <w:lang w:val="es-ES" w:eastAsia="es-ES"/>
        </w:rPr>
      </w:pPr>
      <w:r>
        <w:rPr>
          <w:rFonts w:ascii="Arial" w:hAnsi="Arial" w:cs="Arial"/>
          <w:b/>
          <w:i/>
          <w:sz w:val="52"/>
          <w:szCs w:val="52"/>
          <w:lang w:val="es-ES" w:eastAsia="es-ES"/>
        </w:rPr>
        <w:t>Estequiometría y Equilibrio de Formación de un Complejo</w:t>
      </w:r>
    </w:p>
    <w:p w:rsidR="00551E77" w:rsidRPr="00B320B6" w:rsidRDefault="00551E77" w:rsidP="00B320B6">
      <w:pPr>
        <w:spacing w:after="0" w:line="360" w:lineRule="auto"/>
        <w:jc w:val="center"/>
        <w:rPr>
          <w:rFonts w:ascii="Arial" w:hAnsi="Arial" w:cs="Arial"/>
          <w:i/>
          <w:sz w:val="52"/>
          <w:szCs w:val="52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>Asignatura:</w:t>
      </w:r>
      <w:r w:rsidRPr="00B320B6">
        <w:rPr>
          <w:rFonts w:ascii="Arial" w:hAnsi="Arial" w:cs="Arial"/>
          <w:i/>
          <w:sz w:val="24"/>
          <w:szCs w:val="24"/>
          <w:lang w:val="es-ES" w:eastAsia="es-ES"/>
        </w:rPr>
        <w:t xml:space="preserve"> </w:t>
      </w:r>
      <w:r>
        <w:rPr>
          <w:rFonts w:ascii="Arial" w:hAnsi="Arial" w:cs="Arial"/>
          <w:i/>
          <w:sz w:val="24"/>
          <w:szCs w:val="24"/>
          <w:lang w:val="es-ES" w:eastAsia="es-ES"/>
        </w:rPr>
        <w:t>Fisicoquímica.</w:t>
      </w: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 xml:space="preserve">Profesor a cargo: </w:t>
      </w:r>
      <w:r>
        <w:rPr>
          <w:rFonts w:ascii="Arial" w:hAnsi="Arial" w:cs="Arial"/>
          <w:i/>
          <w:sz w:val="24"/>
          <w:szCs w:val="24"/>
          <w:lang w:val="es-ES" w:eastAsia="es-ES"/>
        </w:rPr>
        <w:t>Ernesto Christian Hainich.</w:t>
      </w: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 xml:space="preserve">Profesores instructores: </w:t>
      </w:r>
      <w:r>
        <w:rPr>
          <w:rFonts w:ascii="Arial" w:hAnsi="Arial" w:cs="Arial"/>
          <w:i/>
          <w:sz w:val="24"/>
          <w:szCs w:val="24"/>
          <w:lang w:val="es-ES" w:eastAsia="es-ES"/>
        </w:rPr>
        <w:t>Tadeo Enrique Saldaño, Luis Federico Veiga.</w:t>
      </w: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jc w:val="right"/>
        <w:rPr>
          <w:rFonts w:ascii="Arial" w:hAnsi="Arial" w:cs="Arial"/>
          <w:i/>
          <w:sz w:val="24"/>
          <w:szCs w:val="24"/>
          <w:lang w:val="es-ES" w:eastAsia="es-ES"/>
        </w:rPr>
      </w:pP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>Alumno:</w:t>
      </w:r>
      <w:r w:rsidRPr="00B320B6">
        <w:rPr>
          <w:rFonts w:ascii="Arial" w:hAnsi="Arial" w:cs="Arial"/>
          <w:i/>
          <w:sz w:val="24"/>
          <w:szCs w:val="24"/>
          <w:lang w:val="es-ES" w:eastAsia="es-ES"/>
        </w:rPr>
        <w:t xml:space="preserve"> Fernando Amor.</w:t>
      </w:r>
    </w:p>
    <w:p w:rsidR="00551E77" w:rsidRPr="00B320B6" w:rsidRDefault="00551E77" w:rsidP="00B320B6">
      <w:pPr>
        <w:spacing w:after="0" w:line="360" w:lineRule="auto"/>
        <w:jc w:val="right"/>
        <w:rPr>
          <w:rFonts w:ascii="Arial" w:hAnsi="Arial" w:cs="Arial"/>
          <w:i/>
          <w:sz w:val="24"/>
          <w:szCs w:val="24"/>
          <w:lang w:val="es-ES" w:eastAsia="es-ES"/>
        </w:rPr>
      </w:pP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>Nº de Legajo:</w:t>
      </w:r>
      <w:r w:rsidRPr="00B320B6">
        <w:rPr>
          <w:rFonts w:ascii="Arial" w:hAnsi="Arial" w:cs="Arial"/>
          <w:i/>
          <w:sz w:val="24"/>
          <w:szCs w:val="24"/>
          <w:lang w:val="es-ES" w:eastAsia="es-ES"/>
        </w:rPr>
        <w:t xml:space="preserve"> 24.280</w:t>
      </w:r>
    </w:p>
    <w:p w:rsidR="00551E77" w:rsidRPr="00B320B6" w:rsidRDefault="00551E77" w:rsidP="00B320B6">
      <w:pPr>
        <w:spacing w:after="0" w:line="360" w:lineRule="auto"/>
        <w:jc w:val="right"/>
        <w:rPr>
          <w:rFonts w:ascii="Arial" w:hAnsi="Arial" w:cs="Arial"/>
          <w:i/>
          <w:sz w:val="24"/>
          <w:szCs w:val="24"/>
          <w:lang w:val="es-ES" w:eastAsia="es-ES"/>
        </w:rPr>
      </w:pP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>Correo electrónico:</w:t>
      </w:r>
      <w:r w:rsidRPr="00B320B6">
        <w:rPr>
          <w:rFonts w:ascii="Arial" w:hAnsi="Arial" w:cs="Arial"/>
          <w:i/>
          <w:sz w:val="24"/>
          <w:szCs w:val="24"/>
          <w:lang w:val="es-ES" w:eastAsia="es-ES"/>
        </w:rPr>
        <w:t xml:space="preserve"> Fer_0717@hotmail.com</w:t>
      </w:r>
    </w:p>
    <w:p w:rsidR="00551E77" w:rsidRPr="00B320B6" w:rsidRDefault="00551E77" w:rsidP="00B320B6">
      <w:pPr>
        <w:spacing w:after="0" w:line="360" w:lineRule="auto"/>
        <w:jc w:val="right"/>
        <w:rPr>
          <w:rFonts w:ascii="Arial" w:hAnsi="Arial" w:cs="Arial"/>
          <w:i/>
          <w:sz w:val="24"/>
          <w:szCs w:val="24"/>
          <w:lang w:val="es-ES" w:eastAsia="es-ES"/>
        </w:rPr>
      </w:pP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>Fecha</w:t>
      </w:r>
      <w:r>
        <w:rPr>
          <w:rFonts w:ascii="Arial" w:hAnsi="Arial" w:cs="Arial"/>
          <w:b/>
          <w:i/>
          <w:sz w:val="24"/>
          <w:szCs w:val="24"/>
          <w:lang w:val="es-ES" w:eastAsia="es-ES"/>
        </w:rPr>
        <w:t xml:space="preserve"> de entrega</w:t>
      </w:r>
      <w:r w:rsidRPr="00B320B6">
        <w:rPr>
          <w:rFonts w:ascii="Arial" w:hAnsi="Arial" w:cs="Arial"/>
          <w:b/>
          <w:i/>
          <w:sz w:val="24"/>
          <w:szCs w:val="24"/>
          <w:lang w:val="es-ES" w:eastAsia="es-ES"/>
        </w:rPr>
        <w:t>:</w:t>
      </w:r>
      <w:r w:rsidRPr="00B320B6">
        <w:rPr>
          <w:rFonts w:ascii="Arial" w:hAnsi="Arial" w:cs="Arial"/>
          <w:i/>
          <w:sz w:val="24"/>
          <w:szCs w:val="24"/>
          <w:lang w:val="es-ES" w:eastAsia="es-ES"/>
        </w:rPr>
        <w:t xml:space="preserve"> </w:t>
      </w:r>
      <w:r>
        <w:rPr>
          <w:rFonts w:ascii="Arial" w:hAnsi="Arial" w:cs="Arial"/>
          <w:i/>
          <w:sz w:val="24"/>
          <w:szCs w:val="24"/>
          <w:lang w:val="es-ES" w:eastAsia="es-ES"/>
        </w:rPr>
        <w:t>17</w:t>
      </w:r>
      <w:r w:rsidRPr="00B320B6">
        <w:rPr>
          <w:rFonts w:ascii="Arial" w:hAnsi="Arial" w:cs="Arial"/>
          <w:i/>
          <w:sz w:val="24"/>
          <w:szCs w:val="24"/>
          <w:lang w:val="es-ES" w:eastAsia="es-ES"/>
        </w:rPr>
        <w:t>/</w:t>
      </w:r>
      <w:r>
        <w:rPr>
          <w:rFonts w:ascii="Arial" w:hAnsi="Arial" w:cs="Arial"/>
          <w:i/>
          <w:sz w:val="24"/>
          <w:szCs w:val="24"/>
          <w:lang w:val="es-ES" w:eastAsia="es-ES"/>
        </w:rPr>
        <w:t>11/14</w:t>
      </w: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</w:p>
    <w:p w:rsidR="00551E77" w:rsidRPr="00B320B6" w:rsidRDefault="00551E77" w:rsidP="00B320B6">
      <w:pPr>
        <w:spacing w:after="0" w:line="360" w:lineRule="auto"/>
        <w:rPr>
          <w:rFonts w:ascii="Arial" w:hAnsi="Arial" w:cs="Arial"/>
          <w:i/>
          <w:sz w:val="24"/>
          <w:szCs w:val="24"/>
          <w:lang w:val="es-ES" w:eastAsia="es-ES"/>
        </w:rPr>
      </w:pPr>
    </w:p>
    <w:p w:rsidR="00551E77" w:rsidRPr="00B320B6" w:rsidRDefault="00551E77">
      <w:pPr>
        <w:rPr>
          <w:rFonts w:ascii="Arial" w:hAnsi="Arial"/>
          <w:sz w:val="26"/>
          <w:lang w:val="es-ES"/>
        </w:rPr>
      </w:pPr>
    </w:p>
    <w:p w:rsidR="00551E77" w:rsidRDefault="00551E77" w:rsidP="0019600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51E77" w:rsidRDefault="00551E77" w:rsidP="0019600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51E77" w:rsidRDefault="00551E77" w:rsidP="0019600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320B6">
        <w:rPr>
          <w:rFonts w:ascii="Arial" w:hAnsi="Arial" w:cs="Arial"/>
          <w:b/>
          <w:sz w:val="24"/>
          <w:szCs w:val="24"/>
        </w:rPr>
        <w:t>Resumen</w:t>
      </w:r>
    </w:p>
    <w:p w:rsidR="00551E77" w:rsidRDefault="00551E77" w:rsidP="00584205">
      <w:pPr>
        <w:spacing w:after="120" w:line="24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</w:p>
    <w:p w:rsidR="00551E77" w:rsidRPr="0004387D" w:rsidRDefault="00551E77" w:rsidP="00584205">
      <w:pPr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En este experimento se determinaron tanto la fórmula empírica como la constante de equilibrio K y la energía libre estándar de formación de un complejo coloreado, formado por ácido salicílico e iones férricos. Los resultados fueron, respectivamente, [Fe (C</w:t>
      </w:r>
      <w:r w:rsidRPr="0004387D">
        <w:rPr>
          <w:rFonts w:ascii="Arial" w:hAnsi="Arial" w:cs="Arial"/>
          <w:sz w:val="24"/>
          <w:szCs w:val="24"/>
          <w:vertAlign w:val="subscript"/>
        </w:rPr>
        <w:t>7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>O</w:t>
      </w:r>
      <w:r w:rsidRPr="0004387D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)]</w:t>
      </w:r>
      <w:r>
        <w:rPr>
          <w:rFonts w:ascii="Arial" w:hAnsi="Arial" w:cs="Arial"/>
          <w:sz w:val="24"/>
          <w:szCs w:val="24"/>
          <w:vertAlign w:val="superscript"/>
        </w:rPr>
        <w:t>2+</w:t>
      </w:r>
      <w:r>
        <w:rPr>
          <w:rFonts w:ascii="Arial" w:hAnsi="Arial" w:cs="Arial"/>
          <w:sz w:val="24"/>
          <w:szCs w:val="24"/>
        </w:rPr>
        <w:t>; 6,3207*10</w:t>
      </w:r>
      <w:r>
        <w:rPr>
          <w:rFonts w:ascii="Arial" w:hAnsi="Arial" w:cs="Arial"/>
          <w:sz w:val="24"/>
          <w:szCs w:val="24"/>
          <w:vertAlign w:val="superscript"/>
        </w:rPr>
        <w:t xml:space="preserve">4 </w:t>
      </w:r>
      <w:r>
        <w:rPr>
          <w:rFonts w:ascii="Arial" w:hAnsi="Arial" w:cs="Arial"/>
          <w:sz w:val="24"/>
          <w:szCs w:val="24"/>
        </w:rPr>
        <w:t xml:space="preserve">y  </w:t>
      </w:r>
      <w:r w:rsidRPr="00C75B3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75B32">
        <w:rPr>
          <w:rFonts w:ascii="Arial" w:hAnsi="Arial" w:cs="Arial"/>
          <w:sz w:val="24"/>
          <w:szCs w:val="24"/>
        </w:rPr>
        <w:t>27,4794 KJ / mol</w:t>
      </w:r>
      <w:r>
        <w:rPr>
          <w:rFonts w:ascii="Arial" w:hAnsi="Arial" w:cs="Arial"/>
          <w:sz w:val="24"/>
          <w:szCs w:val="24"/>
        </w:rPr>
        <w:t>.</w:t>
      </w:r>
    </w:p>
    <w:p w:rsidR="00551E77" w:rsidRDefault="00551E77" w:rsidP="0004387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51E77" w:rsidRDefault="00551E77" w:rsidP="0004387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51E77" w:rsidRDefault="00551E77" w:rsidP="0004387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4387D">
        <w:rPr>
          <w:rFonts w:ascii="Arial" w:hAnsi="Arial" w:cs="Arial"/>
          <w:b/>
          <w:sz w:val="24"/>
          <w:szCs w:val="24"/>
        </w:rPr>
        <w:t>Introducción</w:t>
      </w:r>
    </w:p>
    <w:p w:rsidR="00551E77" w:rsidRDefault="00551E77" w:rsidP="0004387D">
      <w:pPr>
        <w:autoSpaceDE w:val="0"/>
        <w:autoSpaceDN w:val="0"/>
        <w:adjustRightIn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 w:rsidRPr="00FC6540">
        <w:rPr>
          <w:rFonts w:ascii="Arial" w:hAnsi="Arial" w:cs="Arial"/>
          <w:sz w:val="24"/>
          <w:szCs w:val="24"/>
          <w:lang w:eastAsia="es-ES"/>
        </w:rPr>
        <w:t>La mayoría de los compuest</w:t>
      </w:r>
      <w:r>
        <w:rPr>
          <w:rFonts w:ascii="Arial" w:hAnsi="Arial" w:cs="Arial"/>
          <w:sz w:val="24"/>
          <w:szCs w:val="24"/>
          <w:lang w:eastAsia="es-ES"/>
        </w:rPr>
        <w:t xml:space="preserve">os fenólicos </w:t>
      </w:r>
      <w:r w:rsidRPr="00FC6540">
        <w:rPr>
          <w:rFonts w:ascii="Arial" w:hAnsi="Arial" w:cs="Arial"/>
          <w:sz w:val="24"/>
          <w:szCs w:val="24"/>
          <w:lang w:eastAsia="es-ES"/>
        </w:rPr>
        <w:t>reaccionan formando comple</w:t>
      </w:r>
      <w:r>
        <w:rPr>
          <w:rFonts w:ascii="Arial" w:hAnsi="Arial" w:cs="Arial"/>
          <w:sz w:val="24"/>
          <w:szCs w:val="24"/>
          <w:lang w:eastAsia="es-ES"/>
        </w:rPr>
        <w:t xml:space="preserve">jos fuertemente coloreados al tratarlos con </w:t>
      </w:r>
      <w:r w:rsidRPr="00FC6540">
        <w:rPr>
          <w:rFonts w:ascii="Arial" w:hAnsi="Arial" w:cs="Arial"/>
          <w:sz w:val="24"/>
          <w:szCs w:val="24"/>
          <w:lang w:eastAsia="es-ES"/>
        </w:rPr>
        <w:t>soluciones de sales férricas</w:t>
      </w:r>
      <w:r>
        <w:rPr>
          <w:rFonts w:ascii="Arial" w:hAnsi="Arial" w:cs="Arial"/>
          <w:sz w:val="24"/>
          <w:szCs w:val="24"/>
          <w:lang w:eastAsia="es-ES"/>
        </w:rPr>
        <w:t>. El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sz w:val="24"/>
          <w:szCs w:val="24"/>
          <w:lang w:eastAsia="es-ES"/>
        </w:rPr>
        <w:t>color, absorción y reflejo de radiación electromagnética a determinada longitud de onda,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puede ser aprovechad</w:t>
      </w:r>
      <w:r>
        <w:rPr>
          <w:rFonts w:ascii="Arial" w:hAnsi="Arial" w:cs="Arial"/>
          <w:sz w:val="24"/>
          <w:szCs w:val="24"/>
          <w:lang w:eastAsia="es-ES"/>
        </w:rPr>
        <w:t>o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sz w:val="24"/>
          <w:szCs w:val="24"/>
          <w:lang w:eastAsia="es-ES"/>
        </w:rPr>
        <w:t>para determinar la estequiometrí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a de </w:t>
      </w:r>
      <w:r>
        <w:rPr>
          <w:rFonts w:ascii="Arial" w:hAnsi="Arial" w:cs="Arial"/>
          <w:sz w:val="24"/>
          <w:szCs w:val="24"/>
          <w:lang w:eastAsia="es-ES"/>
        </w:rPr>
        <w:t>la reacción mediante el método de JOB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. </w:t>
      </w:r>
      <w:r>
        <w:rPr>
          <w:rFonts w:ascii="Arial" w:hAnsi="Arial" w:cs="Arial"/>
          <w:sz w:val="24"/>
          <w:szCs w:val="24"/>
          <w:lang w:eastAsia="es-ES"/>
        </w:rPr>
        <w:t>En este procedimiento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sz w:val="24"/>
          <w:szCs w:val="24"/>
          <w:lang w:eastAsia="es-ES"/>
        </w:rPr>
        <w:t>se mezclan los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reactivos en proporciones variadas</w:t>
      </w:r>
      <w:r>
        <w:rPr>
          <w:rFonts w:ascii="Arial" w:hAnsi="Arial" w:cs="Arial"/>
          <w:sz w:val="24"/>
          <w:szCs w:val="24"/>
          <w:lang w:eastAsia="es-ES"/>
        </w:rPr>
        <w:t xml:space="preserve"> siempre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con un volumen final constante,</w:t>
      </w:r>
      <w:r>
        <w:rPr>
          <w:rFonts w:ascii="Arial" w:hAnsi="Arial" w:cs="Arial"/>
          <w:sz w:val="24"/>
          <w:szCs w:val="24"/>
          <w:lang w:eastAsia="es-ES"/>
        </w:rPr>
        <w:t xml:space="preserve"> siendo la mezcla de color más intenso la de proporciones correspondientes a la fórmula empírica del complejo. 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sz w:val="24"/>
          <w:szCs w:val="24"/>
          <w:lang w:eastAsia="es-ES"/>
        </w:rPr>
        <w:t>La reacción de complejación se da de la siguiente manera:</w:t>
      </w: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</w:p>
    <w:p w:rsidR="00551E77" w:rsidRPr="00E53F8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  <w:t xml:space="preserve">  </w:t>
      </w:r>
      <w:r>
        <w:rPr>
          <w:rFonts w:ascii="Arial" w:hAnsi="Arial" w:cs="Arial"/>
          <w:sz w:val="24"/>
          <w:szCs w:val="24"/>
          <w:lang w:val="es-ES" w:eastAsia="es-ES"/>
        </w:rPr>
        <w:t xml:space="preserve">aA + bB    ↔     </w:t>
      </w:r>
      <w:r w:rsidRPr="00E53F87">
        <w:rPr>
          <w:rFonts w:ascii="Arial" w:hAnsi="Arial" w:cs="Arial"/>
          <w:sz w:val="24"/>
          <w:szCs w:val="24"/>
          <w:lang w:val="es-ES" w:eastAsia="es-ES"/>
        </w:rPr>
        <w:t>A</w:t>
      </w:r>
      <w:r w:rsidRPr="00E53F87">
        <w:rPr>
          <w:rFonts w:ascii="Arial" w:hAnsi="Arial" w:cs="Arial"/>
          <w:sz w:val="24"/>
          <w:szCs w:val="24"/>
          <w:vertAlign w:val="subscript"/>
          <w:lang w:val="es-ES" w:eastAsia="es-ES"/>
        </w:rPr>
        <w:t>a</w:t>
      </w:r>
      <w:r w:rsidRPr="00E53F87">
        <w:rPr>
          <w:rFonts w:ascii="Arial" w:hAnsi="Arial" w:cs="Arial"/>
          <w:sz w:val="24"/>
          <w:szCs w:val="24"/>
          <w:lang w:val="es-ES" w:eastAsia="es-ES"/>
        </w:rPr>
        <w:t>B</w:t>
      </w:r>
      <w:r w:rsidRPr="00E53F87">
        <w:rPr>
          <w:rFonts w:ascii="Arial" w:hAnsi="Arial" w:cs="Arial"/>
          <w:sz w:val="24"/>
          <w:szCs w:val="24"/>
          <w:vertAlign w:val="subscript"/>
          <w:lang w:val="es-ES" w:eastAsia="es-ES"/>
        </w:rPr>
        <w:t>b</w:t>
      </w:r>
    </w:p>
    <w:p w:rsidR="00551E77" w:rsidRPr="00FC6540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vertAlign w:val="subscript"/>
          <w:lang w:eastAsia="es-ES"/>
        </w:rPr>
      </w:pP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 w:rsidRPr="00FC6540">
        <w:rPr>
          <w:rFonts w:ascii="Arial" w:hAnsi="Arial" w:cs="Arial"/>
          <w:sz w:val="24"/>
          <w:szCs w:val="24"/>
          <w:lang w:eastAsia="es-ES"/>
        </w:rPr>
        <w:t>Mediante espectrofotometría</w:t>
      </w:r>
      <w:r>
        <w:rPr>
          <w:rFonts w:ascii="Arial" w:hAnsi="Arial" w:cs="Arial"/>
          <w:sz w:val="24"/>
          <w:szCs w:val="24"/>
          <w:lang w:eastAsia="es-ES"/>
        </w:rPr>
        <w:t xml:space="preserve"> UV-V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puede determinarse la concentración del complejo formado utiliza</w:t>
      </w:r>
      <w:r>
        <w:rPr>
          <w:rFonts w:ascii="Arial" w:hAnsi="Arial" w:cs="Arial"/>
          <w:sz w:val="24"/>
          <w:szCs w:val="24"/>
          <w:lang w:eastAsia="es-ES"/>
        </w:rPr>
        <w:t>ndo la ecuación de Lambert-Beer:</w:t>
      </w: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</w:p>
    <w:p w:rsidR="00551E77" w:rsidRPr="003568A6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i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 w:rsidRPr="003568A6">
        <w:rPr>
          <w:rFonts w:ascii="Arial" w:hAnsi="Arial" w:cs="Arial"/>
          <w:i/>
          <w:sz w:val="24"/>
          <w:szCs w:val="24"/>
          <w:lang w:eastAsia="es-ES"/>
        </w:rPr>
        <w:t>A = ε * b * c</w:t>
      </w:r>
    </w:p>
    <w:p w:rsidR="00551E77" w:rsidRPr="00FC6540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 w:rsidRPr="00FC6540">
        <w:rPr>
          <w:rFonts w:ascii="Arial" w:hAnsi="Arial" w:cs="Arial"/>
          <w:sz w:val="24"/>
          <w:szCs w:val="24"/>
          <w:lang w:eastAsia="es-ES"/>
        </w:rPr>
        <w:t xml:space="preserve">Donde </w:t>
      </w:r>
      <w:r w:rsidRPr="00FC6540">
        <w:rPr>
          <w:rFonts w:ascii="Arial" w:hAnsi="Arial" w:cs="Arial"/>
          <w:i/>
          <w:iCs/>
          <w:sz w:val="24"/>
          <w:szCs w:val="24"/>
          <w:lang w:eastAsia="es-ES"/>
        </w:rPr>
        <w:t>A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es la absorbancia, </w:t>
      </w:r>
      <w:r w:rsidRPr="003568A6">
        <w:rPr>
          <w:rFonts w:ascii="Arial" w:hAnsi="Arial" w:cs="Arial"/>
          <w:i/>
          <w:sz w:val="24"/>
          <w:szCs w:val="24"/>
          <w:lang w:eastAsia="es-ES"/>
        </w:rPr>
        <w:t>ε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el coeficiente de extinción molar, </w:t>
      </w:r>
      <w:r w:rsidRPr="00FC6540">
        <w:rPr>
          <w:rFonts w:ascii="Arial" w:hAnsi="Arial" w:cs="Arial"/>
          <w:i/>
          <w:iCs/>
          <w:sz w:val="24"/>
          <w:szCs w:val="24"/>
          <w:lang w:eastAsia="es-ES"/>
        </w:rPr>
        <w:t>b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la longitud del camino óptico y </w:t>
      </w:r>
      <w:r w:rsidRPr="00FC6540">
        <w:rPr>
          <w:rFonts w:ascii="Arial" w:hAnsi="Arial" w:cs="Arial"/>
          <w:i/>
          <w:iCs/>
          <w:sz w:val="24"/>
          <w:szCs w:val="24"/>
          <w:lang w:eastAsia="es-ES"/>
        </w:rPr>
        <w:t>c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la concentración de la especie </w:t>
      </w:r>
      <w:r>
        <w:rPr>
          <w:rFonts w:ascii="Arial" w:hAnsi="Arial" w:cs="Arial"/>
          <w:sz w:val="24"/>
          <w:szCs w:val="24"/>
          <w:lang w:eastAsia="es-ES"/>
        </w:rPr>
        <w:t>que absorbe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. </w:t>
      </w:r>
      <w:r w:rsidRPr="00FC6540">
        <w:rPr>
          <w:rFonts w:ascii="Arial" w:hAnsi="Arial" w:cs="Arial"/>
          <w:i/>
          <w:iCs/>
          <w:sz w:val="24"/>
          <w:szCs w:val="24"/>
          <w:lang w:eastAsia="es-ES"/>
        </w:rPr>
        <w:t>ε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sz w:val="24"/>
          <w:szCs w:val="24"/>
          <w:lang w:eastAsia="es-ES"/>
        </w:rPr>
        <w:t xml:space="preserve">es una constante experimental,  </w:t>
      </w:r>
      <w:r w:rsidRPr="00FC6540">
        <w:rPr>
          <w:rFonts w:ascii="Arial" w:hAnsi="Arial" w:cs="Arial"/>
          <w:sz w:val="24"/>
          <w:szCs w:val="24"/>
          <w:lang w:eastAsia="es-ES"/>
        </w:rPr>
        <w:t>depende</w:t>
      </w:r>
      <w:r>
        <w:rPr>
          <w:rFonts w:ascii="Arial" w:hAnsi="Arial" w:cs="Arial"/>
          <w:sz w:val="24"/>
          <w:szCs w:val="24"/>
          <w:lang w:eastAsia="es-ES"/>
        </w:rPr>
        <w:t xml:space="preserve"> tanto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de la longitud de onda </w:t>
      </w:r>
      <w:r>
        <w:rPr>
          <w:rFonts w:ascii="Arial" w:hAnsi="Arial" w:cs="Arial"/>
          <w:sz w:val="24"/>
          <w:szCs w:val="24"/>
          <w:lang w:eastAsia="es-ES"/>
        </w:rPr>
        <w:t>a la que se trabaja como del compuesto absorbente.</w:t>
      </w:r>
    </w:p>
    <w:p w:rsidR="00551E77" w:rsidRPr="00FC6540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Para determinar </w:t>
      </w:r>
      <w:r w:rsidRPr="00FC6540">
        <w:rPr>
          <w:rFonts w:ascii="Arial" w:hAnsi="Arial" w:cs="Arial"/>
          <w:i/>
          <w:iCs/>
          <w:sz w:val="24"/>
          <w:szCs w:val="24"/>
          <w:lang w:eastAsia="es-ES"/>
        </w:rPr>
        <w:t xml:space="preserve">ε </w:t>
      </w:r>
      <w:r w:rsidRPr="00FC6540">
        <w:rPr>
          <w:rFonts w:ascii="Arial" w:hAnsi="Arial" w:cs="Arial"/>
          <w:sz w:val="24"/>
          <w:szCs w:val="24"/>
          <w:lang w:eastAsia="es-ES"/>
        </w:rPr>
        <w:t>se realiza</w:t>
      </w: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 una </w:t>
      </w:r>
      <w:r>
        <w:rPr>
          <w:rFonts w:ascii="Arial" w:hAnsi="Arial" w:cs="Arial"/>
          <w:sz w:val="24"/>
          <w:szCs w:val="24"/>
          <w:lang w:val="es-ES" w:eastAsia="es-ES"/>
        </w:rPr>
        <w:t>curva</w:t>
      </w: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 de calibración utilizando uno de los reactivos en exceso</w:t>
      </w:r>
      <w:r>
        <w:rPr>
          <w:rFonts w:ascii="Arial" w:hAnsi="Arial" w:cs="Arial"/>
          <w:sz w:val="24"/>
          <w:szCs w:val="24"/>
          <w:lang w:val="es-ES" w:eastAsia="es-ES"/>
        </w:rPr>
        <w:t>, de</w:t>
      </w: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 modo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que</w:t>
      </w: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 el equilibrio </w:t>
      </w:r>
      <w:r>
        <w:rPr>
          <w:rFonts w:ascii="Arial" w:hAnsi="Arial" w:cs="Arial"/>
          <w:sz w:val="24"/>
          <w:szCs w:val="24"/>
          <w:lang w:val="es-ES" w:eastAsia="es-ES"/>
        </w:rPr>
        <w:t>se desplaza</w:t>
      </w: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 hacia la formación de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el/los</w:t>
      </w: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 productos, con lo que la concentración del complejo formado </w:t>
      </w:r>
      <w:r>
        <w:rPr>
          <w:rFonts w:ascii="Arial" w:hAnsi="Arial" w:cs="Arial"/>
          <w:sz w:val="24"/>
          <w:szCs w:val="24"/>
          <w:lang w:val="es-ES" w:eastAsia="es-ES"/>
        </w:rPr>
        <w:t>vendría a ser igual</w:t>
      </w:r>
      <w:r w:rsidRPr="00FC6540">
        <w:rPr>
          <w:rFonts w:ascii="Arial" w:hAnsi="Arial" w:cs="Arial"/>
          <w:sz w:val="24"/>
          <w:szCs w:val="24"/>
          <w:lang w:val="es-ES" w:eastAsia="es-ES"/>
        </w:rPr>
        <w:t xml:space="preserve"> a la concentración del reactivo limitante.</w:t>
      </w:r>
    </w:p>
    <w:p w:rsidR="00551E77" w:rsidRPr="00FC6540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 w:rsidRPr="00FC6540">
        <w:rPr>
          <w:rFonts w:ascii="Arial" w:hAnsi="Arial" w:cs="Arial"/>
          <w:sz w:val="24"/>
          <w:szCs w:val="24"/>
          <w:lang w:eastAsia="es-ES"/>
        </w:rPr>
        <w:t xml:space="preserve">Para el cálculo de la energía de formación estándar se </w:t>
      </w:r>
      <w:r>
        <w:rPr>
          <w:rFonts w:ascii="Arial" w:hAnsi="Arial" w:cs="Arial"/>
          <w:sz w:val="24"/>
          <w:szCs w:val="24"/>
          <w:lang w:eastAsia="es-ES"/>
        </w:rPr>
        <w:t>utiliza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la siguiente ecuación:</w:t>
      </w:r>
    </w:p>
    <w:p w:rsidR="00551E77" w:rsidRPr="00FC6540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</w:p>
    <w:p w:rsidR="00551E77" w:rsidRDefault="00551E77" w:rsidP="003568A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 w:rsidRPr="00FC6540">
        <w:rPr>
          <w:rFonts w:ascii="Arial" w:hAnsi="Arial" w:cs="Arial"/>
          <w:sz w:val="24"/>
          <w:szCs w:val="24"/>
          <w:lang w:eastAsia="es-ES"/>
        </w:rPr>
        <w:t>∆Gº= -</w:t>
      </w:r>
      <w:r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FC6540">
        <w:rPr>
          <w:rFonts w:ascii="Arial" w:hAnsi="Arial" w:cs="Arial"/>
          <w:sz w:val="24"/>
          <w:szCs w:val="24"/>
          <w:lang w:eastAsia="es-ES"/>
        </w:rPr>
        <w:t>R</w:t>
      </w:r>
      <w:r>
        <w:rPr>
          <w:rFonts w:ascii="Arial" w:hAnsi="Arial" w:cs="Arial"/>
          <w:sz w:val="24"/>
          <w:szCs w:val="24"/>
          <w:lang w:eastAsia="es-ES"/>
        </w:rPr>
        <w:t xml:space="preserve"> *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T</w:t>
      </w:r>
      <w:r>
        <w:rPr>
          <w:rFonts w:ascii="Arial" w:hAnsi="Arial" w:cs="Arial"/>
          <w:sz w:val="24"/>
          <w:szCs w:val="24"/>
          <w:lang w:eastAsia="es-ES"/>
        </w:rPr>
        <w:t xml:space="preserve"> *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ln</w:t>
      </w:r>
      <w:r>
        <w:rPr>
          <w:rFonts w:ascii="Arial" w:hAnsi="Arial" w:cs="Arial"/>
          <w:sz w:val="24"/>
          <w:szCs w:val="24"/>
          <w:lang w:eastAsia="es-ES"/>
        </w:rPr>
        <w:t xml:space="preserve"> (</w:t>
      </w:r>
      <w:r w:rsidRPr="00FC6540">
        <w:rPr>
          <w:rFonts w:ascii="Arial" w:hAnsi="Arial" w:cs="Arial"/>
          <w:sz w:val="24"/>
          <w:szCs w:val="24"/>
          <w:lang w:eastAsia="es-ES"/>
        </w:rPr>
        <w:t>K</w:t>
      </w:r>
      <w:r>
        <w:rPr>
          <w:rFonts w:ascii="Arial" w:hAnsi="Arial" w:cs="Arial"/>
          <w:sz w:val="24"/>
          <w:szCs w:val="24"/>
          <w:lang w:eastAsia="es-ES"/>
        </w:rPr>
        <w:t>)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</w:t>
      </w:r>
    </w:p>
    <w:p w:rsidR="00551E77" w:rsidRDefault="00551E77" w:rsidP="003568A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ES"/>
        </w:rPr>
      </w:pPr>
    </w:p>
    <w:p w:rsidR="00551E77" w:rsidRDefault="00551E77" w:rsidP="00FC6540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 w:rsidRPr="00FC6540">
        <w:rPr>
          <w:rFonts w:ascii="Arial" w:hAnsi="Arial" w:cs="Arial"/>
          <w:sz w:val="24"/>
          <w:szCs w:val="24"/>
          <w:lang w:eastAsia="es-ES"/>
        </w:rPr>
        <w:t>Donde R es la constante</w:t>
      </w:r>
      <w:r>
        <w:rPr>
          <w:rFonts w:ascii="Arial" w:hAnsi="Arial" w:cs="Arial"/>
          <w:sz w:val="24"/>
          <w:szCs w:val="24"/>
          <w:lang w:eastAsia="es-ES"/>
        </w:rPr>
        <w:t xml:space="preserve"> universal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de los gases, T es la temperatura </w:t>
      </w:r>
      <w:r>
        <w:rPr>
          <w:rFonts w:ascii="Arial" w:hAnsi="Arial" w:cs="Arial"/>
          <w:sz w:val="24"/>
          <w:szCs w:val="24"/>
          <w:lang w:eastAsia="es-ES"/>
        </w:rPr>
        <w:t>estándar (298 °K)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y K es la constante de equilibrio</w:t>
      </w:r>
      <w:r>
        <w:rPr>
          <w:rFonts w:ascii="Arial" w:hAnsi="Arial" w:cs="Arial"/>
          <w:sz w:val="24"/>
          <w:szCs w:val="24"/>
          <w:lang w:eastAsia="es-ES"/>
        </w:rPr>
        <w:t xml:space="preserve"> del producto de la reacción, 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que puede </w:t>
      </w:r>
      <w:r>
        <w:rPr>
          <w:rFonts w:ascii="Arial" w:hAnsi="Arial" w:cs="Arial"/>
          <w:sz w:val="24"/>
          <w:szCs w:val="24"/>
          <w:lang w:eastAsia="es-ES"/>
        </w:rPr>
        <w:t>determinarse de la siguiente manera:</w:t>
      </w:r>
    </w:p>
    <w:p w:rsidR="00551E77" w:rsidRPr="003568A6" w:rsidRDefault="00551E77" w:rsidP="003568A6">
      <w:pPr>
        <w:suppressAutoHyphens/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 w:rsidRPr="00FC6540">
        <w:rPr>
          <w:rFonts w:ascii="Arial" w:hAnsi="Arial" w:cs="Arial"/>
          <w:sz w:val="24"/>
          <w:szCs w:val="24"/>
          <w:lang w:eastAsia="es-ES"/>
        </w:rPr>
        <w:t xml:space="preserve"> </w:t>
      </w:r>
    </w:p>
    <w:p w:rsidR="00551E77" w:rsidRDefault="00551E77" w:rsidP="003568A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lang w:val="es-ES" w:eastAsia="es-ES"/>
        </w:rPr>
        <w:tab/>
      </w:r>
      <w:r>
        <w:rPr>
          <w:rFonts w:ascii="Arial" w:hAnsi="Arial" w:cs="Arial"/>
          <w:sz w:val="24"/>
          <w:szCs w:val="24"/>
          <w:lang w:val="es-ES" w:eastAsia="es-ES"/>
        </w:rPr>
        <w:tab/>
      </w:r>
      <w:r>
        <w:rPr>
          <w:rFonts w:ascii="Arial" w:hAnsi="Arial" w:cs="Arial"/>
          <w:sz w:val="24"/>
          <w:szCs w:val="24"/>
          <w:lang w:val="es-ES" w:eastAsia="es-ES"/>
        </w:rPr>
        <w:tab/>
      </w:r>
      <w:r>
        <w:rPr>
          <w:rFonts w:ascii="Arial" w:hAnsi="Arial" w:cs="Arial"/>
          <w:sz w:val="24"/>
          <w:szCs w:val="24"/>
          <w:lang w:val="es-ES" w:eastAsia="es-ES"/>
        </w:rPr>
        <w:tab/>
      </w:r>
      <w:r>
        <w:rPr>
          <w:rFonts w:ascii="Arial" w:hAnsi="Arial" w:cs="Arial"/>
          <w:sz w:val="24"/>
          <w:szCs w:val="24"/>
          <w:lang w:val="es-ES" w:eastAsia="es-ES"/>
        </w:rPr>
        <w:tab/>
        <w:t>K = [A</w:t>
      </w:r>
      <w:r>
        <w:rPr>
          <w:rFonts w:ascii="Arial" w:hAnsi="Arial" w:cs="Arial"/>
          <w:sz w:val="24"/>
          <w:szCs w:val="24"/>
          <w:vertAlign w:val="subscript"/>
          <w:lang w:val="es-ES" w:eastAsia="es-ES"/>
        </w:rPr>
        <w:t xml:space="preserve">a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vertAlign w:val="subscript"/>
        </w:rPr>
        <w:t>b</w:t>
      </w:r>
      <w:r>
        <w:rPr>
          <w:rFonts w:ascii="Arial" w:hAnsi="Arial" w:cs="Arial"/>
          <w:sz w:val="24"/>
          <w:szCs w:val="24"/>
        </w:rPr>
        <w:t>] / [A]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[B]</w:t>
      </w:r>
      <w:r>
        <w:rPr>
          <w:rFonts w:ascii="Arial" w:hAnsi="Arial" w:cs="Arial"/>
          <w:sz w:val="24"/>
          <w:szCs w:val="24"/>
          <w:vertAlign w:val="superscript"/>
        </w:rPr>
        <w:t>b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Pr="00FC6540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Pr="00A82CFE" w:rsidRDefault="00551E77" w:rsidP="00A82CFE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82CFE">
        <w:rPr>
          <w:rFonts w:ascii="Arial" w:hAnsi="Arial" w:cs="Arial"/>
          <w:b/>
          <w:sz w:val="24"/>
          <w:szCs w:val="24"/>
        </w:rPr>
        <w:t>Procedimiento experimental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pasos desarrollados fueron los de la guía de trabajos prácticos, con pequeñas modificaciones:</w:t>
      </w:r>
    </w:p>
    <w:p w:rsidR="00551E77" w:rsidRDefault="00551E77" w:rsidP="00A82CFE">
      <w:pPr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 </w:t>
      </w:r>
      <w:r w:rsidRPr="00A82CFE">
        <w:rPr>
          <w:rFonts w:ascii="Arial" w:hAnsi="Arial" w:cs="Arial"/>
          <w:sz w:val="24"/>
          <w:szCs w:val="24"/>
        </w:rPr>
        <w:t xml:space="preserve">A): </w:t>
      </w:r>
      <w:r>
        <w:rPr>
          <w:rFonts w:ascii="Arial" w:hAnsi="Arial" w:cs="Arial"/>
          <w:sz w:val="24"/>
          <w:szCs w:val="24"/>
        </w:rPr>
        <w:t>las mezclas de los 8 tubos de ensayo fueron de volumen final 5 ml. Las proporciones se respetaron.</w:t>
      </w:r>
    </w:p>
    <w:p w:rsidR="00551E77" w:rsidRDefault="00551E77" w:rsidP="00A82CFE">
      <w:pPr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B): se cambiaron las proporciones en 2 de las 5 soluciones binarias. En vez de 6:4 y 4:6 se utilizaron mezclas de 9:1 y 1:9.</w:t>
      </w:r>
    </w:p>
    <w:p w:rsidR="00551E77" w:rsidRDefault="00551E77" w:rsidP="00E53F8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E53F87">
      <w:pPr>
        <w:autoSpaceDE w:val="0"/>
        <w:autoSpaceDN w:val="0"/>
        <w:adjustRightIn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emplearon </w:t>
      </w:r>
      <w:smartTag w:uri="urn:schemas-microsoft-com:office:smarttags" w:element="metricconverter">
        <w:smartTagPr>
          <w:attr w:name="ProductID" w:val="0,1209 g"/>
        </w:smartTagPr>
        <w:r>
          <w:rPr>
            <w:rFonts w:ascii="Arial" w:hAnsi="Arial" w:cs="Arial"/>
            <w:sz w:val="24"/>
            <w:szCs w:val="24"/>
          </w:rPr>
          <w:t>0,1209 g</w:t>
        </w:r>
      </w:smartTag>
      <w:r>
        <w:rPr>
          <w:rFonts w:ascii="Arial" w:hAnsi="Arial" w:cs="Arial"/>
          <w:sz w:val="24"/>
          <w:szCs w:val="24"/>
        </w:rPr>
        <w:t xml:space="preserve"> de sulfato férrico de amonio dodecahidratado para obtener la solución de iones férricos.</w:t>
      </w:r>
    </w:p>
    <w:p w:rsidR="00551E77" w:rsidRDefault="00551E77" w:rsidP="00E53F8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E53F8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551E77" w:rsidRPr="00E53F87" w:rsidRDefault="00551E77" w:rsidP="00E53F8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tubo que presentó el color más intenso fue el n°4, cuya proporción era de 1:1. Correspondió también al mayor valor de absorbancia. La fórmula empírica del complejo entonces es [Fe (C</w:t>
      </w:r>
      <w:r w:rsidRPr="0004387D">
        <w:rPr>
          <w:rFonts w:ascii="Arial" w:hAnsi="Arial" w:cs="Arial"/>
          <w:sz w:val="24"/>
          <w:szCs w:val="24"/>
          <w:vertAlign w:val="subscript"/>
        </w:rPr>
        <w:t>7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>O</w:t>
      </w:r>
      <w:r w:rsidRPr="0004387D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)]</w:t>
      </w:r>
      <w:r>
        <w:rPr>
          <w:rFonts w:ascii="Arial" w:hAnsi="Arial" w:cs="Arial"/>
          <w:sz w:val="24"/>
          <w:szCs w:val="24"/>
          <w:vertAlign w:val="superscript"/>
        </w:rPr>
        <w:t>2+</w:t>
      </w:r>
      <w:r>
        <w:rPr>
          <w:rFonts w:ascii="Arial" w:hAnsi="Arial" w:cs="Arial"/>
          <w:sz w:val="24"/>
          <w:szCs w:val="24"/>
        </w:rPr>
        <w:t xml:space="preserve">. El valor de la constante K es de 65124,5802, y la energía libre de formación estándar del complejo calculada es     - 27,6416 KJ / mol. 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1E77" w:rsidRPr="00D947C5" w:rsidRDefault="00551E77" w:rsidP="00D947C5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A032D">
        <w:rPr>
          <w:rFonts w:ascii="Arial" w:hAnsi="Arial" w:cs="Arial"/>
          <w:b/>
          <w:sz w:val="24"/>
          <w:szCs w:val="24"/>
        </w:rPr>
        <w:t>Anexo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B513F1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513F1">
        <w:rPr>
          <w:rFonts w:ascii="Arial" w:hAnsi="Arial" w:cs="Arial"/>
          <w:sz w:val="24"/>
          <w:szCs w:val="24"/>
          <w:u w:val="single"/>
        </w:rPr>
        <w:t>Gráfico</w:t>
      </w:r>
      <w:r>
        <w:rPr>
          <w:rFonts w:ascii="Arial" w:hAnsi="Arial" w:cs="Arial"/>
          <w:sz w:val="24"/>
          <w:szCs w:val="24"/>
          <w:u w:val="single"/>
        </w:rPr>
        <w:t xml:space="preserve"> 1: barrido espectral del tubo 4</w:t>
      </w:r>
    </w:p>
    <w:p w:rsidR="00551E77" w:rsidRPr="00B513F1" w:rsidRDefault="00551E77" w:rsidP="00D947C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513F1">
        <w:pict>
          <v:shape id="_x0000_i1026" type="#_x0000_t75" style="width:370.5pt;height:227.25pt">
            <v:imagedata r:id="rId6" o:title=""/>
          </v:shape>
        </w:pict>
      </w:r>
    </w:p>
    <w:p w:rsidR="00551E77" w:rsidRDefault="00551E77" w:rsidP="00FF042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F042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F042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F042D">
        <w:rPr>
          <w:rFonts w:ascii="Arial" w:hAnsi="Arial" w:cs="Arial"/>
          <w:sz w:val="24"/>
          <w:szCs w:val="24"/>
          <w:u w:val="single"/>
        </w:rPr>
        <w:t>Tabla 1</w:t>
      </w:r>
      <w:r>
        <w:rPr>
          <w:rFonts w:ascii="Arial" w:hAnsi="Arial" w:cs="Arial"/>
          <w:sz w:val="24"/>
          <w:szCs w:val="24"/>
          <w:u w:val="single"/>
        </w:rPr>
        <w:t>: determinación de la estequiometría de la reacción</w:t>
      </w:r>
    </w:p>
    <w:tbl>
      <w:tblPr>
        <w:tblW w:w="7027" w:type="dxa"/>
        <w:jc w:val="center"/>
        <w:tblInd w:w="70" w:type="dxa"/>
        <w:tblCellMar>
          <w:left w:w="70" w:type="dxa"/>
          <w:right w:w="70" w:type="dxa"/>
        </w:tblCellMar>
        <w:tblLook w:val="0000"/>
      </w:tblPr>
      <w:tblGrid>
        <w:gridCol w:w="1228"/>
        <w:gridCol w:w="1220"/>
        <w:gridCol w:w="4579"/>
      </w:tblGrid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V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s-ES" w:eastAsia="es-ES"/>
              </w:rPr>
              <w:t>(Fe)</w:t>
            </w: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(ml)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V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s-ES" w:eastAsia="es-ES"/>
              </w:rPr>
              <w:t>(Ac.)</w:t>
            </w: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(ml)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Absorbancia</w:t>
            </w: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menos blanco</w:t>
            </w: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(526.2 nm)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0,35455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1,5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3,5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0,54805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0,63815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2,5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2,5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0,64545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0,57385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3,5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1,5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0,46015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0,31225</w:t>
            </w:r>
          </w:p>
        </w:tc>
      </w:tr>
      <w:tr w:rsidR="00551E77" w:rsidRPr="00FF042D" w:rsidTr="00D138D4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FF042D" w:rsidRDefault="00551E77" w:rsidP="00FF042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FF042D">
              <w:rPr>
                <w:rFonts w:ascii="Arial" w:hAnsi="Arial" w:cs="Arial"/>
                <w:sz w:val="24"/>
                <w:szCs w:val="24"/>
                <w:lang w:val="es-ES" w:eastAsia="es-ES"/>
              </w:rPr>
              <w:t>0,08085</w:t>
            </w:r>
          </w:p>
        </w:tc>
      </w:tr>
    </w:tbl>
    <w:p w:rsidR="00551E77" w:rsidRPr="00FF042D" w:rsidRDefault="00551E77" w:rsidP="00FF042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F042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Gráfico 2: determinación de la estequiometría de la reacción</w:t>
      </w:r>
    </w:p>
    <w:p w:rsidR="00551E77" w:rsidRPr="007612EE" w:rsidRDefault="00551E77" w:rsidP="00D947C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7612EE">
        <w:pict>
          <v:shape id="_x0000_i1027" type="#_x0000_t75" style="width:410.25pt;height:255.75pt">
            <v:imagedata r:id="rId7" o:title=""/>
          </v:shape>
        </w:pic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B513F1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2191E">
        <w:rPr>
          <w:rFonts w:ascii="Arial" w:hAnsi="Arial" w:cs="Arial"/>
          <w:sz w:val="24"/>
          <w:szCs w:val="24"/>
          <w:u w:val="single"/>
        </w:rPr>
        <w:t>Tabla 2: determinación de ε</w:t>
      </w:r>
    </w:p>
    <w:tbl>
      <w:tblPr>
        <w:tblW w:w="5220" w:type="dxa"/>
        <w:jc w:val="center"/>
        <w:tblInd w:w="70" w:type="dxa"/>
        <w:tblCellMar>
          <w:left w:w="70" w:type="dxa"/>
          <w:right w:w="70" w:type="dxa"/>
        </w:tblCellMar>
        <w:tblLook w:val="0000"/>
      </w:tblPr>
      <w:tblGrid>
        <w:gridCol w:w="1440"/>
        <w:gridCol w:w="1008"/>
        <w:gridCol w:w="2772"/>
      </w:tblGrid>
      <w:tr w:rsidR="00551E77" w:rsidRPr="00B2191E" w:rsidTr="00D947C5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V</w:t>
            </w:r>
            <w:r w:rsidRPr="00B2191E">
              <w:rPr>
                <w:rFonts w:ascii="Arial" w:hAnsi="Arial" w:cs="Arial"/>
                <w:sz w:val="24"/>
                <w:szCs w:val="24"/>
                <w:vertAlign w:val="subscript"/>
                <w:lang w:val="es-ES" w:eastAsia="es-ES"/>
              </w:rPr>
              <w:t xml:space="preserve"> (Ac.)</w:t>
            </w: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 xml:space="preserve"> </w:t>
            </w: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(ml)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Fe (M)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ES" w:eastAsia="es-ES"/>
              </w:rPr>
              <w:t>Absorbancia (526,</w:t>
            </w: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2 nm)</w:t>
            </w:r>
          </w:p>
        </w:tc>
      </w:tr>
      <w:tr w:rsidR="00551E77" w:rsidRPr="00B2191E" w:rsidTr="00D947C5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0,0009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1,40305</w:t>
            </w:r>
          </w:p>
        </w:tc>
      </w:tr>
      <w:tr w:rsidR="00551E77" w:rsidRPr="00B2191E" w:rsidTr="00D947C5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0,0007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1,10285</w:t>
            </w:r>
          </w:p>
        </w:tc>
      </w:tr>
      <w:tr w:rsidR="00551E77" w:rsidRPr="00B2191E" w:rsidTr="00D947C5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0,0005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0,81475</w:t>
            </w:r>
          </w:p>
        </w:tc>
      </w:tr>
      <w:tr w:rsidR="00551E77" w:rsidRPr="00B2191E" w:rsidTr="00D947C5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0,0003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0,48165</w:t>
            </w:r>
          </w:p>
        </w:tc>
      </w:tr>
      <w:tr w:rsidR="00551E77" w:rsidRPr="00B2191E" w:rsidTr="00D947C5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0,0001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B2191E" w:rsidRDefault="00551E77" w:rsidP="00B2191E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B2191E">
              <w:rPr>
                <w:rFonts w:ascii="Arial" w:hAnsi="Arial" w:cs="Arial"/>
                <w:sz w:val="24"/>
                <w:szCs w:val="24"/>
                <w:lang w:val="es-ES" w:eastAsia="es-ES"/>
              </w:rPr>
              <w:t>0,17585</w:t>
            </w:r>
          </w:p>
        </w:tc>
      </w:tr>
    </w:tbl>
    <w:p w:rsidR="00551E77" w:rsidRPr="00B2191E" w:rsidRDefault="00551E77" w:rsidP="00D947C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1E77" w:rsidRDefault="00551E77" w:rsidP="00B2191E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2191E">
        <w:rPr>
          <w:rFonts w:ascii="Arial" w:hAnsi="Arial" w:cs="Arial"/>
          <w:sz w:val="24"/>
          <w:szCs w:val="24"/>
          <w:u w:val="single"/>
        </w:rPr>
        <w:t>Gráfico 3: determinación de ε</w:t>
      </w:r>
    </w:p>
    <w:p w:rsidR="00551E77" w:rsidRPr="00B2191E" w:rsidRDefault="00551E77" w:rsidP="00D947C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B2191E">
        <w:pict>
          <v:shape id="_x0000_i1028" type="#_x0000_t75" style="width:370.5pt;height:227.25pt">
            <v:imagedata r:id="rId8" o:title=""/>
          </v:shape>
        </w:pic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BA1C73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A1C73">
        <w:rPr>
          <w:rFonts w:ascii="Arial" w:hAnsi="Arial" w:cs="Arial"/>
          <w:sz w:val="24"/>
          <w:szCs w:val="24"/>
          <w:u w:val="single"/>
        </w:rPr>
        <w:t>Cálculo de K</w:t>
      </w:r>
    </w:p>
    <w:p w:rsidR="00551E77" w:rsidRPr="00BA1C73" w:rsidRDefault="00551E77" w:rsidP="00BA1C73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K se tuvieron en cuenta a los tubos 4 y 5. El resto presentaba valores de concentraciones de solutos no reaccionantes erróneos, o discrepaba demasiado.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s-ES" w:eastAsia="es-ES"/>
        </w:rPr>
        <w:t>K</w:t>
      </w:r>
      <w:r>
        <w:rPr>
          <w:rFonts w:ascii="Arial" w:hAnsi="Arial" w:cs="Arial"/>
          <w:sz w:val="24"/>
          <w:szCs w:val="24"/>
          <w:vertAlign w:val="subscript"/>
          <w:lang w:val="es-ES" w:eastAsia="es-ES"/>
        </w:rPr>
        <w:t>4,5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= [complejo</w:t>
      </w:r>
      <w:r>
        <w:rPr>
          <w:rFonts w:ascii="Arial" w:hAnsi="Arial" w:cs="Arial"/>
          <w:sz w:val="24"/>
          <w:szCs w:val="24"/>
        </w:rPr>
        <w:t>] / [Fe]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 [Ac.]</w:t>
      </w:r>
      <w:r>
        <w:rPr>
          <w:rFonts w:ascii="Arial" w:hAnsi="Arial" w:cs="Arial"/>
          <w:sz w:val="24"/>
          <w:szCs w:val="24"/>
          <w:vertAlign w:val="superscript"/>
        </w:rPr>
        <w:t>1</w:t>
      </w:r>
    </w:p>
    <w:p w:rsidR="00551E77" w:rsidRPr="00BA1C73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Pr="00BA1C73" w:rsidRDefault="00551E77" w:rsidP="00BA1C73">
      <w:pPr>
        <w:autoSpaceDE w:val="0"/>
        <w:autoSpaceDN w:val="0"/>
        <w:adjustRightInd w:val="0"/>
        <w:spacing w:after="12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[Fe] = [Fe]</w:t>
      </w:r>
      <w:r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es-ES" w:eastAsia="es-ES"/>
        </w:rPr>
        <w:t>[complejo</w:t>
      </w:r>
      <w:r>
        <w:rPr>
          <w:rFonts w:ascii="Arial" w:hAnsi="Arial" w:cs="Arial"/>
          <w:sz w:val="24"/>
          <w:szCs w:val="24"/>
        </w:rPr>
        <w:t>]</w:t>
      </w:r>
    </w:p>
    <w:p w:rsidR="00551E77" w:rsidRPr="00BA1C73" w:rsidRDefault="00551E77" w:rsidP="00BA1C73">
      <w:pPr>
        <w:autoSpaceDE w:val="0"/>
        <w:autoSpaceDN w:val="0"/>
        <w:adjustRightInd w:val="0"/>
        <w:spacing w:after="12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[Ac.] = [Ac.]</w:t>
      </w:r>
      <w:r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es-ES" w:eastAsia="es-ES"/>
        </w:rPr>
        <w:t>[complejo</w:t>
      </w:r>
      <w:r>
        <w:rPr>
          <w:rFonts w:ascii="Arial" w:hAnsi="Arial" w:cs="Arial"/>
          <w:sz w:val="24"/>
          <w:szCs w:val="24"/>
        </w:rPr>
        <w:t>]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Pr="00D947C5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b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947C5">
        <w:rPr>
          <w:rFonts w:ascii="Arial" w:hAnsi="Arial" w:cs="Arial"/>
          <w:b/>
          <w:sz w:val="24"/>
          <w:szCs w:val="24"/>
        </w:rPr>
        <w:t>K = ½ * (K</w:t>
      </w:r>
      <w:r w:rsidRPr="00D947C5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D947C5">
        <w:rPr>
          <w:rFonts w:ascii="Arial" w:hAnsi="Arial" w:cs="Arial"/>
          <w:b/>
          <w:sz w:val="24"/>
          <w:szCs w:val="24"/>
        </w:rPr>
        <w:t xml:space="preserve"> + K</w:t>
      </w:r>
      <w:r w:rsidRPr="00D947C5">
        <w:rPr>
          <w:rFonts w:ascii="Arial" w:hAnsi="Arial" w:cs="Arial"/>
          <w:b/>
          <w:sz w:val="24"/>
          <w:szCs w:val="24"/>
          <w:vertAlign w:val="subscript"/>
        </w:rPr>
        <w:t>5</w:t>
      </w:r>
      <w:r w:rsidRPr="00D947C5">
        <w:rPr>
          <w:rFonts w:ascii="Arial" w:hAnsi="Arial" w:cs="Arial"/>
          <w:b/>
          <w:sz w:val="24"/>
          <w:szCs w:val="24"/>
        </w:rPr>
        <w:t>) = 6,3207*10</w:t>
      </w:r>
      <w:r w:rsidRPr="00D947C5">
        <w:rPr>
          <w:rFonts w:ascii="Arial" w:hAnsi="Arial" w:cs="Arial"/>
          <w:b/>
          <w:sz w:val="24"/>
          <w:szCs w:val="24"/>
          <w:vertAlign w:val="superscript"/>
        </w:rPr>
        <w:t>4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  <w:r w:rsidRPr="00D947C5">
        <w:rPr>
          <w:rFonts w:ascii="Arial" w:hAnsi="Arial" w:cs="Arial"/>
          <w:sz w:val="24"/>
          <w:szCs w:val="24"/>
          <w:u w:val="single"/>
        </w:rPr>
        <w:t xml:space="preserve">Tabla 3: Valores de K </w:t>
      </w:r>
    </w:p>
    <w:tbl>
      <w:tblPr>
        <w:tblW w:w="2456" w:type="dxa"/>
        <w:jc w:val="center"/>
        <w:tblInd w:w="70" w:type="dxa"/>
        <w:tblCellMar>
          <w:left w:w="70" w:type="dxa"/>
          <w:right w:w="70" w:type="dxa"/>
        </w:tblCellMar>
        <w:tblLook w:val="0000"/>
      </w:tblPr>
      <w:tblGrid>
        <w:gridCol w:w="1228"/>
        <w:gridCol w:w="1228"/>
      </w:tblGrid>
      <w:tr w:rsidR="00551E77" w:rsidRPr="00D947C5" w:rsidTr="00D947C5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Tubo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K</w:t>
            </w:r>
          </w:p>
        </w:tc>
      </w:tr>
      <w:tr w:rsidR="00551E77" w:rsidRPr="00D947C5" w:rsidTr="00D947C5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65124,58</w:t>
            </w:r>
          </w:p>
        </w:tc>
      </w:tr>
      <w:tr w:rsidR="00551E77" w:rsidRPr="00D947C5" w:rsidTr="00D947C5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61290,32</w:t>
            </w:r>
          </w:p>
        </w:tc>
      </w:tr>
      <w:tr w:rsidR="00551E77" w:rsidRPr="00D947C5" w:rsidTr="00D947C5">
        <w:trPr>
          <w:trHeight w:val="30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51E77" w:rsidRPr="00D947C5" w:rsidRDefault="00551E77" w:rsidP="00D947C5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D947C5">
              <w:rPr>
                <w:rFonts w:ascii="Arial" w:hAnsi="Arial" w:cs="Arial"/>
                <w:sz w:val="24"/>
                <w:szCs w:val="24"/>
                <w:lang w:val="es-ES" w:eastAsia="es-ES"/>
              </w:rPr>
              <w:t>969668,5</w:t>
            </w:r>
          </w:p>
        </w:tc>
      </w:tr>
    </w:tbl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Cálculo de </w:t>
      </w:r>
      <w:r w:rsidRPr="00C75B32">
        <w:rPr>
          <w:rFonts w:ascii="Arial" w:hAnsi="Arial" w:cs="Arial"/>
          <w:sz w:val="24"/>
          <w:szCs w:val="24"/>
          <w:u w:val="single"/>
          <w:lang w:eastAsia="es-ES"/>
        </w:rPr>
        <w:t>∆Gº</w:t>
      </w: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</w:p>
    <w:p w:rsidR="00551E77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6540">
        <w:rPr>
          <w:rFonts w:ascii="Arial" w:hAnsi="Arial" w:cs="Arial"/>
          <w:sz w:val="24"/>
          <w:szCs w:val="24"/>
          <w:lang w:eastAsia="es-ES"/>
        </w:rPr>
        <w:t>∆Gº</w:t>
      </w:r>
      <w:r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FC6540">
        <w:rPr>
          <w:rFonts w:ascii="Arial" w:hAnsi="Arial" w:cs="Arial"/>
          <w:sz w:val="24"/>
          <w:szCs w:val="24"/>
          <w:lang w:eastAsia="es-ES"/>
        </w:rPr>
        <w:t>= -</w:t>
      </w:r>
      <w:r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FC6540">
        <w:rPr>
          <w:rFonts w:ascii="Arial" w:hAnsi="Arial" w:cs="Arial"/>
          <w:sz w:val="24"/>
          <w:szCs w:val="24"/>
          <w:lang w:eastAsia="es-ES"/>
        </w:rPr>
        <w:t>R</w:t>
      </w:r>
      <w:r>
        <w:rPr>
          <w:rFonts w:ascii="Arial" w:hAnsi="Arial" w:cs="Arial"/>
          <w:sz w:val="24"/>
          <w:szCs w:val="24"/>
          <w:lang w:eastAsia="es-ES"/>
        </w:rPr>
        <w:t xml:space="preserve"> *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T</w:t>
      </w:r>
      <w:r>
        <w:rPr>
          <w:rFonts w:ascii="Arial" w:hAnsi="Arial" w:cs="Arial"/>
          <w:sz w:val="24"/>
          <w:szCs w:val="24"/>
          <w:lang w:eastAsia="es-ES"/>
        </w:rPr>
        <w:t xml:space="preserve"> *</w:t>
      </w:r>
      <w:r w:rsidRPr="00FC6540">
        <w:rPr>
          <w:rFonts w:ascii="Arial" w:hAnsi="Arial" w:cs="Arial"/>
          <w:sz w:val="24"/>
          <w:szCs w:val="24"/>
          <w:lang w:eastAsia="es-ES"/>
        </w:rPr>
        <w:t xml:space="preserve"> ln</w:t>
      </w:r>
      <w:r>
        <w:rPr>
          <w:rFonts w:ascii="Arial" w:hAnsi="Arial" w:cs="Arial"/>
          <w:sz w:val="24"/>
          <w:szCs w:val="24"/>
          <w:lang w:eastAsia="es-ES"/>
        </w:rPr>
        <w:t xml:space="preserve"> (</w:t>
      </w:r>
      <w:r w:rsidRPr="00FC6540">
        <w:rPr>
          <w:rFonts w:ascii="Arial" w:hAnsi="Arial" w:cs="Arial"/>
          <w:sz w:val="24"/>
          <w:szCs w:val="24"/>
          <w:lang w:eastAsia="es-ES"/>
        </w:rPr>
        <w:t>K</w:t>
      </w:r>
      <w:r>
        <w:rPr>
          <w:rFonts w:ascii="Arial" w:hAnsi="Arial" w:cs="Arial"/>
          <w:sz w:val="24"/>
          <w:szCs w:val="24"/>
          <w:lang w:eastAsia="es-ES"/>
        </w:rPr>
        <w:t>)</w:t>
      </w:r>
    </w:p>
    <w:p w:rsidR="00551E77" w:rsidRPr="00C75B32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>
        <w:rPr>
          <w:rFonts w:ascii="Arial" w:hAnsi="Arial" w:cs="Arial"/>
          <w:sz w:val="24"/>
          <w:szCs w:val="24"/>
          <w:lang w:eastAsia="es-ES"/>
        </w:rPr>
        <w:tab/>
      </w:r>
      <w:r w:rsidRPr="00C75B32">
        <w:rPr>
          <w:rFonts w:ascii="Arial" w:hAnsi="Arial" w:cs="Arial"/>
          <w:sz w:val="24"/>
          <w:szCs w:val="24"/>
          <w:lang w:eastAsia="es-ES"/>
        </w:rPr>
        <w:t>∆Gº = - 8.314 J/mol*°K * 299 °K * ln(</w:t>
      </w:r>
      <w:r w:rsidRPr="00C75B32">
        <w:rPr>
          <w:rFonts w:ascii="Arial" w:hAnsi="Arial" w:cs="Arial"/>
          <w:sz w:val="24"/>
          <w:szCs w:val="24"/>
        </w:rPr>
        <w:t>6,3207*10</w:t>
      </w:r>
      <w:r w:rsidRPr="00C75B32">
        <w:rPr>
          <w:rFonts w:ascii="Arial" w:hAnsi="Arial" w:cs="Arial"/>
          <w:sz w:val="24"/>
          <w:szCs w:val="24"/>
          <w:vertAlign w:val="superscript"/>
        </w:rPr>
        <w:t>4</w:t>
      </w:r>
      <w:r w:rsidRPr="00C75B32">
        <w:rPr>
          <w:rFonts w:ascii="Arial" w:hAnsi="Arial" w:cs="Arial"/>
          <w:sz w:val="24"/>
          <w:szCs w:val="24"/>
        </w:rPr>
        <w:t>)</w:t>
      </w:r>
    </w:p>
    <w:p w:rsidR="00551E77" w:rsidRPr="00C75B32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b/>
          <w:sz w:val="24"/>
          <w:szCs w:val="24"/>
        </w:rPr>
      </w:pPr>
      <w:r w:rsidRPr="00C75B32">
        <w:rPr>
          <w:rFonts w:ascii="Arial" w:hAnsi="Arial" w:cs="Arial"/>
          <w:sz w:val="24"/>
          <w:szCs w:val="24"/>
        </w:rPr>
        <w:tab/>
      </w:r>
      <w:r w:rsidRPr="00C75B32">
        <w:rPr>
          <w:rFonts w:ascii="Arial" w:hAnsi="Arial" w:cs="Arial"/>
          <w:sz w:val="24"/>
          <w:szCs w:val="24"/>
        </w:rPr>
        <w:tab/>
      </w:r>
      <w:r w:rsidRPr="00C75B32">
        <w:rPr>
          <w:rFonts w:ascii="Arial" w:hAnsi="Arial" w:cs="Arial"/>
          <w:sz w:val="24"/>
          <w:szCs w:val="24"/>
        </w:rPr>
        <w:tab/>
      </w:r>
      <w:r w:rsidRPr="00C75B32">
        <w:rPr>
          <w:rFonts w:ascii="Arial" w:hAnsi="Arial" w:cs="Arial"/>
          <w:b/>
          <w:sz w:val="24"/>
          <w:szCs w:val="24"/>
          <w:lang w:eastAsia="es-ES"/>
        </w:rPr>
        <w:t>∆Gº =</w:t>
      </w:r>
      <w:r w:rsidRPr="00C75B32">
        <w:rPr>
          <w:rFonts w:ascii="Arial" w:hAnsi="Arial" w:cs="Arial"/>
          <w:b/>
          <w:sz w:val="24"/>
          <w:szCs w:val="24"/>
        </w:rPr>
        <w:tab/>
        <w:t>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75B32">
        <w:rPr>
          <w:rFonts w:ascii="Arial" w:hAnsi="Arial" w:cs="Arial"/>
          <w:b/>
          <w:sz w:val="24"/>
          <w:szCs w:val="24"/>
        </w:rPr>
        <w:t>27,4794 KJ / mol</w:t>
      </w:r>
    </w:p>
    <w:p w:rsidR="00551E77" w:rsidRPr="00C75B32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</w:p>
    <w:p w:rsidR="00551E77" w:rsidRDefault="00551E77" w:rsidP="00C75B32">
      <w:pPr>
        <w:autoSpaceDE w:val="0"/>
        <w:autoSpaceDN w:val="0"/>
        <w:adjustRightInd w:val="0"/>
        <w:spacing w:after="120" w:line="240" w:lineRule="auto"/>
        <w:ind w:firstLine="36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Conclusiones</w:t>
      </w:r>
    </w:p>
    <w:p w:rsidR="00551E77" w:rsidRDefault="00551E77" w:rsidP="00C75B32">
      <w:pPr>
        <w:autoSpaceDE w:val="0"/>
        <w:autoSpaceDN w:val="0"/>
        <w:adjustRightIn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Se cumplieron los objetivos del trabajo práctico, pero algunos detalles evidencian errores experimentales. En 4 de los 7 tubos la concentración del complejo era mayor que la original del reactivo limitante, imposibilitando los cálculos de K y energía libre. Esto pudo deberse bien a suciedad no detectada en la cubeta donde se midieron las absorbancias, como a errores de medición en la preparación de las soluciones.</w:t>
      </w:r>
    </w:p>
    <w:p w:rsidR="00551E77" w:rsidRPr="00CB7413" w:rsidRDefault="00551E77" w:rsidP="00C75B32">
      <w:pPr>
        <w:autoSpaceDE w:val="0"/>
        <w:autoSpaceDN w:val="0"/>
        <w:adjustRightIn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realizar los cálculos se supuso que la única especie absorbente fuera el complejo, y que no se formaba ninguna otro compuesto que no fuera el complejo mismo.</w:t>
      </w:r>
    </w:p>
    <w:p w:rsidR="00551E77" w:rsidRPr="00D138D4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D138D4">
        <w:rPr>
          <w:rFonts w:ascii="Arial" w:hAnsi="Arial" w:cs="Arial"/>
          <w:sz w:val="24"/>
          <w:szCs w:val="24"/>
        </w:rPr>
        <w:t>Los valores</w:t>
      </w:r>
      <w:r>
        <w:rPr>
          <w:rFonts w:ascii="Arial" w:hAnsi="Arial" w:cs="Arial"/>
          <w:sz w:val="24"/>
          <w:szCs w:val="24"/>
        </w:rPr>
        <w:t xml:space="preserve"> de K y </w:t>
      </w:r>
      <w:r w:rsidRPr="00C75B32">
        <w:rPr>
          <w:rFonts w:ascii="Arial" w:hAnsi="Arial" w:cs="Arial"/>
          <w:sz w:val="24"/>
          <w:szCs w:val="24"/>
          <w:lang w:eastAsia="es-ES"/>
        </w:rPr>
        <w:t>∆Gº</w:t>
      </w:r>
      <w:r>
        <w:rPr>
          <w:rFonts w:ascii="Arial" w:hAnsi="Arial" w:cs="Arial"/>
          <w:sz w:val="24"/>
          <w:szCs w:val="24"/>
          <w:lang w:eastAsia="es-ES"/>
        </w:rPr>
        <w:t xml:space="preserve"> coincidieron las previsiones. Es una reacción espontánea, por lo que su energía libre estándar de reacción debía forzosamente ser negativa. Y la reacción tiende en gran medida hacia los productos, por lo que una K mucho mayor que 1 y que prácticamente haya coincidido en dos soluciones de diferente concentración es un resultado esperado.</w:t>
      </w:r>
    </w:p>
    <w:p w:rsidR="00551E77" w:rsidRPr="00D947C5" w:rsidRDefault="00551E77" w:rsidP="00FC6540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Arial" w:hAnsi="Arial" w:cs="Arial"/>
          <w:sz w:val="24"/>
          <w:szCs w:val="24"/>
          <w:u w:val="single"/>
        </w:rPr>
      </w:pPr>
    </w:p>
    <w:p w:rsidR="00551E77" w:rsidRPr="00F3405F" w:rsidRDefault="00551E77" w:rsidP="0045739B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51E77" w:rsidRPr="00903178" w:rsidRDefault="00551E77" w:rsidP="00725D7F">
      <w:pPr>
        <w:autoSpaceDE w:val="0"/>
        <w:autoSpaceDN w:val="0"/>
        <w:adjustRightInd w:val="0"/>
        <w:spacing w:after="120" w:line="240" w:lineRule="auto"/>
        <w:ind w:firstLine="3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178">
        <w:rPr>
          <w:rFonts w:ascii="Arial" w:hAnsi="Arial" w:cs="Arial"/>
          <w:b/>
          <w:sz w:val="24"/>
          <w:szCs w:val="24"/>
          <w:lang w:val="es-ES"/>
        </w:rPr>
        <w:t>Bibliografía</w:t>
      </w:r>
    </w:p>
    <w:p w:rsidR="00551E77" w:rsidRPr="00903178" w:rsidRDefault="00551E77" w:rsidP="00725D7F">
      <w:pPr>
        <w:autoSpaceDE w:val="0"/>
        <w:autoSpaceDN w:val="0"/>
        <w:adjustRightIn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  <w:lang w:val="es-ES"/>
        </w:rPr>
      </w:pPr>
    </w:p>
    <w:p w:rsidR="00551E77" w:rsidRDefault="00551E77" w:rsidP="00F3405F">
      <w:pPr>
        <w:autoSpaceDE w:val="0"/>
        <w:autoSpaceDN w:val="0"/>
        <w:adjustRightInd w:val="0"/>
        <w:spacing w:after="120" w:line="240" w:lineRule="auto"/>
        <w:ind w:left="9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 Guía de Trabajos Prácticos de Fisicoquímica</w:t>
      </w:r>
    </w:p>
    <w:p w:rsidR="00551E77" w:rsidRPr="00B320B6" w:rsidRDefault="00551E77" w:rsidP="00F3405F">
      <w:pPr>
        <w:autoSpaceDE w:val="0"/>
        <w:autoSpaceDN w:val="0"/>
        <w:adjustRightInd w:val="0"/>
        <w:spacing w:after="120" w:line="240" w:lineRule="auto"/>
        <w:ind w:left="960"/>
        <w:jc w:val="both"/>
        <w:rPr>
          <w:rFonts w:ascii="Arial" w:hAnsi="Arial" w:cs="Arial"/>
          <w:sz w:val="24"/>
          <w:szCs w:val="24"/>
          <w:lang w:val="es-ES"/>
        </w:rPr>
      </w:pPr>
    </w:p>
    <w:sectPr w:rsidR="00551E77" w:rsidRPr="00B320B6" w:rsidSect="00133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A30DD"/>
    <w:multiLevelType w:val="hybridMultilevel"/>
    <w:tmpl w:val="86E21750"/>
    <w:lvl w:ilvl="0" w:tplc="B2E6969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57215C65"/>
    <w:multiLevelType w:val="hybridMultilevel"/>
    <w:tmpl w:val="14CC4C22"/>
    <w:lvl w:ilvl="0" w:tplc="4C8AD280">
      <w:numFmt w:val="bullet"/>
      <w:lvlText w:val="-"/>
      <w:lvlJc w:val="left"/>
      <w:pPr>
        <w:tabs>
          <w:tab w:val="num" w:pos="960"/>
        </w:tabs>
        <w:ind w:left="960" w:hanging="60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C80"/>
    <w:rsid w:val="00001300"/>
    <w:rsid w:val="00002878"/>
    <w:rsid w:val="00012EB0"/>
    <w:rsid w:val="00025BE3"/>
    <w:rsid w:val="000408BB"/>
    <w:rsid w:val="0004387D"/>
    <w:rsid w:val="00045C7D"/>
    <w:rsid w:val="00073BBA"/>
    <w:rsid w:val="000B378A"/>
    <w:rsid w:val="00110B0E"/>
    <w:rsid w:val="00116091"/>
    <w:rsid w:val="00133210"/>
    <w:rsid w:val="00136EDF"/>
    <w:rsid w:val="00137165"/>
    <w:rsid w:val="00157AAB"/>
    <w:rsid w:val="00170206"/>
    <w:rsid w:val="001826C0"/>
    <w:rsid w:val="00196002"/>
    <w:rsid w:val="00197A7E"/>
    <w:rsid w:val="001B4C07"/>
    <w:rsid w:val="0020531D"/>
    <w:rsid w:val="0021363C"/>
    <w:rsid w:val="00230926"/>
    <w:rsid w:val="002508DB"/>
    <w:rsid w:val="00301DE4"/>
    <w:rsid w:val="003020B3"/>
    <w:rsid w:val="00302A2A"/>
    <w:rsid w:val="00304B73"/>
    <w:rsid w:val="003568A6"/>
    <w:rsid w:val="00373AB5"/>
    <w:rsid w:val="00385E62"/>
    <w:rsid w:val="003C4E42"/>
    <w:rsid w:val="003D7C29"/>
    <w:rsid w:val="004005CE"/>
    <w:rsid w:val="004035F1"/>
    <w:rsid w:val="00456436"/>
    <w:rsid w:val="0045739B"/>
    <w:rsid w:val="004C0560"/>
    <w:rsid w:val="00522532"/>
    <w:rsid w:val="00551E77"/>
    <w:rsid w:val="0056167A"/>
    <w:rsid w:val="00584205"/>
    <w:rsid w:val="005A2B63"/>
    <w:rsid w:val="005C419C"/>
    <w:rsid w:val="005D6321"/>
    <w:rsid w:val="005E6644"/>
    <w:rsid w:val="005F13E3"/>
    <w:rsid w:val="00613219"/>
    <w:rsid w:val="006A032D"/>
    <w:rsid w:val="007004F0"/>
    <w:rsid w:val="00725D7F"/>
    <w:rsid w:val="007325A5"/>
    <w:rsid w:val="007612EE"/>
    <w:rsid w:val="00762042"/>
    <w:rsid w:val="00780895"/>
    <w:rsid w:val="0078097D"/>
    <w:rsid w:val="00783C61"/>
    <w:rsid w:val="007C6149"/>
    <w:rsid w:val="007E6C0E"/>
    <w:rsid w:val="00856342"/>
    <w:rsid w:val="008A1A6C"/>
    <w:rsid w:val="00903178"/>
    <w:rsid w:val="0091388C"/>
    <w:rsid w:val="00913C80"/>
    <w:rsid w:val="00962EA8"/>
    <w:rsid w:val="009C1C86"/>
    <w:rsid w:val="009F7BB5"/>
    <w:rsid w:val="00A15224"/>
    <w:rsid w:val="00A82CFE"/>
    <w:rsid w:val="00AE5DA9"/>
    <w:rsid w:val="00B17E2A"/>
    <w:rsid w:val="00B2191E"/>
    <w:rsid w:val="00B320B6"/>
    <w:rsid w:val="00B513F1"/>
    <w:rsid w:val="00B77B3E"/>
    <w:rsid w:val="00BA0EF6"/>
    <w:rsid w:val="00BA1C73"/>
    <w:rsid w:val="00C01514"/>
    <w:rsid w:val="00C42487"/>
    <w:rsid w:val="00C74F9F"/>
    <w:rsid w:val="00C75B32"/>
    <w:rsid w:val="00C946A8"/>
    <w:rsid w:val="00C957E3"/>
    <w:rsid w:val="00CB7413"/>
    <w:rsid w:val="00CE2ACF"/>
    <w:rsid w:val="00D138D4"/>
    <w:rsid w:val="00D427F6"/>
    <w:rsid w:val="00D947C5"/>
    <w:rsid w:val="00DA0651"/>
    <w:rsid w:val="00DD449D"/>
    <w:rsid w:val="00DD750F"/>
    <w:rsid w:val="00DE7AAF"/>
    <w:rsid w:val="00E4356D"/>
    <w:rsid w:val="00E53F87"/>
    <w:rsid w:val="00E54BAF"/>
    <w:rsid w:val="00E6579D"/>
    <w:rsid w:val="00EA3306"/>
    <w:rsid w:val="00F20600"/>
    <w:rsid w:val="00F3405F"/>
    <w:rsid w:val="00F73B0F"/>
    <w:rsid w:val="00FB37D8"/>
    <w:rsid w:val="00FC53C4"/>
    <w:rsid w:val="00FC6540"/>
    <w:rsid w:val="00FE3EB5"/>
    <w:rsid w:val="00FF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2D"/>
    <w:pPr>
      <w:spacing w:after="200" w:line="276" w:lineRule="auto"/>
    </w:pPr>
    <w:rPr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B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4C07"/>
    <w:rPr>
      <w:rFonts w:ascii="Tahoma" w:hAnsi="Tahoma" w:cs="Tahoma"/>
      <w:sz w:val="16"/>
      <w:szCs w:val="16"/>
    </w:rPr>
  </w:style>
  <w:style w:type="paragraph" w:customStyle="1" w:styleId="EstiloArial11ptJustificadoPrimeralnea063cmInterline">
    <w:name w:val="Estilo Arial 11 pt Justificado Primera línea:  063 cm Interline..."/>
    <w:basedOn w:val="Normal"/>
    <w:uiPriority w:val="99"/>
    <w:rsid w:val="00B320B6"/>
    <w:pPr>
      <w:spacing w:after="0" w:line="360" w:lineRule="auto"/>
      <w:ind w:firstLine="360"/>
      <w:jc w:val="both"/>
    </w:pPr>
    <w:rPr>
      <w:rFonts w:ascii="Arial" w:hAnsi="Arial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9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304</TotalTime>
  <Pages>7</Pages>
  <Words>811</Words>
  <Characters>4464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Alumno</dc:creator>
  <cp:keywords/>
  <dc:description/>
  <cp:lastModifiedBy>Fer</cp:lastModifiedBy>
  <cp:revision>13</cp:revision>
  <dcterms:created xsi:type="dcterms:W3CDTF">2014-11-17T05:37:00Z</dcterms:created>
  <dcterms:modified xsi:type="dcterms:W3CDTF">2014-11-17T09:51:00Z</dcterms:modified>
</cp:coreProperties>
</file>