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4E6E" w:rsidRDefault="00414E6E">
      <w:pPr>
        <w:pStyle w:val="normal0"/>
        <w:spacing w:line="360" w:lineRule="auto"/>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6.png" o:spid="_x0000_i1025" type="#_x0000_t75" alt="logoUNQ.PNG" style="width:126pt;height:48pt;visibility:visible">
            <v:imagedata r:id="rId5" o:title=""/>
          </v:shape>
        </w:pict>
      </w:r>
    </w:p>
    <w:p w:rsidR="00414E6E" w:rsidRDefault="00414E6E">
      <w:pPr>
        <w:pStyle w:val="normal0"/>
        <w:spacing w:line="360" w:lineRule="auto"/>
        <w:jc w:val="center"/>
        <w:rPr>
          <w:b/>
          <w:i/>
          <w:sz w:val="52"/>
          <w:lang w:val="es-ES"/>
        </w:rPr>
      </w:pPr>
      <w:r w:rsidRPr="00725365">
        <w:rPr>
          <w:b/>
          <w:i/>
          <w:sz w:val="52"/>
          <w:lang w:val="es-ES"/>
        </w:rPr>
        <w:t xml:space="preserve"> </w:t>
      </w:r>
    </w:p>
    <w:p w:rsidR="00414E6E" w:rsidRPr="00725365" w:rsidRDefault="00414E6E">
      <w:pPr>
        <w:pStyle w:val="normal0"/>
        <w:spacing w:line="360" w:lineRule="auto"/>
        <w:jc w:val="center"/>
        <w:rPr>
          <w:lang w:val="es-ES"/>
        </w:rPr>
      </w:pPr>
    </w:p>
    <w:p w:rsidR="00414E6E" w:rsidRPr="00725365" w:rsidRDefault="00414E6E">
      <w:pPr>
        <w:pStyle w:val="normal0"/>
        <w:spacing w:line="360" w:lineRule="auto"/>
        <w:jc w:val="center"/>
        <w:rPr>
          <w:lang w:val="es-ES"/>
        </w:rPr>
      </w:pPr>
      <w:r w:rsidRPr="00725365">
        <w:rPr>
          <w:b/>
          <w:i/>
          <w:sz w:val="44"/>
          <w:lang w:val="es-ES"/>
        </w:rPr>
        <w:t>Trabajo Práctico Nº 2:</w:t>
      </w:r>
    </w:p>
    <w:p w:rsidR="00414E6E" w:rsidRPr="00725365" w:rsidRDefault="00414E6E">
      <w:pPr>
        <w:pStyle w:val="normal0"/>
        <w:spacing w:line="360" w:lineRule="auto"/>
        <w:jc w:val="center"/>
        <w:rPr>
          <w:lang w:val="es-ES"/>
        </w:rPr>
      </w:pPr>
      <w:r w:rsidRPr="00725365">
        <w:rPr>
          <w:b/>
          <w:i/>
          <w:sz w:val="52"/>
          <w:lang w:val="es-ES"/>
        </w:rPr>
        <w:t xml:space="preserve"> </w:t>
      </w:r>
    </w:p>
    <w:p w:rsidR="00414E6E" w:rsidRPr="00725365" w:rsidRDefault="00414E6E">
      <w:pPr>
        <w:pStyle w:val="normal0"/>
        <w:spacing w:line="360" w:lineRule="auto"/>
        <w:jc w:val="center"/>
        <w:rPr>
          <w:lang w:val="es-ES"/>
        </w:rPr>
      </w:pPr>
      <w:r w:rsidRPr="00725365">
        <w:rPr>
          <w:b/>
          <w:i/>
          <w:sz w:val="52"/>
          <w:lang w:val="es-ES"/>
        </w:rPr>
        <w:t>Estequiometría y Equilibrio de Formación de un Complejo</w:t>
      </w:r>
    </w:p>
    <w:p w:rsidR="00414E6E" w:rsidRDefault="00414E6E">
      <w:pPr>
        <w:pStyle w:val="normal0"/>
        <w:spacing w:line="360" w:lineRule="auto"/>
        <w:jc w:val="center"/>
        <w:rPr>
          <w:i/>
          <w:sz w:val="52"/>
          <w:lang w:val="es-ES"/>
        </w:rPr>
      </w:pPr>
    </w:p>
    <w:p w:rsidR="00414E6E" w:rsidRDefault="00414E6E">
      <w:pPr>
        <w:pStyle w:val="normal0"/>
        <w:spacing w:line="360" w:lineRule="auto"/>
        <w:jc w:val="center"/>
        <w:rPr>
          <w:i/>
          <w:sz w:val="52"/>
          <w:lang w:val="es-ES"/>
        </w:rPr>
      </w:pPr>
    </w:p>
    <w:p w:rsidR="00414E6E" w:rsidRDefault="00414E6E">
      <w:pPr>
        <w:pStyle w:val="normal0"/>
        <w:spacing w:line="360" w:lineRule="auto"/>
        <w:jc w:val="center"/>
        <w:rPr>
          <w:i/>
          <w:sz w:val="52"/>
          <w:lang w:val="es-ES"/>
        </w:rPr>
      </w:pPr>
    </w:p>
    <w:p w:rsidR="00414E6E" w:rsidRPr="00725365" w:rsidRDefault="00414E6E">
      <w:pPr>
        <w:pStyle w:val="normal0"/>
        <w:spacing w:line="360" w:lineRule="auto"/>
        <w:jc w:val="center"/>
        <w:rPr>
          <w:lang w:val="es-ES"/>
        </w:rPr>
      </w:pPr>
      <w:r w:rsidRPr="00725365">
        <w:rPr>
          <w:i/>
          <w:sz w:val="52"/>
          <w:lang w:val="es-ES"/>
        </w:rPr>
        <w:t xml:space="preserve"> </w:t>
      </w:r>
    </w:p>
    <w:p w:rsidR="00414E6E" w:rsidRPr="00725365" w:rsidRDefault="00414E6E">
      <w:pPr>
        <w:pStyle w:val="normal0"/>
        <w:spacing w:line="360" w:lineRule="auto"/>
        <w:rPr>
          <w:lang w:val="es-ES"/>
        </w:rPr>
      </w:pPr>
      <w:r w:rsidRPr="00725365">
        <w:rPr>
          <w:b/>
          <w:i/>
          <w:sz w:val="24"/>
          <w:lang w:val="es-ES"/>
        </w:rPr>
        <w:t>Asignatura:</w:t>
      </w:r>
      <w:r w:rsidRPr="00725365">
        <w:rPr>
          <w:i/>
          <w:sz w:val="24"/>
          <w:lang w:val="es-ES"/>
        </w:rPr>
        <w:t xml:space="preserve"> Fisicoquímica.</w:t>
      </w:r>
    </w:p>
    <w:p w:rsidR="00414E6E" w:rsidRPr="00725365" w:rsidRDefault="00414E6E">
      <w:pPr>
        <w:pStyle w:val="normal0"/>
        <w:spacing w:line="360" w:lineRule="auto"/>
        <w:rPr>
          <w:lang w:val="es-ES"/>
        </w:rPr>
      </w:pPr>
      <w:r w:rsidRPr="00725365">
        <w:rPr>
          <w:b/>
          <w:i/>
          <w:sz w:val="24"/>
          <w:lang w:val="es-ES"/>
        </w:rPr>
        <w:t xml:space="preserve">Profesor a cargo: </w:t>
      </w:r>
      <w:r w:rsidRPr="00725365">
        <w:rPr>
          <w:i/>
          <w:sz w:val="24"/>
          <w:lang w:val="es-ES"/>
        </w:rPr>
        <w:t>Ernesto Christian Hainich.</w:t>
      </w:r>
    </w:p>
    <w:p w:rsidR="00414E6E" w:rsidRPr="00725365" w:rsidRDefault="00414E6E">
      <w:pPr>
        <w:pStyle w:val="normal0"/>
        <w:spacing w:line="360" w:lineRule="auto"/>
        <w:rPr>
          <w:lang w:val="es-ES"/>
        </w:rPr>
      </w:pPr>
      <w:r w:rsidRPr="00725365">
        <w:rPr>
          <w:b/>
          <w:i/>
          <w:sz w:val="24"/>
          <w:lang w:val="es-ES"/>
        </w:rPr>
        <w:t xml:space="preserve">Profesores instructores: </w:t>
      </w:r>
      <w:r w:rsidRPr="00725365">
        <w:rPr>
          <w:i/>
          <w:sz w:val="24"/>
          <w:lang w:val="es-ES"/>
        </w:rPr>
        <w:t>Tadeo Enrique Saldaño, Luis Federico Veiga.</w:t>
      </w:r>
    </w:p>
    <w:p w:rsidR="00414E6E" w:rsidRPr="00725365" w:rsidRDefault="00414E6E">
      <w:pPr>
        <w:pStyle w:val="normal0"/>
        <w:spacing w:line="360" w:lineRule="auto"/>
        <w:rPr>
          <w:lang w:val="es-ES"/>
        </w:rPr>
      </w:pPr>
      <w:r w:rsidRPr="00725365">
        <w:rPr>
          <w:b/>
          <w:i/>
          <w:sz w:val="24"/>
          <w:lang w:val="es-ES"/>
        </w:rPr>
        <w:t>Alumnos:</w:t>
      </w:r>
      <w:r w:rsidRPr="00725365">
        <w:rPr>
          <w:i/>
          <w:sz w:val="24"/>
          <w:lang w:val="es-ES"/>
        </w:rPr>
        <w:t xml:space="preserve"> Fernando Amor, Florencia A. Jossen.</w:t>
      </w:r>
    </w:p>
    <w:p w:rsidR="00414E6E" w:rsidRPr="00725365" w:rsidRDefault="00414E6E">
      <w:pPr>
        <w:pStyle w:val="normal0"/>
        <w:spacing w:line="360" w:lineRule="auto"/>
        <w:rPr>
          <w:lang w:val="es-ES"/>
        </w:rPr>
      </w:pPr>
    </w:p>
    <w:p w:rsidR="00414E6E" w:rsidRPr="00725365" w:rsidRDefault="00414E6E">
      <w:pPr>
        <w:pStyle w:val="normal0"/>
        <w:spacing w:line="360" w:lineRule="auto"/>
        <w:jc w:val="right"/>
        <w:rPr>
          <w:lang w:val="es-ES"/>
        </w:rPr>
      </w:pPr>
    </w:p>
    <w:p w:rsidR="00414E6E" w:rsidRPr="00725365" w:rsidRDefault="00414E6E">
      <w:pPr>
        <w:pStyle w:val="normal0"/>
        <w:spacing w:line="360" w:lineRule="auto"/>
        <w:rPr>
          <w:lang w:val="es-ES"/>
        </w:rPr>
      </w:pPr>
      <w:r w:rsidRPr="00725365">
        <w:rPr>
          <w:i/>
          <w:sz w:val="24"/>
          <w:lang w:val="es-ES"/>
        </w:rPr>
        <w:t xml:space="preserve"> </w:t>
      </w:r>
    </w:p>
    <w:p w:rsidR="00414E6E" w:rsidRPr="00725365" w:rsidRDefault="00414E6E">
      <w:pPr>
        <w:pStyle w:val="normal0"/>
        <w:spacing w:line="360" w:lineRule="auto"/>
        <w:rPr>
          <w:lang w:val="es-ES"/>
        </w:rPr>
      </w:pPr>
      <w:r w:rsidRPr="00725365">
        <w:rPr>
          <w:i/>
          <w:sz w:val="24"/>
          <w:lang w:val="es-ES"/>
        </w:rPr>
        <w:t xml:space="preserve"> </w:t>
      </w:r>
    </w:p>
    <w:p w:rsidR="00414E6E" w:rsidRPr="00725365" w:rsidRDefault="00414E6E">
      <w:pPr>
        <w:pStyle w:val="normal0"/>
        <w:spacing w:line="360" w:lineRule="auto"/>
        <w:rPr>
          <w:lang w:val="es-ES"/>
        </w:rPr>
      </w:pPr>
      <w:r w:rsidRPr="00725365">
        <w:rPr>
          <w:i/>
          <w:sz w:val="24"/>
          <w:lang w:val="es-ES"/>
        </w:rPr>
        <w:t xml:space="preserve"> </w:t>
      </w:r>
    </w:p>
    <w:p w:rsidR="00414E6E" w:rsidRPr="00725365" w:rsidRDefault="00414E6E">
      <w:pPr>
        <w:pStyle w:val="normal0"/>
        <w:rPr>
          <w:lang w:val="es-ES"/>
        </w:rPr>
      </w:pPr>
      <w:r w:rsidRPr="00725365">
        <w:rPr>
          <w:sz w:val="26"/>
          <w:lang w:val="es-ES"/>
        </w:rPr>
        <w:t xml:space="preserve"> </w:t>
      </w:r>
    </w:p>
    <w:p w:rsidR="00414E6E" w:rsidRPr="00725365" w:rsidRDefault="00414E6E">
      <w:pPr>
        <w:pStyle w:val="normal0"/>
        <w:spacing w:after="120"/>
        <w:jc w:val="both"/>
        <w:rPr>
          <w:lang w:val="es-ES"/>
        </w:rPr>
      </w:pPr>
      <w:r w:rsidRPr="00725365">
        <w:rPr>
          <w:b/>
          <w:sz w:val="24"/>
          <w:lang w:val="es-ES"/>
        </w:rPr>
        <w:t xml:space="preserve"> </w:t>
      </w:r>
    </w:p>
    <w:p w:rsidR="00414E6E" w:rsidRDefault="00414E6E" w:rsidP="00C12207">
      <w:pPr>
        <w:pStyle w:val="normal0"/>
        <w:spacing w:after="120"/>
        <w:jc w:val="both"/>
        <w:rPr>
          <w:lang w:val="es-ES"/>
        </w:rPr>
      </w:pPr>
      <w:r w:rsidRPr="00725365">
        <w:rPr>
          <w:b/>
          <w:sz w:val="24"/>
          <w:lang w:val="es-ES"/>
        </w:rPr>
        <w:t xml:space="preserve"> </w:t>
      </w:r>
    </w:p>
    <w:p w:rsidR="00414E6E" w:rsidRPr="00725365" w:rsidRDefault="00414E6E" w:rsidP="00C12207">
      <w:pPr>
        <w:pStyle w:val="normal0"/>
        <w:spacing w:after="120"/>
        <w:jc w:val="both"/>
        <w:rPr>
          <w:lang w:val="es-ES"/>
        </w:rPr>
      </w:pPr>
      <w:r w:rsidRPr="00725365">
        <w:rPr>
          <w:b/>
          <w:sz w:val="24"/>
          <w:lang w:val="es-ES"/>
        </w:rPr>
        <w:t>Resumen</w:t>
      </w:r>
    </w:p>
    <w:p w:rsidR="00414E6E" w:rsidRPr="00725365" w:rsidRDefault="00414E6E">
      <w:pPr>
        <w:pStyle w:val="normal0"/>
        <w:spacing w:after="120"/>
        <w:ind w:firstLine="360"/>
        <w:jc w:val="both"/>
        <w:rPr>
          <w:lang w:val="es-ES"/>
        </w:rPr>
      </w:pPr>
      <w:r w:rsidRPr="00725365">
        <w:rPr>
          <w:b/>
          <w:sz w:val="24"/>
          <w:lang w:val="es-ES"/>
        </w:rPr>
        <w:t xml:space="preserve"> </w:t>
      </w:r>
    </w:p>
    <w:p w:rsidR="00414E6E" w:rsidRPr="00725365" w:rsidRDefault="00414E6E">
      <w:pPr>
        <w:pStyle w:val="normal0"/>
        <w:spacing w:after="120"/>
        <w:ind w:firstLine="360"/>
        <w:jc w:val="both"/>
        <w:rPr>
          <w:lang w:val="es-ES"/>
        </w:rPr>
      </w:pPr>
      <w:r w:rsidRPr="00725365">
        <w:rPr>
          <w:sz w:val="24"/>
          <w:lang w:val="es-ES"/>
        </w:rPr>
        <w:t>En este experimento se determinaron tanto la fórmula empírica como la constante de equilibrio (K) y la energía libre estándar de formación (∆Gº) de un complejo coloreado, formado por ácido salicílico e iones férricos. Los resultados fueron, respectivamente, [Fe (C</w:t>
      </w:r>
      <w:r w:rsidRPr="00725365">
        <w:rPr>
          <w:sz w:val="24"/>
          <w:vertAlign w:val="subscript"/>
          <w:lang w:val="es-ES"/>
        </w:rPr>
        <w:t>7</w:t>
      </w:r>
      <w:r w:rsidRPr="00725365">
        <w:rPr>
          <w:sz w:val="24"/>
          <w:lang w:val="es-ES"/>
        </w:rPr>
        <w:t>H</w:t>
      </w:r>
      <w:r w:rsidRPr="00725365">
        <w:rPr>
          <w:sz w:val="24"/>
          <w:vertAlign w:val="subscript"/>
          <w:lang w:val="es-ES"/>
        </w:rPr>
        <w:t>6</w:t>
      </w:r>
      <w:r w:rsidRPr="00725365">
        <w:rPr>
          <w:sz w:val="24"/>
          <w:lang w:val="es-ES"/>
        </w:rPr>
        <w:t>O</w:t>
      </w:r>
      <w:r w:rsidRPr="00725365">
        <w:rPr>
          <w:sz w:val="24"/>
          <w:vertAlign w:val="subscript"/>
          <w:lang w:val="es-ES"/>
        </w:rPr>
        <w:t>3</w:t>
      </w:r>
      <w:r w:rsidRPr="00725365">
        <w:rPr>
          <w:sz w:val="24"/>
          <w:lang w:val="es-ES"/>
        </w:rPr>
        <w:t>)]; 3,6536x10</w:t>
      </w:r>
      <w:r w:rsidRPr="00725365">
        <w:rPr>
          <w:sz w:val="24"/>
          <w:vertAlign w:val="superscript"/>
          <w:lang w:val="es-ES"/>
        </w:rPr>
        <w:t xml:space="preserve">5 </w:t>
      </w:r>
      <w:r w:rsidRPr="00725365">
        <w:rPr>
          <w:sz w:val="24"/>
          <w:lang w:val="es-ES"/>
        </w:rPr>
        <w:t>y  -29,7413 KJ/mol.</w:t>
      </w:r>
    </w:p>
    <w:p w:rsidR="00414E6E" w:rsidRPr="00725365" w:rsidRDefault="00414E6E">
      <w:pPr>
        <w:pStyle w:val="normal0"/>
        <w:spacing w:after="120"/>
        <w:jc w:val="both"/>
        <w:rPr>
          <w:lang w:val="es-ES"/>
        </w:rPr>
      </w:pPr>
      <w:r w:rsidRPr="00725365">
        <w:rPr>
          <w:b/>
          <w:sz w:val="24"/>
          <w:lang w:val="es-ES"/>
        </w:rPr>
        <w:t xml:space="preserve"> </w:t>
      </w:r>
    </w:p>
    <w:p w:rsidR="00414E6E" w:rsidRPr="00725365" w:rsidRDefault="00414E6E">
      <w:pPr>
        <w:pStyle w:val="normal0"/>
        <w:spacing w:after="120"/>
        <w:jc w:val="both"/>
        <w:rPr>
          <w:lang w:val="es-ES"/>
        </w:rPr>
      </w:pPr>
      <w:r w:rsidRPr="00725365">
        <w:rPr>
          <w:b/>
          <w:sz w:val="24"/>
          <w:lang w:val="es-ES"/>
        </w:rPr>
        <w:t xml:space="preserve"> </w:t>
      </w:r>
    </w:p>
    <w:p w:rsidR="00414E6E" w:rsidRPr="00FA067A" w:rsidRDefault="00414E6E">
      <w:pPr>
        <w:pStyle w:val="normal0"/>
        <w:spacing w:after="120"/>
        <w:jc w:val="both"/>
        <w:rPr>
          <w:lang w:val="es-ES"/>
        </w:rPr>
      </w:pPr>
      <w:r w:rsidRPr="00FA067A">
        <w:rPr>
          <w:b/>
          <w:sz w:val="24"/>
          <w:lang w:val="es-ES"/>
        </w:rPr>
        <w:t>Introducción</w:t>
      </w:r>
    </w:p>
    <w:p w:rsidR="00414E6E" w:rsidRPr="00FA067A" w:rsidRDefault="00414E6E">
      <w:pPr>
        <w:pStyle w:val="normal0"/>
        <w:spacing w:after="120"/>
        <w:ind w:firstLine="360"/>
        <w:jc w:val="both"/>
        <w:rPr>
          <w:lang w:val="es-ES"/>
        </w:rPr>
      </w:pPr>
      <w:r w:rsidRPr="00FA067A">
        <w:rPr>
          <w:sz w:val="24"/>
          <w:lang w:val="es-ES"/>
        </w:rPr>
        <w:t xml:space="preserve"> </w:t>
      </w:r>
    </w:p>
    <w:p w:rsidR="00414E6E" w:rsidRPr="00725365" w:rsidRDefault="00414E6E" w:rsidP="00725365">
      <w:pPr>
        <w:pStyle w:val="normal0"/>
        <w:ind w:firstLine="360"/>
        <w:jc w:val="both"/>
        <w:rPr>
          <w:lang w:val="es-ES"/>
        </w:rPr>
      </w:pPr>
      <w:r w:rsidRPr="00725365">
        <w:rPr>
          <w:sz w:val="24"/>
          <w:lang w:val="es-ES"/>
        </w:rPr>
        <w:t>La mayoría de los compuestos fenólicos reaccionan formando complejos fuertemente coloreados al tratarlos con soluciones de sales férricas. El color, absorción y reflejo de radiación electromagnética a determinada longitud de onda, puede ser aprovechado para determinar la estequiometría de la reacción mediante el método de JOB. El mismo permite, a partir de la reacción de soluciones equimolares de ambos reactivos en proporciones variadas con un volumen final constante, conocer la relación exacta entre ambos reactivos realizando un análisis simple de colorimetría; aquella proporción que presente la mayor coloración va a ser la que permita formar la mayor cantidad de complejo y por ende la que indique la relación estequiométrica correcta ya que, la cantidad máxima de producto se forma cuando las proporciones de los reactivos se corresponden con sus coeficientes estequiométricos en la reacción de complejación, de modo que la mayor cantidad de A</w:t>
      </w:r>
      <w:r w:rsidRPr="00725365">
        <w:rPr>
          <w:sz w:val="24"/>
          <w:vertAlign w:val="subscript"/>
          <w:lang w:val="es-ES"/>
        </w:rPr>
        <w:t>a</w:t>
      </w:r>
      <w:r w:rsidRPr="00725365">
        <w:rPr>
          <w:sz w:val="24"/>
          <w:lang w:val="es-ES"/>
        </w:rPr>
        <w:t>B</w:t>
      </w:r>
      <w:r w:rsidRPr="00725365">
        <w:rPr>
          <w:sz w:val="24"/>
          <w:vertAlign w:val="subscript"/>
          <w:lang w:val="es-ES"/>
        </w:rPr>
        <w:t>b</w:t>
      </w:r>
      <w:r w:rsidRPr="00725365">
        <w:rPr>
          <w:sz w:val="24"/>
          <w:lang w:val="es-ES"/>
        </w:rPr>
        <w:t xml:space="preserve"> se va a formar cuando se mezclen a partes de A con b partes de B.</w:t>
      </w: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r w:rsidRPr="00725365">
        <w:rPr>
          <w:sz w:val="24"/>
          <w:lang w:val="es-ES"/>
        </w:rPr>
        <w:t>La reacción de complejación se da de la siguiente manera:</w:t>
      </w:r>
    </w:p>
    <w:p w:rsidR="00414E6E" w:rsidRPr="00725365" w:rsidRDefault="00414E6E" w:rsidP="00725365">
      <w:pPr>
        <w:pStyle w:val="normal0"/>
        <w:ind w:firstLine="360"/>
        <w:jc w:val="both"/>
        <w:rPr>
          <w:lang w:val="es-ES"/>
        </w:rPr>
      </w:pPr>
      <w:r w:rsidRPr="00725365">
        <w:rPr>
          <w:sz w:val="24"/>
          <w:lang w:val="es-ES"/>
        </w:rPr>
        <w:t xml:space="preserve"> </w:t>
      </w:r>
    </w:p>
    <w:p w:rsidR="00414E6E" w:rsidRPr="00725365" w:rsidRDefault="00414E6E" w:rsidP="00725365">
      <w:pPr>
        <w:pStyle w:val="normal0"/>
        <w:ind w:firstLine="360"/>
        <w:jc w:val="both"/>
        <w:rPr>
          <w:lang w:val="es-ES"/>
        </w:rPr>
      </w:pPr>
      <w:r w:rsidRPr="00725365">
        <w:rPr>
          <w:sz w:val="24"/>
          <w:lang w:val="es-ES"/>
        </w:rPr>
        <w:t xml:space="preserve">                                     </w:t>
      </w:r>
      <w:r w:rsidRPr="00725365">
        <w:rPr>
          <w:sz w:val="24"/>
          <w:lang w:val="es-ES"/>
        </w:rPr>
        <w:tab/>
        <w:t xml:space="preserve">  aA + bB</w:t>
      </w:r>
      <w:r w:rsidRPr="00725365">
        <w:rPr>
          <w:sz w:val="24"/>
          <w:lang w:val="es-ES"/>
        </w:rPr>
        <w:tab/>
        <w:t>↔     A</w:t>
      </w:r>
      <w:r w:rsidRPr="00725365">
        <w:rPr>
          <w:sz w:val="24"/>
          <w:vertAlign w:val="subscript"/>
          <w:lang w:val="es-ES"/>
        </w:rPr>
        <w:t>a</w:t>
      </w:r>
      <w:r w:rsidRPr="00725365">
        <w:rPr>
          <w:sz w:val="24"/>
          <w:lang w:val="es-ES"/>
        </w:rPr>
        <w:t>B</w:t>
      </w:r>
      <w:r w:rsidRPr="00725365">
        <w:rPr>
          <w:sz w:val="24"/>
          <w:vertAlign w:val="subscript"/>
          <w:lang w:val="es-ES"/>
        </w:rPr>
        <w:t>b</w:t>
      </w:r>
    </w:p>
    <w:p w:rsidR="00414E6E" w:rsidRPr="00725365" w:rsidRDefault="00414E6E" w:rsidP="00725365">
      <w:pPr>
        <w:pStyle w:val="normal0"/>
        <w:ind w:firstLine="360"/>
        <w:jc w:val="both"/>
        <w:rPr>
          <w:lang w:val="es-ES"/>
        </w:rPr>
      </w:pPr>
      <w:r w:rsidRPr="00725365">
        <w:rPr>
          <w:sz w:val="40"/>
          <w:vertAlign w:val="subscript"/>
          <w:lang w:val="es-ES"/>
        </w:rPr>
        <w:t xml:space="preserve"> </w:t>
      </w:r>
    </w:p>
    <w:p w:rsidR="00414E6E" w:rsidRPr="00725365" w:rsidRDefault="00414E6E" w:rsidP="00725365">
      <w:pPr>
        <w:pStyle w:val="normal0"/>
        <w:ind w:firstLine="360"/>
        <w:jc w:val="both"/>
        <w:rPr>
          <w:lang w:val="es-ES"/>
        </w:rPr>
      </w:pPr>
      <w:r w:rsidRPr="00725365">
        <w:rPr>
          <w:sz w:val="24"/>
          <w:lang w:val="es-ES"/>
        </w:rPr>
        <w:t>Mediante espectrofotometría UV-V puede determinarse la concentración del complejo formado utilizando la ecuación de Lambert-Beer:</w:t>
      </w:r>
    </w:p>
    <w:p w:rsidR="00414E6E" w:rsidRPr="00725365" w:rsidRDefault="00414E6E" w:rsidP="00725365">
      <w:pPr>
        <w:pStyle w:val="normal0"/>
        <w:ind w:firstLine="360"/>
        <w:jc w:val="both"/>
        <w:rPr>
          <w:lang w:val="es-ES"/>
        </w:rPr>
      </w:pPr>
      <w:r w:rsidRPr="00725365">
        <w:rPr>
          <w:sz w:val="24"/>
          <w:lang w:val="es-ES"/>
        </w:rPr>
        <w:t xml:space="preserve"> </w:t>
      </w:r>
    </w:p>
    <w:p w:rsidR="00414E6E" w:rsidRPr="00725365" w:rsidRDefault="00414E6E" w:rsidP="00725365">
      <w:pPr>
        <w:pStyle w:val="normal0"/>
        <w:ind w:firstLine="360"/>
        <w:jc w:val="both"/>
        <w:rPr>
          <w:lang w:val="es-ES"/>
        </w:rPr>
      </w:pPr>
      <w:r w:rsidRPr="00725365">
        <w:rPr>
          <w:sz w:val="24"/>
          <w:lang w:val="es-ES"/>
        </w:rPr>
        <w:t xml:space="preserve">                                                 </w:t>
      </w:r>
      <w:r w:rsidRPr="00725365">
        <w:rPr>
          <w:sz w:val="24"/>
          <w:lang w:val="es-ES"/>
        </w:rPr>
        <w:tab/>
      </w:r>
      <w:r w:rsidRPr="00725365">
        <w:rPr>
          <w:i/>
          <w:sz w:val="24"/>
          <w:lang w:val="es-ES"/>
        </w:rPr>
        <w:t xml:space="preserve">A = </w:t>
      </w:r>
      <w:r>
        <w:rPr>
          <w:i/>
          <w:sz w:val="24"/>
        </w:rPr>
        <w:t>ε</w:t>
      </w:r>
      <w:r w:rsidRPr="00725365">
        <w:rPr>
          <w:i/>
          <w:sz w:val="24"/>
          <w:lang w:val="es-ES"/>
        </w:rPr>
        <w:t xml:space="preserve"> b c</w:t>
      </w:r>
    </w:p>
    <w:p w:rsidR="00414E6E" w:rsidRPr="00725365" w:rsidRDefault="00414E6E" w:rsidP="00725365">
      <w:pPr>
        <w:pStyle w:val="normal0"/>
        <w:ind w:firstLine="360"/>
        <w:jc w:val="both"/>
        <w:rPr>
          <w:lang w:val="es-ES"/>
        </w:rPr>
      </w:pPr>
      <w:r w:rsidRPr="00725365">
        <w:rPr>
          <w:sz w:val="24"/>
          <w:lang w:val="es-ES"/>
        </w:rPr>
        <w:t xml:space="preserve"> </w:t>
      </w:r>
    </w:p>
    <w:p w:rsidR="00414E6E" w:rsidRPr="00725365" w:rsidRDefault="00414E6E" w:rsidP="00725365">
      <w:pPr>
        <w:pStyle w:val="normal0"/>
        <w:ind w:firstLine="360"/>
        <w:jc w:val="both"/>
        <w:rPr>
          <w:lang w:val="es-ES"/>
        </w:rPr>
      </w:pPr>
      <w:r w:rsidRPr="00725365">
        <w:rPr>
          <w:sz w:val="24"/>
          <w:lang w:val="es-ES"/>
        </w:rPr>
        <w:t xml:space="preserve">Donde </w:t>
      </w:r>
      <w:r w:rsidRPr="00725365">
        <w:rPr>
          <w:i/>
          <w:sz w:val="24"/>
          <w:lang w:val="es-ES"/>
        </w:rPr>
        <w:t>A</w:t>
      </w:r>
      <w:r w:rsidRPr="00725365">
        <w:rPr>
          <w:sz w:val="24"/>
          <w:lang w:val="es-ES"/>
        </w:rPr>
        <w:t xml:space="preserve"> es la absorbancia, </w:t>
      </w:r>
      <w:r>
        <w:rPr>
          <w:i/>
          <w:sz w:val="24"/>
        </w:rPr>
        <w:t>ε</w:t>
      </w:r>
      <w:r w:rsidRPr="00725365">
        <w:rPr>
          <w:sz w:val="24"/>
          <w:lang w:val="es-ES"/>
        </w:rPr>
        <w:t xml:space="preserve"> el coeficiente de extinción molar, </w:t>
      </w:r>
      <w:r w:rsidRPr="00725365">
        <w:rPr>
          <w:i/>
          <w:sz w:val="24"/>
          <w:lang w:val="es-ES"/>
        </w:rPr>
        <w:t>b</w:t>
      </w:r>
      <w:r w:rsidRPr="00725365">
        <w:rPr>
          <w:sz w:val="24"/>
          <w:lang w:val="es-ES"/>
        </w:rPr>
        <w:t xml:space="preserve"> la longitud del camino óptico y </w:t>
      </w:r>
      <w:r w:rsidRPr="00725365">
        <w:rPr>
          <w:i/>
          <w:sz w:val="24"/>
          <w:lang w:val="es-ES"/>
        </w:rPr>
        <w:t>c</w:t>
      </w:r>
      <w:r w:rsidRPr="00725365">
        <w:rPr>
          <w:sz w:val="24"/>
          <w:lang w:val="es-ES"/>
        </w:rPr>
        <w:t xml:space="preserve"> la concentración de la especie que absorbe. </w:t>
      </w:r>
      <w:r>
        <w:rPr>
          <w:i/>
          <w:sz w:val="24"/>
        </w:rPr>
        <w:t>ε</w:t>
      </w:r>
      <w:r w:rsidRPr="00725365">
        <w:rPr>
          <w:sz w:val="24"/>
          <w:lang w:val="es-ES"/>
        </w:rPr>
        <w:t xml:space="preserve"> es una constante experimental,  depende tanto de la longitud de onda a la que se trabaja </w:t>
      </w:r>
      <w:smartTag w:uri="urn:schemas-microsoft-com:office:smarttags" w:element="City">
        <w:r w:rsidRPr="00725365">
          <w:rPr>
            <w:sz w:val="24"/>
            <w:lang w:val="es-ES"/>
          </w:rPr>
          <w:t>como</w:t>
        </w:r>
      </w:smartTag>
      <w:r w:rsidRPr="00725365">
        <w:rPr>
          <w:sz w:val="24"/>
          <w:lang w:val="es-ES"/>
        </w:rPr>
        <w:t xml:space="preserve"> </w:t>
      </w:r>
      <w:smartTag w:uri="urn:schemas-microsoft-com:office:smarttags" w:element="State">
        <w:smartTag w:uri="urn:schemas-microsoft-com:office:smarttags" w:element="place">
          <w:r w:rsidRPr="00725365">
            <w:rPr>
              <w:sz w:val="24"/>
              <w:lang w:val="es-ES"/>
            </w:rPr>
            <w:t>del</w:t>
          </w:r>
        </w:smartTag>
      </w:smartTag>
      <w:r w:rsidRPr="00725365">
        <w:rPr>
          <w:sz w:val="24"/>
          <w:lang w:val="es-ES"/>
        </w:rPr>
        <w:t xml:space="preserve"> compuesto absorbente.</w:t>
      </w: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r w:rsidRPr="00725365">
        <w:rPr>
          <w:sz w:val="24"/>
          <w:lang w:val="es-ES"/>
        </w:rPr>
        <w:t xml:space="preserve">Para determinar el coeficiente de extinción molar </w:t>
      </w:r>
      <w:r>
        <w:rPr>
          <w:i/>
          <w:sz w:val="24"/>
        </w:rPr>
        <w:t>ε</w:t>
      </w:r>
      <w:r w:rsidRPr="00725365">
        <w:rPr>
          <w:i/>
          <w:sz w:val="24"/>
          <w:lang w:val="es-ES"/>
        </w:rPr>
        <w:t xml:space="preserve"> </w:t>
      </w:r>
      <w:r w:rsidRPr="00725365">
        <w:rPr>
          <w:sz w:val="24"/>
          <w:lang w:val="es-ES"/>
        </w:rPr>
        <w:t xml:space="preserve">se realiza una recta de calibración utilizando uno de los reactivos en exceso de este modo el equilibrio se ve desplazado hacia la formación de productos, con lo que la concentración del complejo formado se puede tomar igual a la concentración del reactivo limitante. </w:t>
      </w: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r w:rsidRPr="00725365">
        <w:rPr>
          <w:sz w:val="24"/>
          <w:lang w:val="es-ES"/>
        </w:rPr>
        <w:t>Sin embargo la ley de Beer presenta desviaciones si no se tienen en cuenta las siguientes limitaciones:</w:t>
      </w:r>
    </w:p>
    <w:p w:rsidR="00414E6E" w:rsidRPr="00725365" w:rsidRDefault="00414E6E" w:rsidP="00725365">
      <w:pPr>
        <w:pStyle w:val="normal0"/>
        <w:ind w:firstLine="360"/>
        <w:jc w:val="both"/>
        <w:rPr>
          <w:lang w:val="es-ES"/>
        </w:rPr>
      </w:pPr>
    </w:p>
    <w:p w:rsidR="00414E6E" w:rsidRDefault="00414E6E" w:rsidP="00725365">
      <w:pPr>
        <w:pStyle w:val="normal0"/>
        <w:numPr>
          <w:ilvl w:val="0"/>
          <w:numId w:val="2"/>
        </w:numPr>
        <w:contextualSpacing/>
        <w:jc w:val="both"/>
        <w:rPr>
          <w:sz w:val="24"/>
        </w:rPr>
      </w:pPr>
      <w:r w:rsidRPr="00725365">
        <w:rPr>
          <w:color w:val="222222"/>
          <w:sz w:val="24"/>
          <w:highlight w:val="white"/>
          <w:lang w:val="es-ES"/>
        </w:rPr>
        <w:t>La concentración. Sólo es aplicable a disoluciones diluidas (menor 10-</w:t>
      </w:r>
      <w:smartTag w:uri="urn:schemas-microsoft-com:office:smarttags" w:element="metricconverter">
        <w:smartTagPr>
          <w:attr w:name="ProductID" w:val="0,1209 g"/>
        </w:smartTagPr>
        <w:r w:rsidRPr="00725365">
          <w:rPr>
            <w:color w:val="222222"/>
            <w:sz w:val="24"/>
            <w:highlight w:val="white"/>
            <w:lang w:val="es-ES"/>
          </w:rPr>
          <w:t>2 M</w:t>
        </w:r>
      </w:smartTag>
      <w:r w:rsidRPr="00725365">
        <w:rPr>
          <w:color w:val="222222"/>
          <w:sz w:val="24"/>
          <w:highlight w:val="white"/>
          <w:lang w:val="es-ES"/>
        </w:rPr>
        <w:t xml:space="preserve">); en disoluciones concentradas la distancia entre partículas absorbentes es tan pequeña que se produce una modificación en la distribución de cargas de las mismas, lo que se traduce en una alteración en la capacidad de absorción a una longitud de onda determinada. </w:t>
      </w:r>
      <w:r>
        <w:rPr>
          <w:color w:val="222222"/>
          <w:sz w:val="24"/>
          <w:highlight w:val="white"/>
        </w:rPr>
        <w:t>Este efecto se puede eliminar mediante dilución.</w:t>
      </w:r>
    </w:p>
    <w:p w:rsidR="00414E6E" w:rsidRPr="00725365" w:rsidRDefault="00414E6E" w:rsidP="00725365">
      <w:pPr>
        <w:pStyle w:val="normal0"/>
        <w:numPr>
          <w:ilvl w:val="0"/>
          <w:numId w:val="2"/>
        </w:numPr>
        <w:contextualSpacing/>
        <w:jc w:val="both"/>
        <w:rPr>
          <w:color w:val="222222"/>
          <w:sz w:val="24"/>
          <w:highlight w:val="white"/>
          <w:lang w:val="es-ES"/>
        </w:rPr>
      </w:pPr>
      <w:r w:rsidRPr="00725365">
        <w:rPr>
          <w:color w:val="222222"/>
          <w:sz w:val="24"/>
          <w:highlight w:val="white"/>
          <w:lang w:val="es-ES"/>
        </w:rPr>
        <w:t xml:space="preserve"> La interacción entre el soluto y la radiación debida a mecanismos diferentes a la absorción pero que producen alteraciones en la intensidad de la luz, tales como la dispersión, reflexión, la fluorescencia, etc.</w:t>
      </w:r>
    </w:p>
    <w:p w:rsidR="00414E6E" w:rsidRPr="00725365" w:rsidRDefault="00414E6E" w:rsidP="00725365">
      <w:pPr>
        <w:pStyle w:val="normal0"/>
        <w:numPr>
          <w:ilvl w:val="0"/>
          <w:numId w:val="2"/>
        </w:numPr>
        <w:contextualSpacing/>
        <w:jc w:val="both"/>
        <w:rPr>
          <w:color w:val="222222"/>
          <w:sz w:val="24"/>
          <w:highlight w:val="white"/>
          <w:lang w:val="es-ES"/>
        </w:rPr>
      </w:pPr>
      <w:r w:rsidRPr="00725365">
        <w:rPr>
          <w:color w:val="222222"/>
          <w:sz w:val="24"/>
          <w:highlight w:val="white"/>
          <w:lang w:val="es-ES"/>
        </w:rPr>
        <w:t>Utilización de radiación no monocromática, puesto que la ley está definida para radiaciones con una sola longitud de onda. Sin embargo, si la calidad del equipo no es buena, se obtienen bandas de radiaciones con un estrecho intervalo de longitudes de onda. En este práctico se utilizo solo una longitud que se averiguó previamente mediante un barrido espectrofotométrico.</w:t>
      </w:r>
    </w:p>
    <w:p w:rsidR="00414E6E" w:rsidRPr="00725365" w:rsidRDefault="00414E6E" w:rsidP="00725365">
      <w:pPr>
        <w:pStyle w:val="normal0"/>
        <w:numPr>
          <w:ilvl w:val="0"/>
          <w:numId w:val="2"/>
        </w:numPr>
        <w:contextualSpacing/>
        <w:jc w:val="both"/>
        <w:rPr>
          <w:color w:val="222222"/>
          <w:sz w:val="24"/>
          <w:highlight w:val="white"/>
          <w:lang w:val="es-ES"/>
        </w:rPr>
      </w:pPr>
      <w:r w:rsidRPr="00725365">
        <w:rPr>
          <w:color w:val="222222"/>
          <w:sz w:val="24"/>
          <w:highlight w:val="white"/>
          <w:lang w:val="es-ES"/>
        </w:rPr>
        <w:t xml:space="preserve"> Falta de uniformidad de la muestra o especie absorbente, o presencia de impurezas. Esto se resuelve mediante la correcta dilución de los reactivos en la solución.</w:t>
      </w:r>
    </w:p>
    <w:p w:rsidR="00414E6E" w:rsidRPr="00725365" w:rsidRDefault="00414E6E" w:rsidP="00725365">
      <w:pPr>
        <w:pStyle w:val="normal0"/>
        <w:numPr>
          <w:ilvl w:val="0"/>
          <w:numId w:val="2"/>
        </w:numPr>
        <w:contextualSpacing/>
        <w:jc w:val="both"/>
        <w:rPr>
          <w:color w:val="222222"/>
          <w:sz w:val="24"/>
          <w:highlight w:val="white"/>
          <w:lang w:val="es-ES"/>
        </w:rPr>
      </w:pPr>
      <w:r w:rsidRPr="00725365">
        <w:rPr>
          <w:color w:val="222222"/>
          <w:sz w:val="24"/>
          <w:highlight w:val="white"/>
          <w:lang w:val="es-ES"/>
        </w:rPr>
        <w:t xml:space="preserve"> Desviaciones químicas, debidas a reacciones del absorbente con el disolvente</w:t>
      </w: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p>
    <w:p w:rsidR="00414E6E" w:rsidRPr="00725365" w:rsidRDefault="00414E6E" w:rsidP="00725365">
      <w:pPr>
        <w:pStyle w:val="normal0"/>
        <w:ind w:firstLine="360"/>
        <w:jc w:val="both"/>
        <w:rPr>
          <w:lang w:val="es-ES"/>
        </w:rPr>
      </w:pPr>
      <w:r w:rsidRPr="00725365">
        <w:rPr>
          <w:sz w:val="24"/>
          <w:lang w:val="es-ES"/>
        </w:rPr>
        <w:t>Para el cálculo de la energía de formación estándar se utiliza la siguiente ecuación:</w:t>
      </w:r>
    </w:p>
    <w:p w:rsidR="00414E6E" w:rsidRPr="00725365" w:rsidRDefault="00414E6E" w:rsidP="00725365">
      <w:pPr>
        <w:pStyle w:val="normal0"/>
        <w:ind w:firstLine="360"/>
        <w:jc w:val="both"/>
        <w:rPr>
          <w:lang w:val="es-ES"/>
        </w:rPr>
      </w:pPr>
      <w:r w:rsidRPr="00725365">
        <w:rPr>
          <w:sz w:val="24"/>
          <w:lang w:val="es-ES"/>
        </w:rPr>
        <w:t xml:space="preserve"> </w:t>
      </w:r>
    </w:p>
    <w:p w:rsidR="00414E6E" w:rsidRPr="00725365" w:rsidRDefault="00414E6E" w:rsidP="00725365">
      <w:pPr>
        <w:pStyle w:val="normal0"/>
        <w:ind w:firstLine="360"/>
        <w:jc w:val="both"/>
        <w:rPr>
          <w:lang w:val="es-ES"/>
        </w:rPr>
      </w:pPr>
      <w:r w:rsidRPr="00725365">
        <w:rPr>
          <w:sz w:val="24"/>
          <w:lang w:val="es-ES"/>
        </w:rPr>
        <w:t xml:space="preserve">                                                       </w:t>
      </w:r>
      <w:r w:rsidRPr="00725365">
        <w:rPr>
          <w:sz w:val="24"/>
          <w:lang w:val="es-ES"/>
        </w:rPr>
        <w:tab/>
        <w:t>∆Gº= - R T ln (K)</w:t>
      </w:r>
    </w:p>
    <w:p w:rsidR="00414E6E" w:rsidRPr="00725365" w:rsidRDefault="00414E6E" w:rsidP="00725365">
      <w:pPr>
        <w:pStyle w:val="normal0"/>
        <w:ind w:firstLine="360"/>
        <w:jc w:val="both"/>
        <w:rPr>
          <w:lang w:val="es-ES"/>
        </w:rPr>
      </w:pPr>
      <w:r w:rsidRPr="00725365">
        <w:rPr>
          <w:sz w:val="24"/>
          <w:lang w:val="es-ES"/>
        </w:rPr>
        <w:t xml:space="preserve"> </w:t>
      </w:r>
    </w:p>
    <w:p w:rsidR="00414E6E" w:rsidRPr="00725365" w:rsidRDefault="00414E6E" w:rsidP="00725365">
      <w:pPr>
        <w:pStyle w:val="normal0"/>
        <w:ind w:firstLine="360"/>
        <w:jc w:val="both"/>
        <w:rPr>
          <w:lang w:val="es-ES"/>
        </w:rPr>
      </w:pPr>
      <w:r w:rsidRPr="00725365">
        <w:rPr>
          <w:sz w:val="24"/>
          <w:lang w:val="es-ES"/>
        </w:rPr>
        <w:t>Donde R es la constante universal de los gases, T es la temperatura estándar (298 °K) y K es la constante de equilibrio del producto de la reacción, que puede determinarse de la siguiente manera:</w:t>
      </w:r>
    </w:p>
    <w:p w:rsidR="00414E6E" w:rsidRPr="00725365" w:rsidRDefault="00414E6E" w:rsidP="00725365">
      <w:pPr>
        <w:pStyle w:val="normal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sz w:val="24"/>
          <w:lang w:val="es-ES"/>
        </w:rPr>
        <w:t xml:space="preserve">                                                       </w:t>
      </w:r>
      <w:r w:rsidRPr="00725365">
        <w:rPr>
          <w:sz w:val="24"/>
          <w:lang w:val="es-ES"/>
        </w:rPr>
        <w:tab/>
        <w:t>K = [A</w:t>
      </w:r>
      <w:r w:rsidRPr="00725365">
        <w:rPr>
          <w:sz w:val="24"/>
          <w:vertAlign w:val="subscript"/>
          <w:lang w:val="es-ES"/>
        </w:rPr>
        <w:t xml:space="preserve">a </w:t>
      </w:r>
      <w:r w:rsidRPr="00725365">
        <w:rPr>
          <w:sz w:val="24"/>
          <w:lang w:val="es-ES"/>
        </w:rPr>
        <w:t>B</w:t>
      </w:r>
      <w:r w:rsidRPr="00725365">
        <w:rPr>
          <w:sz w:val="24"/>
          <w:vertAlign w:val="subscript"/>
          <w:lang w:val="es-ES"/>
        </w:rPr>
        <w:t>b</w:t>
      </w:r>
      <w:r w:rsidRPr="00725365">
        <w:rPr>
          <w:sz w:val="24"/>
          <w:lang w:val="es-ES"/>
        </w:rPr>
        <w:t>] / [A]</w:t>
      </w:r>
      <w:r w:rsidRPr="00725365">
        <w:rPr>
          <w:sz w:val="24"/>
          <w:vertAlign w:val="superscript"/>
          <w:lang w:val="es-ES"/>
        </w:rPr>
        <w:t>a</w:t>
      </w:r>
      <w:r w:rsidRPr="00725365">
        <w:rPr>
          <w:sz w:val="24"/>
          <w:lang w:val="es-ES"/>
        </w:rPr>
        <w:t xml:space="preserve"> [B]</w:t>
      </w:r>
      <w:r w:rsidRPr="00725365">
        <w:rPr>
          <w:sz w:val="24"/>
          <w:vertAlign w:val="superscript"/>
          <w:lang w:val="es-ES"/>
        </w:rPr>
        <w:t>b</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b/>
          <w:sz w:val="24"/>
          <w:lang w:val="es-ES"/>
        </w:rPr>
        <w:t>Procedimiento experimental</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sz w:val="24"/>
          <w:lang w:val="es-ES"/>
        </w:rPr>
        <w:t>Los pasos desarrollados fueron los de la guía de trabajos prácticos, con pequeñas modificaciones:</w:t>
      </w:r>
    </w:p>
    <w:p w:rsidR="00414E6E" w:rsidRPr="00725365" w:rsidRDefault="00414E6E" w:rsidP="00725365">
      <w:pPr>
        <w:pStyle w:val="normal0"/>
        <w:spacing w:after="120"/>
        <w:ind w:left="1060" w:firstLine="360"/>
        <w:jc w:val="both"/>
        <w:rPr>
          <w:lang w:val="es-ES"/>
        </w:rPr>
      </w:pPr>
      <w:r w:rsidRPr="00725365">
        <w:rPr>
          <w:sz w:val="24"/>
          <w:lang w:val="es-ES"/>
        </w:rPr>
        <w:t>-</w:t>
      </w:r>
      <w:r w:rsidRPr="00725365">
        <w:rPr>
          <w:rFonts w:ascii="Times New Roman" w:hAnsi="Times New Roman" w:cs="Times New Roman"/>
          <w:sz w:val="14"/>
          <w:lang w:val="es-ES"/>
        </w:rPr>
        <w:t xml:space="preserve">          </w:t>
      </w:r>
      <w:r w:rsidRPr="00725365">
        <w:rPr>
          <w:sz w:val="24"/>
          <w:lang w:val="es-ES"/>
        </w:rPr>
        <w:t>Parte  A): las mezclas de los 8 tubos de ensayo fueron de volumen final 5 ml. Las proporciones se respetaron.</w:t>
      </w:r>
    </w:p>
    <w:p w:rsidR="00414E6E" w:rsidRPr="00725365" w:rsidRDefault="00414E6E" w:rsidP="00725365">
      <w:pPr>
        <w:pStyle w:val="normal0"/>
        <w:spacing w:after="120"/>
        <w:ind w:left="1060" w:firstLine="360"/>
        <w:jc w:val="both"/>
        <w:rPr>
          <w:lang w:val="es-ES"/>
        </w:rPr>
      </w:pPr>
      <w:r w:rsidRPr="00725365">
        <w:rPr>
          <w:sz w:val="24"/>
          <w:lang w:val="es-ES"/>
        </w:rPr>
        <w:t>-</w:t>
      </w:r>
      <w:r w:rsidRPr="00725365">
        <w:rPr>
          <w:rFonts w:ascii="Times New Roman" w:hAnsi="Times New Roman" w:cs="Times New Roman"/>
          <w:sz w:val="14"/>
          <w:lang w:val="es-ES"/>
        </w:rPr>
        <w:t xml:space="preserve">          </w:t>
      </w:r>
      <w:r w:rsidRPr="00725365">
        <w:rPr>
          <w:sz w:val="24"/>
          <w:lang w:val="es-ES"/>
        </w:rPr>
        <w:t>Parte B): se cambiaron las proporciones en 2 de las 5 soluciones binarias. En vez de 6:4 y 4:6 se utilizaron mezclas de 9:1 y 1:9.</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sz w:val="24"/>
          <w:lang w:val="es-ES"/>
        </w:rPr>
        <w:t xml:space="preserve">Se emplearon </w:t>
      </w:r>
      <w:smartTag w:uri="urn:schemas-microsoft-com:office:smarttags" w:element="metricconverter">
        <w:smartTagPr>
          <w:attr w:name="ProductID" w:val="0,1209 g"/>
        </w:smartTagPr>
        <w:r w:rsidRPr="00725365">
          <w:rPr>
            <w:sz w:val="24"/>
            <w:lang w:val="es-ES"/>
          </w:rPr>
          <w:t>0,1209 g</w:t>
        </w:r>
      </w:smartTag>
      <w:r w:rsidRPr="00725365">
        <w:rPr>
          <w:sz w:val="24"/>
          <w:lang w:val="es-ES"/>
        </w:rPr>
        <w:t xml:space="preserve"> de sulfato férrico de amonio dodecahidratado para obtener la solución de iones férricos.</w:t>
      </w:r>
    </w:p>
    <w:p w:rsidR="00414E6E" w:rsidRPr="00725365" w:rsidRDefault="00414E6E" w:rsidP="00725365">
      <w:pPr>
        <w:pStyle w:val="normal0"/>
        <w:spacing w:after="120"/>
        <w:ind w:firstLine="360"/>
        <w:jc w:val="both"/>
        <w:rPr>
          <w:lang w:val="es-ES"/>
        </w:rPr>
      </w:pPr>
      <w:r w:rsidRPr="00725365">
        <w:rPr>
          <w:sz w:val="24"/>
          <w:lang w:val="es-ES"/>
        </w:rPr>
        <w:t xml:space="preserve"> El espectrofotómetro utilizado fue el</w:t>
      </w:r>
      <w:r w:rsidRPr="00725365">
        <w:rPr>
          <w:color w:val="222222"/>
          <w:sz w:val="20"/>
          <w:highlight w:val="white"/>
          <w:lang w:val="es-ES"/>
        </w:rPr>
        <w:t xml:space="preserve"> </w:t>
      </w:r>
      <w:r w:rsidRPr="00725365">
        <w:rPr>
          <w:color w:val="222222"/>
          <w:sz w:val="24"/>
          <w:highlight w:val="white"/>
          <w:lang w:val="es-ES"/>
        </w:rPr>
        <w:t>Shimadzu, modelo UV-1603</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b/>
          <w:sz w:val="24"/>
          <w:lang w:val="es-ES"/>
        </w:rPr>
        <w:t>Resultados</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r w:rsidRPr="00725365">
        <w:rPr>
          <w:sz w:val="24"/>
          <w:lang w:val="es-ES"/>
        </w:rPr>
        <w:t>El tubo que presentó el color más intenso fue el nº</w:t>
      </w:r>
      <w:r>
        <w:rPr>
          <w:sz w:val="24"/>
          <w:lang w:val="es-ES"/>
        </w:rPr>
        <w:t xml:space="preserve"> </w:t>
      </w:r>
      <w:r w:rsidRPr="00725365">
        <w:rPr>
          <w:sz w:val="24"/>
          <w:lang w:val="es-ES"/>
        </w:rPr>
        <w:t>4, cuya proporción era de 1:1. Correspondió también al mayor valor de absorbancia. La fórmula empírica del complejo entonces es [Fe (C</w:t>
      </w:r>
      <w:r w:rsidRPr="00725365">
        <w:rPr>
          <w:sz w:val="24"/>
          <w:vertAlign w:val="subscript"/>
          <w:lang w:val="es-ES"/>
        </w:rPr>
        <w:t>7</w:t>
      </w:r>
      <w:r w:rsidRPr="00725365">
        <w:rPr>
          <w:sz w:val="24"/>
          <w:lang w:val="es-ES"/>
        </w:rPr>
        <w:t>H</w:t>
      </w:r>
      <w:r w:rsidRPr="00725365">
        <w:rPr>
          <w:sz w:val="24"/>
          <w:vertAlign w:val="subscript"/>
          <w:lang w:val="es-ES"/>
        </w:rPr>
        <w:t>6</w:t>
      </w:r>
      <w:r w:rsidRPr="00725365">
        <w:rPr>
          <w:sz w:val="24"/>
          <w:lang w:val="es-ES"/>
        </w:rPr>
        <w:t>O</w:t>
      </w:r>
      <w:r w:rsidRPr="00725365">
        <w:rPr>
          <w:sz w:val="24"/>
          <w:vertAlign w:val="subscript"/>
          <w:lang w:val="es-ES"/>
        </w:rPr>
        <w:t>3</w:t>
      </w:r>
      <w:r w:rsidRPr="00725365">
        <w:rPr>
          <w:sz w:val="24"/>
          <w:lang w:val="es-ES"/>
        </w:rPr>
        <w:t>)]. El valor promedio de la constante K obtenido es de 3,6536x10</w:t>
      </w:r>
      <w:r w:rsidRPr="00725365">
        <w:rPr>
          <w:sz w:val="24"/>
          <w:vertAlign w:val="superscript"/>
          <w:lang w:val="es-ES"/>
        </w:rPr>
        <w:t xml:space="preserve">5 </w:t>
      </w:r>
      <w:r w:rsidRPr="00725365">
        <w:rPr>
          <w:sz w:val="24"/>
          <w:lang w:val="es-ES"/>
        </w:rPr>
        <w:t xml:space="preserve">, y la energía libre de formación estándar del complejo calculada es </w:t>
      </w:r>
      <w:r w:rsidRPr="00725365">
        <w:rPr>
          <w:sz w:val="24"/>
          <w:lang w:val="es-ES"/>
        </w:rPr>
        <w:tab/>
      </w:r>
      <w:r>
        <w:rPr>
          <w:sz w:val="24"/>
          <w:lang w:val="es-ES"/>
        </w:rPr>
        <w:br w:type="textWrapping" w:clear="all"/>
      </w:r>
      <w:r w:rsidRPr="00725365">
        <w:rPr>
          <w:sz w:val="24"/>
          <w:lang w:val="es-ES"/>
        </w:rPr>
        <w:t>-29,7413 KJ/mol.</w:t>
      </w: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ind w:firstLine="360"/>
        <w:rPr>
          <w:lang w:val="es-ES"/>
        </w:rPr>
      </w:pPr>
    </w:p>
    <w:p w:rsidR="00414E6E" w:rsidRPr="00725365" w:rsidRDefault="00414E6E" w:rsidP="00725365">
      <w:pPr>
        <w:pStyle w:val="normal0"/>
        <w:spacing w:after="120"/>
        <w:ind w:firstLine="360"/>
        <w:jc w:val="both"/>
        <w:rPr>
          <w:lang w:val="es-ES"/>
        </w:rPr>
      </w:pPr>
      <w:r w:rsidRPr="00725365">
        <w:rPr>
          <w:sz w:val="24"/>
          <w:lang w:val="es-ES"/>
        </w:rPr>
        <w:t xml:space="preserve"> </w:t>
      </w:r>
    </w:p>
    <w:p w:rsidR="00414E6E" w:rsidRPr="00725365" w:rsidRDefault="00414E6E" w:rsidP="00725365">
      <w:pPr>
        <w:pStyle w:val="normal0"/>
        <w:spacing w:after="120"/>
        <w:ind w:firstLine="360"/>
        <w:jc w:val="both"/>
        <w:rPr>
          <w:lang w:val="es-ES"/>
        </w:rPr>
      </w:pPr>
    </w:p>
    <w:p w:rsidR="00414E6E" w:rsidRPr="00725365" w:rsidRDefault="00414E6E" w:rsidP="00C12207">
      <w:pPr>
        <w:pStyle w:val="normal0"/>
        <w:rPr>
          <w:lang w:val="es-ES"/>
        </w:rPr>
      </w:pPr>
      <w:r w:rsidRPr="00725365">
        <w:rPr>
          <w:lang w:val="es-ES"/>
        </w:rPr>
        <w:br w:type="page"/>
      </w:r>
      <w:r w:rsidRPr="00725365">
        <w:rPr>
          <w:b/>
          <w:sz w:val="24"/>
          <w:lang w:val="es-ES"/>
        </w:rPr>
        <w:t>Anexo</w: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jc w:val="both"/>
        <w:rPr>
          <w:lang w:val="es-ES"/>
        </w:rPr>
      </w:pPr>
      <w:r w:rsidRPr="00725365">
        <w:rPr>
          <w:sz w:val="24"/>
          <w:u w:val="single"/>
          <w:lang w:val="es-ES"/>
        </w:rPr>
        <w:t>Gráfico 1: espectro de absorbancia del complejo (tubo 4)</w:t>
      </w:r>
    </w:p>
    <w:p w:rsidR="00414E6E" w:rsidRPr="00C12207" w:rsidRDefault="00414E6E">
      <w:pPr>
        <w:pStyle w:val="normal0"/>
        <w:spacing w:after="120"/>
        <w:jc w:val="center"/>
        <w:rPr>
          <w:lang w:val="es-ES"/>
        </w:rPr>
      </w:pPr>
      <w:r>
        <w:rPr>
          <w:noProof/>
        </w:rPr>
        <w:pict>
          <v:shape id="image05.png" o:spid="_x0000_i1026" type="#_x0000_t75" alt="graf1.PNG" style="width:371.25pt;height:228.75pt;visibility:visible">
            <v:imagedata r:id="rId6" o:title=""/>
          </v:shape>
        </w:pict>
      </w:r>
    </w:p>
    <w:p w:rsidR="00414E6E" w:rsidRPr="00725365" w:rsidRDefault="00414E6E">
      <w:pPr>
        <w:pStyle w:val="normal0"/>
        <w:spacing w:after="120"/>
        <w:jc w:val="both"/>
        <w:rPr>
          <w:lang w:val="es-ES"/>
        </w:rPr>
      </w:pPr>
      <w:r w:rsidRPr="00725365">
        <w:rPr>
          <w:sz w:val="24"/>
          <w:lang w:val="es-ES"/>
        </w:rPr>
        <w:t xml:space="preserve"> </w:t>
      </w:r>
    </w:p>
    <w:p w:rsidR="00414E6E" w:rsidRPr="00725365" w:rsidRDefault="00414E6E">
      <w:pPr>
        <w:pStyle w:val="normal0"/>
        <w:spacing w:after="120"/>
        <w:jc w:val="both"/>
        <w:rPr>
          <w:lang w:val="es-ES"/>
        </w:rPr>
      </w:pPr>
      <w:r w:rsidRPr="00725365">
        <w:rPr>
          <w:sz w:val="24"/>
          <w:u w:val="single"/>
          <w:lang w:val="es-ES"/>
        </w:rPr>
        <w:t>Tabla 1: determinación de la estequiometría de la reacción</w:t>
      </w:r>
    </w:p>
    <w:tbl>
      <w:tblPr>
        <w:tblW w:w="7020" w:type="dxa"/>
        <w:tblLayout w:type="fixed"/>
        <w:tblLook w:val="0000"/>
      </w:tblPr>
      <w:tblGrid>
        <w:gridCol w:w="1215"/>
        <w:gridCol w:w="1215"/>
        <w:gridCol w:w="4590"/>
      </w:tblGrid>
      <w:tr w:rsidR="00414E6E" w:rsidTr="00186F99">
        <w:tc>
          <w:tcPr>
            <w:tcW w:w="1215" w:type="dxa"/>
            <w:tcBorders>
              <w:bottom w:val="single" w:sz="8" w:space="0" w:color="000000"/>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center"/>
            </w:pPr>
            <w:r w:rsidRPr="00C12207">
              <w:rPr>
                <w:sz w:val="24"/>
                <w:lang w:val="es-ES"/>
              </w:rPr>
              <w:t>V</w:t>
            </w:r>
            <w:r w:rsidRPr="00C12207">
              <w:rPr>
                <w:sz w:val="24"/>
                <w:vertAlign w:val="subscript"/>
                <w:lang w:val="es-ES"/>
              </w:rPr>
              <w:t>(Fe)</w:t>
            </w:r>
            <w:r w:rsidRPr="00C12207">
              <w:rPr>
                <w:sz w:val="24"/>
                <w:lang w:val="es-ES"/>
              </w:rPr>
              <w:t xml:space="preserve"> </w:t>
            </w:r>
            <w:r w:rsidRPr="00186F99">
              <w:rPr>
                <w:sz w:val="24"/>
              </w:rPr>
              <w:t>(ml)</w:t>
            </w:r>
          </w:p>
        </w:tc>
        <w:tc>
          <w:tcPr>
            <w:tcW w:w="1215" w:type="dxa"/>
            <w:tcBorders>
              <w:bottom w:val="single" w:sz="8" w:space="0" w:color="000000"/>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center"/>
            </w:pPr>
            <w:r w:rsidRPr="00186F99">
              <w:rPr>
                <w:sz w:val="24"/>
              </w:rPr>
              <w:t>V</w:t>
            </w:r>
            <w:r w:rsidRPr="00186F99">
              <w:rPr>
                <w:sz w:val="24"/>
                <w:vertAlign w:val="subscript"/>
              </w:rPr>
              <w:t>(Ac.)</w:t>
            </w:r>
            <w:r w:rsidRPr="00186F99">
              <w:rPr>
                <w:sz w:val="24"/>
              </w:rPr>
              <w:t xml:space="preserve"> (ml)</w:t>
            </w:r>
          </w:p>
        </w:tc>
        <w:tc>
          <w:tcPr>
            <w:tcW w:w="4590" w:type="dxa"/>
            <w:tcBorders>
              <w:bottom w:val="single" w:sz="8" w:space="0" w:color="000000"/>
            </w:tcBorders>
            <w:tcMar>
              <w:top w:w="100" w:type="dxa"/>
              <w:left w:w="80" w:type="dxa"/>
              <w:bottom w:w="100" w:type="dxa"/>
              <w:right w:w="80" w:type="dxa"/>
            </w:tcMar>
            <w:vAlign w:val="bottom"/>
          </w:tcPr>
          <w:p w:rsidR="00414E6E" w:rsidRDefault="00414E6E" w:rsidP="00186F99">
            <w:pPr>
              <w:pStyle w:val="normal0"/>
              <w:ind w:left="80"/>
              <w:jc w:val="center"/>
            </w:pPr>
            <w:r w:rsidRPr="00186F99">
              <w:rPr>
                <w:sz w:val="24"/>
              </w:rPr>
              <w:t>Absorbancia (526.2 nm) (*)</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1</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4</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0,35455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1,5</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3,5</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0,54805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2</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3</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0,63815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2,5</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2,5</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0,64545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3</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2</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0,57385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3,5</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1,5</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0,46015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4</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1</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0,31225</w:t>
            </w:r>
          </w:p>
        </w:tc>
      </w:tr>
      <w:tr w:rsidR="00414E6E" w:rsidTr="00186F99">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w:t>
            </w:r>
          </w:p>
        </w:tc>
        <w:tc>
          <w:tcPr>
            <w:tcW w:w="1215" w:type="dxa"/>
            <w:tcBorders>
              <w:right w:val="single" w:sz="8" w:space="0" w:color="000000"/>
            </w:tcBorders>
            <w:tcMar>
              <w:top w:w="100" w:type="dxa"/>
              <w:left w:w="80" w:type="dxa"/>
              <w:bottom w:w="100" w:type="dxa"/>
              <w:right w:w="80" w:type="dxa"/>
            </w:tcMar>
            <w:vAlign w:val="bottom"/>
          </w:tcPr>
          <w:p w:rsidR="00414E6E" w:rsidRDefault="00414E6E" w:rsidP="00186F99">
            <w:pPr>
              <w:pStyle w:val="normal0"/>
              <w:ind w:left="80"/>
              <w:jc w:val="right"/>
            </w:pPr>
            <w:r w:rsidRPr="00186F99">
              <w:rPr>
                <w:sz w:val="24"/>
              </w:rPr>
              <w:t>5</w:t>
            </w:r>
          </w:p>
        </w:tc>
        <w:tc>
          <w:tcPr>
            <w:tcW w:w="4590" w:type="dxa"/>
            <w:tcMar>
              <w:top w:w="100" w:type="dxa"/>
              <w:left w:w="80" w:type="dxa"/>
              <w:bottom w:w="100" w:type="dxa"/>
              <w:right w:w="80" w:type="dxa"/>
            </w:tcMar>
            <w:vAlign w:val="bottom"/>
          </w:tcPr>
          <w:p w:rsidR="00414E6E" w:rsidRDefault="00414E6E" w:rsidP="00186F99">
            <w:pPr>
              <w:pStyle w:val="normal0"/>
              <w:ind w:left="80"/>
              <w:jc w:val="right"/>
            </w:pPr>
            <w:r w:rsidRPr="00186F99">
              <w:rPr>
                <w:sz w:val="24"/>
              </w:rPr>
              <w:t>0,08085</w:t>
            </w:r>
          </w:p>
        </w:tc>
      </w:tr>
    </w:tbl>
    <w:p w:rsidR="00414E6E" w:rsidRDefault="00414E6E">
      <w:pPr>
        <w:pStyle w:val="normal0"/>
        <w:spacing w:after="120"/>
        <w:jc w:val="both"/>
      </w:pPr>
      <w:r>
        <w:rPr>
          <w:sz w:val="24"/>
          <w:u w:val="single"/>
        </w:rPr>
        <w:t xml:space="preserve"> </w:t>
      </w:r>
      <w:r>
        <w:rPr>
          <w:sz w:val="24"/>
        </w:rPr>
        <w:t xml:space="preserve"> </w:t>
      </w:r>
    </w:p>
    <w:p w:rsidR="00414E6E" w:rsidRPr="00725365" w:rsidRDefault="00414E6E">
      <w:pPr>
        <w:pStyle w:val="normal0"/>
        <w:spacing w:after="120"/>
        <w:jc w:val="both"/>
        <w:rPr>
          <w:lang w:val="es-ES"/>
        </w:rPr>
      </w:pPr>
      <w:r w:rsidRPr="00725365">
        <w:rPr>
          <w:sz w:val="24"/>
          <w:lang w:val="es-ES"/>
        </w:rPr>
        <w:t xml:space="preserve">(*) Absorbancia final a la cual ya se le restó el blanco obtenido (0,081) </w:t>
      </w:r>
    </w:p>
    <w:p w:rsidR="00414E6E" w:rsidRPr="00725365" w:rsidRDefault="00414E6E">
      <w:pPr>
        <w:pStyle w:val="normal0"/>
        <w:spacing w:after="120"/>
        <w:jc w:val="both"/>
        <w:rPr>
          <w:lang w:val="es-ES"/>
        </w:rPr>
      </w:pPr>
    </w:p>
    <w:p w:rsidR="00414E6E" w:rsidRPr="00725365" w:rsidRDefault="00414E6E">
      <w:pPr>
        <w:pStyle w:val="normal0"/>
        <w:spacing w:after="120"/>
        <w:jc w:val="both"/>
        <w:rPr>
          <w:lang w:val="es-ES"/>
        </w:rPr>
      </w:pPr>
      <w:r w:rsidRPr="00725365">
        <w:rPr>
          <w:sz w:val="24"/>
          <w:u w:val="single"/>
          <w:lang w:val="es-ES"/>
        </w:rPr>
        <w:t>Gráfico 2: absorbancia de soluciones preparadas con distinta relación V</w:t>
      </w:r>
      <w:r w:rsidRPr="00725365">
        <w:rPr>
          <w:sz w:val="24"/>
          <w:u w:val="single"/>
          <w:vertAlign w:val="subscript"/>
          <w:lang w:val="es-ES"/>
        </w:rPr>
        <w:t>(fe)</w:t>
      </w:r>
      <w:r w:rsidRPr="00725365">
        <w:rPr>
          <w:sz w:val="24"/>
          <w:u w:val="single"/>
          <w:lang w:val="es-ES"/>
        </w:rPr>
        <w:t>/V</w:t>
      </w:r>
      <w:r w:rsidRPr="00725365">
        <w:rPr>
          <w:sz w:val="24"/>
          <w:u w:val="single"/>
          <w:vertAlign w:val="subscript"/>
          <w:lang w:val="es-ES"/>
        </w:rPr>
        <w:t>(ac.)</w:t>
      </w:r>
    </w:p>
    <w:p w:rsidR="00414E6E" w:rsidRDefault="00414E6E">
      <w:pPr>
        <w:pStyle w:val="normal0"/>
        <w:spacing w:after="120"/>
        <w:jc w:val="center"/>
      </w:pPr>
      <w:r>
        <w:rPr>
          <w:noProof/>
        </w:rPr>
        <w:pict>
          <v:shape id="image07.png" o:spid="_x0000_i1027" type="#_x0000_t75" alt="tp2.PNG" style="width:363pt;height:225.75pt;visibility:visible">
            <v:imagedata r:id="rId7" o:title=""/>
          </v:shape>
        </w:pic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jc w:val="both"/>
        <w:rPr>
          <w:lang w:val="es-ES"/>
        </w:rPr>
      </w:pPr>
      <w:r w:rsidRPr="00725365">
        <w:rPr>
          <w:sz w:val="24"/>
          <w:u w:val="single"/>
          <w:lang w:val="es-ES"/>
        </w:rPr>
        <w:t>Tabla 2: Datos para curva de calibración</w:t>
      </w:r>
    </w:p>
    <w:p w:rsidR="00414E6E" w:rsidRPr="00725365" w:rsidRDefault="00414E6E">
      <w:pPr>
        <w:pStyle w:val="normal0"/>
        <w:spacing w:after="120"/>
        <w:jc w:val="both"/>
        <w:rPr>
          <w:lang w:val="es-ES"/>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60"/>
        <w:gridCol w:w="2205"/>
        <w:gridCol w:w="2235"/>
        <w:gridCol w:w="2280"/>
      </w:tblGrid>
      <w:tr w:rsidR="00414E6E" w:rsidTr="00186F99">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V</w:t>
            </w:r>
            <w:r w:rsidRPr="00186F99">
              <w:rPr>
                <w:sz w:val="24"/>
                <w:vertAlign w:val="subscript"/>
              </w:rPr>
              <w:t xml:space="preserve">(ac) </w:t>
            </w:r>
            <w:r w:rsidRPr="00186F99">
              <w:rPr>
                <w:sz w:val="24"/>
              </w:rPr>
              <w:t>(ml)</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[Fe](M)</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Abs (526,2 nm)</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[complejo](M)</w:t>
            </w:r>
          </w:p>
        </w:tc>
      </w:tr>
      <w:tr w:rsidR="00414E6E" w:rsidTr="00186F99">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1</w:t>
            </w:r>
          </w:p>
        </w:tc>
        <w:tc>
          <w:tcPr>
            <w:tcW w:w="220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0,0009</w:t>
            </w:r>
          </w:p>
        </w:tc>
        <w:tc>
          <w:tcPr>
            <w:tcW w:w="223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1,40305</w:t>
            </w:r>
          </w:p>
        </w:tc>
        <w:tc>
          <w:tcPr>
            <w:tcW w:w="2280"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9,12 x 10</w:t>
            </w:r>
            <w:r w:rsidRPr="00186F99">
              <w:rPr>
                <w:sz w:val="24"/>
                <w:vertAlign w:val="superscript"/>
              </w:rPr>
              <w:t>-4</w:t>
            </w:r>
          </w:p>
        </w:tc>
      </w:tr>
      <w:tr w:rsidR="00414E6E" w:rsidTr="00186F99">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3</w:t>
            </w:r>
          </w:p>
        </w:tc>
        <w:tc>
          <w:tcPr>
            <w:tcW w:w="220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0,0007</w:t>
            </w:r>
          </w:p>
        </w:tc>
        <w:tc>
          <w:tcPr>
            <w:tcW w:w="223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1,10285</w:t>
            </w:r>
          </w:p>
        </w:tc>
        <w:tc>
          <w:tcPr>
            <w:tcW w:w="2280"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7,17 x 10</w:t>
            </w:r>
            <w:r w:rsidRPr="00186F99">
              <w:rPr>
                <w:sz w:val="24"/>
                <w:vertAlign w:val="superscript"/>
              </w:rPr>
              <w:t>-4</w:t>
            </w:r>
          </w:p>
        </w:tc>
      </w:tr>
      <w:tr w:rsidR="00414E6E" w:rsidTr="00186F99">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5</w:t>
            </w:r>
          </w:p>
        </w:tc>
        <w:tc>
          <w:tcPr>
            <w:tcW w:w="220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0,0005</w:t>
            </w:r>
          </w:p>
        </w:tc>
        <w:tc>
          <w:tcPr>
            <w:tcW w:w="223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0,81475</w:t>
            </w:r>
          </w:p>
        </w:tc>
        <w:tc>
          <w:tcPr>
            <w:tcW w:w="2280"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5,29 x 10</w:t>
            </w:r>
            <w:r w:rsidRPr="00186F99">
              <w:rPr>
                <w:sz w:val="24"/>
                <w:vertAlign w:val="superscript"/>
              </w:rPr>
              <w:t>-4</w:t>
            </w:r>
          </w:p>
        </w:tc>
      </w:tr>
      <w:tr w:rsidR="00414E6E" w:rsidTr="00186F99">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7</w:t>
            </w:r>
          </w:p>
        </w:tc>
        <w:tc>
          <w:tcPr>
            <w:tcW w:w="220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0,0003</w:t>
            </w:r>
          </w:p>
        </w:tc>
        <w:tc>
          <w:tcPr>
            <w:tcW w:w="223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0,48165</w:t>
            </w:r>
          </w:p>
        </w:tc>
        <w:tc>
          <w:tcPr>
            <w:tcW w:w="2280"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3,13 x 10</w:t>
            </w:r>
            <w:r w:rsidRPr="00186F99">
              <w:rPr>
                <w:sz w:val="24"/>
                <w:vertAlign w:val="superscript"/>
              </w:rPr>
              <w:t>-4</w:t>
            </w:r>
          </w:p>
        </w:tc>
      </w:tr>
      <w:tr w:rsidR="00414E6E" w:rsidTr="00186F99">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9</w:t>
            </w:r>
          </w:p>
        </w:tc>
        <w:tc>
          <w:tcPr>
            <w:tcW w:w="220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0,0001</w:t>
            </w:r>
          </w:p>
        </w:tc>
        <w:tc>
          <w:tcPr>
            <w:tcW w:w="2235"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0,17585</w:t>
            </w:r>
          </w:p>
        </w:tc>
        <w:tc>
          <w:tcPr>
            <w:tcW w:w="2280" w:type="dxa"/>
            <w:tcBorders>
              <w:bottom w:val="single" w:sz="8" w:space="0" w:color="000000"/>
              <w:right w:val="single" w:sz="8" w:space="0" w:color="000000"/>
            </w:tcBorders>
            <w:tcMar>
              <w:top w:w="100" w:type="dxa"/>
              <w:left w:w="100" w:type="dxa"/>
              <w:bottom w:w="100" w:type="dxa"/>
              <w:right w:w="100" w:type="dxa"/>
            </w:tcMar>
          </w:tcPr>
          <w:p w:rsidR="00414E6E" w:rsidRDefault="00414E6E" w:rsidP="00186F99">
            <w:pPr>
              <w:pStyle w:val="normal0"/>
              <w:jc w:val="center"/>
            </w:pPr>
            <w:r w:rsidRPr="00186F99">
              <w:rPr>
                <w:sz w:val="24"/>
              </w:rPr>
              <w:t>1,14 x 10</w:t>
            </w:r>
            <w:r w:rsidRPr="00186F99">
              <w:rPr>
                <w:sz w:val="24"/>
                <w:vertAlign w:val="superscript"/>
              </w:rPr>
              <w:t>-4</w:t>
            </w:r>
          </w:p>
        </w:tc>
      </w:tr>
    </w:tbl>
    <w:p w:rsidR="00414E6E" w:rsidRDefault="00414E6E">
      <w:pPr>
        <w:pStyle w:val="normal0"/>
        <w:spacing w:after="120"/>
        <w:jc w:val="both"/>
      </w:pPr>
    </w:p>
    <w:p w:rsidR="00414E6E" w:rsidRDefault="00414E6E">
      <w:pPr>
        <w:pStyle w:val="normal0"/>
      </w:pPr>
    </w:p>
    <w:p w:rsidR="00414E6E" w:rsidRDefault="00414E6E">
      <w:pPr>
        <w:pStyle w:val="normal0"/>
        <w:spacing w:after="120"/>
        <w:ind w:firstLine="360"/>
        <w:jc w:val="both"/>
      </w:pPr>
      <w:r>
        <w:rPr>
          <w:sz w:val="24"/>
        </w:rPr>
        <w:t xml:space="preserve"> </w:t>
      </w:r>
    </w:p>
    <w:p w:rsidR="00414E6E" w:rsidRDefault="00414E6E">
      <w:pPr>
        <w:pStyle w:val="normal0"/>
        <w:spacing w:after="120"/>
        <w:jc w:val="both"/>
      </w:pPr>
    </w:p>
    <w:p w:rsidR="00414E6E" w:rsidRDefault="00414E6E">
      <w:pPr>
        <w:pStyle w:val="normal0"/>
      </w:pPr>
      <w:r>
        <w:br w:type="page"/>
      </w:r>
    </w:p>
    <w:p w:rsidR="00414E6E" w:rsidRDefault="00414E6E">
      <w:pPr>
        <w:pStyle w:val="normal0"/>
        <w:spacing w:after="120"/>
        <w:jc w:val="both"/>
      </w:pPr>
    </w:p>
    <w:p w:rsidR="00414E6E" w:rsidRDefault="00414E6E">
      <w:pPr>
        <w:pStyle w:val="normal0"/>
        <w:spacing w:after="120"/>
        <w:jc w:val="both"/>
      </w:pPr>
      <w:r>
        <w:rPr>
          <w:sz w:val="24"/>
          <w:u w:val="single"/>
        </w:rPr>
        <w:t>Gráfico 3: determinación de ε</w:t>
      </w:r>
    </w:p>
    <w:p w:rsidR="00414E6E" w:rsidRDefault="00414E6E">
      <w:pPr>
        <w:pStyle w:val="normal0"/>
        <w:spacing w:after="120"/>
        <w:jc w:val="center"/>
      </w:pPr>
      <w:r>
        <w:rPr>
          <w:noProof/>
        </w:rPr>
        <w:pict>
          <v:shape id="image04.png" o:spid="_x0000_i1028" type="#_x0000_t75" alt="tp2-2.PNG" style="width:327.75pt;height:200.25pt;visibility:visible">
            <v:imagedata r:id="rId8" o:title=""/>
          </v:shape>
        </w:pic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jc w:val="both"/>
        <w:rPr>
          <w:lang w:val="es-ES"/>
        </w:rPr>
      </w:pPr>
      <w:r w:rsidRPr="00725365">
        <w:rPr>
          <w:sz w:val="24"/>
          <w:u w:val="single"/>
          <w:lang w:val="es-ES"/>
        </w:rPr>
        <w:t>Cálculo de K</w:t>
      </w:r>
    </w:p>
    <w:p w:rsidR="00414E6E" w:rsidRPr="00725365" w:rsidRDefault="00414E6E">
      <w:pPr>
        <w:pStyle w:val="normal0"/>
        <w:spacing w:after="120"/>
        <w:jc w:val="both"/>
        <w:rPr>
          <w:lang w:val="es-ES"/>
        </w:rPr>
      </w:pPr>
      <w:r w:rsidRPr="00725365">
        <w:rPr>
          <w:sz w:val="24"/>
          <w:lang w:val="es-ES"/>
        </w:rPr>
        <w:t xml:space="preserve"> </w:t>
      </w:r>
    </w:p>
    <w:p w:rsidR="00414E6E" w:rsidRPr="00725365" w:rsidRDefault="00414E6E">
      <w:pPr>
        <w:pStyle w:val="normal0"/>
        <w:spacing w:after="120"/>
        <w:ind w:firstLine="360"/>
        <w:jc w:val="both"/>
        <w:rPr>
          <w:lang w:val="es-ES"/>
        </w:rPr>
      </w:pPr>
      <w:r w:rsidRPr="00725365">
        <w:rPr>
          <w:sz w:val="24"/>
          <w:lang w:val="es-ES"/>
        </w:rPr>
        <w:t>Para calcular K se tuvieron en cuenta a los tubos 4, 5 y 6. El resto presentaba en los cálculos valores de concentraciones de solutos no reaccionantes negativos, cosa imposible.</w: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ind w:firstLine="360"/>
        <w:jc w:val="both"/>
        <w:rPr>
          <w:lang w:val="es-ES"/>
        </w:rPr>
      </w:pPr>
      <w:r w:rsidRPr="00725365">
        <w:rPr>
          <w:sz w:val="24"/>
          <w:lang w:val="es-ES"/>
        </w:rPr>
        <w:t xml:space="preserve">                                     </w:t>
      </w:r>
      <w:r w:rsidRPr="00725365">
        <w:rPr>
          <w:sz w:val="24"/>
          <w:lang w:val="es-ES"/>
        </w:rPr>
        <w:tab/>
        <w:t>K</w:t>
      </w:r>
      <w:r w:rsidRPr="00725365">
        <w:rPr>
          <w:sz w:val="24"/>
          <w:vertAlign w:val="subscript"/>
          <w:lang w:val="es-ES"/>
        </w:rPr>
        <w:t>4,5,6</w:t>
      </w:r>
      <w:r w:rsidRPr="00725365">
        <w:rPr>
          <w:sz w:val="24"/>
          <w:lang w:val="es-ES"/>
        </w:rPr>
        <w:t xml:space="preserve"> = [complejo] / [Fe]</w:t>
      </w:r>
      <w:r w:rsidRPr="00725365">
        <w:rPr>
          <w:sz w:val="24"/>
          <w:vertAlign w:val="superscript"/>
          <w:lang w:val="es-ES"/>
        </w:rPr>
        <w:t>1</w:t>
      </w:r>
      <w:r w:rsidRPr="00725365">
        <w:rPr>
          <w:sz w:val="24"/>
          <w:lang w:val="es-ES"/>
        </w:rPr>
        <w:t xml:space="preserve"> [Ac.]</w:t>
      </w:r>
      <w:r w:rsidRPr="00725365">
        <w:rPr>
          <w:sz w:val="24"/>
          <w:vertAlign w:val="superscript"/>
          <w:lang w:val="es-ES"/>
        </w:rPr>
        <w:t>1</w: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ind w:left="2120" w:firstLine="700"/>
        <w:jc w:val="both"/>
        <w:rPr>
          <w:lang w:val="es-ES"/>
        </w:rPr>
      </w:pPr>
      <w:r w:rsidRPr="00725365">
        <w:rPr>
          <w:sz w:val="24"/>
          <w:lang w:val="es-ES"/>
        </w:rPr>
        <w:t>[Fe] = [Fe]</w:t>
      </w:r>
      <w:r w:rsidRPr="00725365">
        <w:rPr>
          <w:sz w:val="24"/>
          <w:vertAlign w:val="superscript"/>
          <w:lang w:val="es-ES"/>
        </w:rPr>
        <w:t>o</w:t>
      </w:r>
      <w:r w:rsidRPr="00725365">
        <w:rPr>
          <w:sz w:val="24"/>
          <w:lang w:val="es-ES"/>
        </w:rPr>
        <w:t xml:space="preserve"> - [complejo]</w:t>
      </w:r>
    </w:p>
    <w:p w:rsidR="00414E6E" w:rsidRPr="00725365" w:rsidRDefault="00414E6E">
      <w:pPr>
        <w:pStyle w:val="normal0"/>
        <w:spacing w:after="120"/>
        <w:ind w:left="2120" w:firstLine="700"/>
        <w:jc w:val="both"/>
        <w:rPr>
          <w:lang w:val="es-ES"/>
        </w:rPr>
      </w:pPr>
      <w:r w:rsidRPr="00725365">
        <w:rPr>
          <w:sz w:val="24"/>
          <w:lang w:val="es-ES"/>
        </w:rPr>
        <w:t>[Ac.] = [Ac.]</w:t>
      </w:r>
      <w:r w:rsidRPr="00725365">
        <w:rPr>
          <w:sz w:val="24"/>
          <w:vertAlign w:val="superscript"/>
          <w:lang w:val="es-ES"/>
        </w:rPr>
        <w:t>o</w:t>
      </w:r>
      <w:r w:rsidRPr="00725365">
        <w:rPr>
          <w:sz w:val="24"/>
          <w:lang w:val="es-ES"/>
        </w:rPr>
        <w:t xml:space="preserve"> - [complejo]</w: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ind w:firstLine="360"/>
        <w:jc w:val="both"/>
        <w:rPr>
          <w:lang w:val="es-ES"/>
        </w:rPr>
      </w:pPr>
      <w:r w:rsidRPr="00725365">
        <w:rPr>
          <w:sz w:val="24"/>
          <w:lang w:val="es-ES"/>
        </w:rPr>
        <w:t xml:space="preserve">                                     </w:t>
      </w:r>
      <w:r w:rsidRPr="00725365">
        <w:rPr>
          <w:sz w:val="24"/>
          <w:lang w:val="es-ES"/>
        </w:rPr>
        <w:tab/>
      </w:r>
      <w:r w:rsidRPr="00725365">
        <w:rPr>
          <w:b/>
          <w:sz w:val="24"/>
          <w:lang w:val="es-ES"/>
        </w:rPr>
        <w:t>K</w:t>
      </w:r>
      <w:r w:rsidRPr="00725365">
        <w:rPr>
          <w:b/>
          <w:sz w:val="24"/>
          <w:vertAlign w:val="subscript"/>
          <w:lang w:val="es-ES"/>
        </w:rPr>
        <w:t>prom.</w:t>
      </w:r>
      <w:r w:rsidRPr="00725365">
        <w:rPr>
          <w:b/>
          <w:sz w:val="24"/>
          <w:lang w:val="es-ES"/>
        </w:rPr>
        <w:t xml:space="preserve"> = 1/3 (K</w:t>
      </w:r>
      <w:r w:rsidRPr="00725365">
        <w:rPr>
          <w:b/>
          <w:sz w:val="24"/>
          <w:vertAlign w:val="subscript"/>
          <w:lang w:val="es-ES"/>
        </w:rPr>
        <w:t>4</w:t>
      </w:r>
      <w:r w:rsidRPr="00725365">
        <w:rPr>
          <w:b/>
          <w:sz w:val="24"/>
          <w:lang w:val="es-ES"/>
        </w:rPr>
        <w:t xml:space="preserve"> + K</w:t>
      </w:r>
      <w:r w:rsidRPr="00725365">
        <w:rPr>
          <w:b/>
          <w:sz w:val="24"/>
          <w:vertAlign w:val="subscript"/>
          <w:lang w:val="es-ES"/>
        </w:rPr>
        <w:t>5</w:t>
      </w:r>
      <w:r w:rsidRPr="00725365">
        <w:rPr>
          <w:b/>
          <w:sz w:val="24"/>
          <w:lang w:val="es-ES"/>
        </w:rPr>
        <w:t xml:space="preserve"> + K</w:t>
      </w:r>
      <w:r w:rsidRPr="00725365">
        <w:rPr>
          <w:b/>
          <w:sz w:val="24"/>
          <w:vertAlign w:val="subscript"/>
          <w:lang w:val="es-ES"/>
        </w:rPr>
        <w:t>6</w:t>
      </w:r>
      <w:r w:rsidRPr="00725365">
        <w:rPr>
          <w:b/>
          <w:sz w:val="24"/>
          <w:lang w:val="es-ES"/>
        </w:rPr>
        <w:t>) = 365361,1317</w:t>
      </w:r>
    </w:p>
    <w:p w:rsidR="00414E6E" w:rsidRPr="00725365" w:rsidRDefault="00414E6E">
      <w:pPr>
        <w:pStyle w:val="normal0"/>
        <w:spacing w:after="120"/>
        <w:ind w:firstLine="360"/>
        <w:jc w:val="both"/>
        <w:rPr>
          <w:lang w:val="es-ES"/>
        </w:rPr>
      </w:pPr>
      <w:r w:rsidRPr="00725365">
        <w:rPr>
          <w:sz w:val="24"/>
          <w:lang w:val="es-ES"/>
        </w:rPr>
        <w:t xml:space="preserve"> </w:t>
      </w:r>
    </w:p>
    <w:p w:rsidR="00414E6E" w:rsidRPr="00725365" w:rsidRDefault="00414E6E">
      <w:pPr>
        <w:pStyle w:val="normal0"/>
        <w:spacing w:after="120"/>
        <w:ind w:firstLine="360"/>
        <w:jc w:val="both"/>
        <w:rPr>
          <w:lang w:val="es-ES"/>
        </w:rPr>
      </w:pPr>
    </w:p>
    <w:p w:rsidR="00414E6E" w:rsidRPr="00725365" w:rsidRDefault="00414E6E">
      <w:pPr>
        <w:pStyle w:val="normal0"/>
        <w:rPr>
          <w:lang w:val="es-ES"/>
        </w:rPr>
      </w:pPr>
      <w:r w:rsidRPr="00725365">
        <w:rPr>
          <w:lang w:val="es-ES"/>
        </w:rPr>
        <w:br w:type="page"/>
      </w:r>
    </w:p>
    <w:p w:rsidR="00414E6E" w:rsidRPr="00725365" w:rsidRDefault="00414E6E">
      <w:pPr>
        <w:pStyle w:val="normal0"/>
        <w:spacing w:after="120"/>
        <w:ind w:firstLine="360"/>
        <w:jc w:val="both"/>
        <w:rPr>
          <w:lang w:val="es-ES"/>
        </w:rPr>
      </w:pPr>
    </w:p>
    <w:p w:rsidR="00414E6E" w:rsidRPr="00725365" w:rsidRDefault="00414E6E">
      <w:pPr>
        <w:pStyle w:val="normal0"/>
        <w:spacing w:after="120"/>
        <w:ind w:firstLine="360"/>
        <w:jc w:val="both"/>
        <w:rPr>
          <w:lang w:val="es-ES"/>
        </w:rPr>
      </w:pPr>
      <w:r w:rsidRPr="00725365">
        <w:rPr>
          <w:sz w:val="24"/>
          <w:u w:val="single"/>
          <w:lang w:val="es-ES"/>
        </w:rPr>
        <w:t>Tabla 3: concentraciones calculadas mediante absorbancia</w:t>
      </w:r>
    </w:p>
    <w:p w:rsidR="00414E6E" w:rsidRPr="00725365" w:rsidRDefault="00414E6E">
      <w:pPr>
        <w:pStyle w:val="normal0"/>
        <w:spacing w:after="120"/>
        <w:ind w:firstLine="360"/>
        <w:jc w:val="both"/>
        <w:rPr>
          <w:lang w:val="es-ES"/>
        </w:rPr>
      </w:pPr>
    </w:p>
    <w:p w:rsidR="00414E6E" w:rsidRPr="00725365" w:rsidRDefault="00414E6E">
      <w:pPr>
        <w:pStyle w:val="normal0"/>
        <w:spacing w:after="120"/>
        <w:ind w:firstLine="360"/>
        <w:jc w:val="both"/>
        <w:rPr>
          <w:lang w:val="es-ES"/>
        </w:rPr>
      </w:pPr>
    </w:p>
    <w:tbl>
      <w:tblPr>
        <w:tblW w:w="10253" w:type="dxa"/>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690"/>
        <w:gridCol w:w="975"/>
        <w:gridCol w:w="855"/>
        <w:gridCol w:w="909"/>
        <w:gridCol w:w="1440"/>
        <w:gridCol w:w="1440"/>
        <w:gridCol w:w="1424"/>
        <w:gridCol w:w="1276"/>
        <w:gridCol w:w="1244"/>
      </w:tblGrid>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N° de tubo</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[ac. Sal.]</w:t>
            </w:r>
            <w:r w:rsidRPr="00186F99">
              <w:rPr>
                <w:sz w:val="18"/>
                <w:vertAlign w:val="subscript"/>
              </w:rPr>
              <w:t>0</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[Fe</w:t>
            </w:r>
            <w:r w:rsidRPr="00186F99">
              <w:rPr>
                <w:sz w:val="18"/>
                <w:vertAlign w:val="superscript"/>
              </w:rPr>
              <w:t>+3</w:t>
            </w:r>
            <w:r w:rsidRPr="00186F99">
              <w:rPr>
                <w:sz w:val="18"/>
              </w:rPr>
              <w:t>]</w:t>
            </w:r>
            <w:r w:rsidRPr="00186F99">
              <w:rPr>
                <w:sz w:val="18"/>
                <w:vertAlign w:val="subscript"/>
              </w:rPr>
              <w:t>0</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[comp]</w:t>
            </w:r>
            <w:r w:rsidRPr="00186F99">
              <w:rPr>
                <w:sz w:val="18"/>
                <w:vertAlign w:val="subscript"/>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[ac. sal.]</w:t>
            </w:r>
            <w:r w:rsidRPr="00186F99">
              <w:rPr>
                <w:sz w:val="18"/>
                <w:vertAlign w:val="subscript"/>
              </w:rPr>
              <w:t>eq</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[Fe</w:t>
            </w:r>
            <w:r w:rsidRPr="00186F99">
              <w:rPr>
                <w:sz w:val="18"/>
                <w:vertAlign w:val="superscript"/>
              </w:rPr>
              <w:t>+3</w:t>
            </w:r>
            <w:r w:rsidRPr="00186F99">
              <w:rPr>
                <w:sz w:val="18"/>
              </w:rPr>
              <w:t>]</w:t>
            </w:r>
            <w:r w:rsidRPr="00186F99">
              <w:rPr>
                <w:sz w:val="18"/>
                <w:vertAlign w:val="subscript"/>
              </w:rPr>
              <w:t>eq</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[comp]</w:t>
            </w:r>
            <w:r w:rsidRPr="00186F99">
              <w:rPr>
                <w:sz w:val="18"/>
                <w:vertAlign w:val="subscript"/>
              </w:rPr>
              <w:t>eq</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K</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∆Gº</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1</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2x10^-4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8x10^-4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5.6944x10^-4</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2,3056x10^-4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2</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3x10^-4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7x10^-4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3.4361x10^-4</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3,5639x10^-4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3</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4x10^-4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6x10^-4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1.8504x10^-4</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4,1496x10^-4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4</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5x10^-4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5x10^-4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0.8028x10^-4</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0.8028x10^-4</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4,1972x10^-4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65124.5802</w:t>
            </w:r>
          </w:p>
        </w:tc>
        <w:tc>
          <w:tcPr>
            <w:tcW w:w="1244" w:type="dxa"/>
            <w:tcMar>
              <w:top w:w="100" w:type="dxa"/>
              <w:left w:w="100" w:type="dxa"/>
              <w:bottom w:w="100" w:type="dxa"/>
              <w:right w:w="100" w:type="dxa"/>
            </w:tcMar>
          </w:tcPr>
          <w:p w:rsidR="00414E6E" w:rsidRDefault="00414E6E" w:rsidP="00186F99">
            <w:pPr>
              <w:pStyle w:val="normal0"/>
              <w:widowControl w:val="0"/>
            </w:pPr>
            <w:r>
              <w:rPr>
                <w:sz w:val="18"/>
              </w:rPr>
              <w:t>-</w:t>
            </w:r>
            <w:r w:rsidRPr="00186F99">
              <w:rPr>
                <w:sz w:val="18"/>
              </w:rPr>
              <w:t>27.5537</w:t>
            </w:r>
            <w:r>
              <w:rPr>
                <w:sz w:val="18"/>
              </w:rPr>
              <w:t xml:space="preserve"> </w:t>
            </w:r>
            <w:r w:rsidRPr="00186F99">
              <w:rPr>
                <w:sz w:val="18"/>
              </w:rPr>
              <w:t>KJ/mol</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5</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6x10^-4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4x10^-4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2.2684x10^-4</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0.2684x10^-4</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3,7316x10^-4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61290.3226</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-27.4029 KJ/mol</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6</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7x10^-4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3x10^-4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4.0077x10^-4</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0.0077x10^-4</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2,9923x10^-4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969668.4922</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-34.2672</w:t>
            </w:r>
            <w:r>
              <w:rPr>
                <w:sz w:val="18"/>
              </w:rPr>
              <w:t xml:space="preserve"> </w:t>
            </w:r>
            <w:r w:rsidRPr="00186F99">
              <w:rPr>
                <w:sz w:val="18"/>
              </w:rPr>
              <w:t>KJ/mol</w:t>
            </w:r>
          </w:p>
        </w:tc>
      </w:tr>
      <w:tr w:rsidR="00414E6E" w:rsidTr="00C12207">
        <w:tc>
          <w:tcPr>
            <w:tcW w:w="690" w:type="dxa"/>
            <w:tcMar>
              <w:top w:w="100" w:type="dxa"/>
              <w:left w:w="100" w:type="dxa"/>
              <w:bottom w:w="100" w:type="dxa"/>
              <w:right w:w="100" w:type="dxa"/>
            </w:tcMar>
          </w:tcPr>
          <w:p w:rsidR="00414E6E" w:rsidRDefault="00414E6E" w:rsidP="00186F99">
            <w:pPr>
              <w:pStyle w:val="normal0"/>
              <w:widowControl w:val="0"/>
            </w:pPr>
            <w:r w:rsidRPr="00186F99">
              <w:rPr>
                <w:sz w:val="18"/>
              </w:rPr>
              <w:t>7</w:t>
            </w:r>
          </w:p>
        </w:tc>
        <w:tc>
          <w:tcPr>
            <w:tcW w:w="975" w:type="dxa"/>
            <w:tcMar>
              <w:top w:w="100" w:type="dxa"/>
              <w:left w:w="100" w:type="dxa"/>
              <w:bottom w:w="100" w:type="dxa"/>
              <w:right w:w="100" w:type="dxa"/>
            </w:tcMar>
          </w:tcPr>
          <w:p w:rsidR="00414E6E" w:rsidRDefault="00414E6E" w:rsidP="00186F99">
            <w:pPr>
              <w:pStyle w:val="normal0"/>
              <w:widowControl w:val="0"/>
            </w:pPr>
            <w:r w:rsidRPr="00186F99">
              <w:rPr>
                <w:sz w:val="18"/>
              </w:rPr>
              <w:t>8x10^-4</w:t>
            </w:r>
          </w:p>
        </w:tc>
        <w:tc>
          <w:tcPr>
            <w:tcW w:w="855" w:type="dxa"/>
            <w:tcMar>
              <w:top w:w="100" w:type="dxa"/>
              <w:left w:w="100" w:type="dxa"/>
              <w:bottom w:w="100" w:type="dxa"/>
              <w:right w:w="100" w:type="dxa"/>
            </w:tcMar>
          </w:tcPr>
          <w:p w:rsidR="00414E6E" w:rsidRDefault="00414E6E" w:rsidP="00186F99">
            <w:pPr>
              <w:pStyle w:val="normal0"/>
              <w:widowControl w:val="0"/>
            </w:pPr>
            <w:r w:rsidRPr="00186F99">
              <w:rPr>
                <w:sz w:val="18"/>
              </w:rPr>
              <w:t>2x10^-4</w:t>
            </w:r>
          </w:p>
        </w:tc>
        <w:tc>
          <w:tcPr>
            <w:tcW w:w="909" w:type="dxa"/>
            <w:tcMar>
              <w:top w:w="100" w:type="dxa"/>
              <w:left w:w="100" w:type="dxa"/>
              <w:bottom w:w="100" w:type="dxa"/>
              <w:right w:w="100" w:type="dxa"/>
            </w:tcMar>
          </w:tcPr>
          <w:p w:rsidR="00414E6E" w:rsidRDefault="00414E6E" w:rsidP="00186F99">
            <w:pPr>
              <w:pStyle w:val="normal0"/>
              <w:widowControl w:val="0"/>
            </w:pPr>
            <w:r w:rsidRPr="00186F99">
              <w:rPr>
                <w:sz w:val="18"/>
              </w:rPr>
              <w:t>0</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5.9695x10^-4</w:t>
            </w:r>
          </w:p>
        </w:tc>
        <w:tc>
          <w:tcPr>
            <w:tcW w:w="1440"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424" w:type="dxa"/>
            <w:tcMar>
              <w:top w:w="100" w:type="dxa"/>
              <w:left w:w="100" w:type="dxa"/>
              <w:bottom w:w="100" w:type="dxa"/>
              <w:right w:w="100" w:type="dxa"/>
            </w:tcMar>
          </w:tcPr>
          <w:p w:rsidR="00414E6E" w:rsidRDefault="00414E6E" w:rsidP="00186F99">
            <w:pPr>
              <w:pStyle w:val="normal0"/>
              <w:widowControl w:val="0"/>
            </w:pPr>
            <w:r w:rsidRPr="00186F99">
              <w:rPr>
                <w:sz w:val="18"/>
              </w:rPr>
              <w:t>2,0305x10^-4</w:t>
            </w:r>
          </w:p>
        </w:tc>
        <w:tc>
          <w:tcPr>
            <w:tcW w:w="1276"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c>
          <w:tcPr>
            <w:tcW w:w="1244" w:type="dxa"/>
            <w:tcMar>
              <w:top w:w="100" w:type="dxa"/>
              <w:left w:w="100" w:type="dxa"/>
              <w:bottom w:w="100" w:type="dxa"/>
              <w:right w:w="100" w:type="dxa"/>
            </w:tcMar>
          </w:tcPr>
          <w:p w:rsidR="00414E6E" w:rsidRDefault="00414E6E" w:rsidP="00186F99">
            <w:pPr>
              <w:pStyle w:val="normal0"/>
              <w:widowControl w:val="0"/>
            </w:pPr>
            <w:r w:rsidRPr="00186F99">
              <w:rPr>
                <w:sz w:val="18"/>
              </w:rPr>
              <w:t>Ø</w:t>
            </w:r>
          </w:p>
        </w:tc>
      </w:tr>
    </w:tbl>
    <w:p w:rsidR="00414E6E" w:rsidRDefault="00414E6E">
      <w:pPr>
        <w:pStyle w:val="normal0"/>
        <w:spacing w:after="120"/>
        <w:ind w:firstLine="360"/>
        <w:jc w:val="both"/>
      </w:pPr>
    </w:p>
    <w:p w:rsidR="00414E6E" w:rsidRDefault="00414E6E">
      <w:pPr>
        <w:pStyle w:val="normal0"/>
        <w:spacing w:after="120"/>
        <w:ind w:firstLine="360"/>
        <w:jc w:val="both"/>
      </w:pPr>
    </w:p>
    <w:p w:rsidR="00414E6E" w:rsidRPr="00725365" w:rsidRDefault="00414E6E">
      <w:pPr>
        <w:pStyle w:val="normal0"/>
        <w:spacing w:after="120"/>
        <w:jc w:val="both"/>
        <w:rPr>
          <w:lang w:val="es-ES"/>
        </w:rPr>
      </w:pPr>
      <w:r w:rsidRPr="00725365">
        <w:rPr>
          <w:sz w:val="24"/>
          <w:u w:val="single"/>
          <w:lang w:val="es-ES"/>
        </w:rPr>
        <w:t>Tabla 4: Promedios de K y ∆Gº</w:t>
      </w:r>
    </w:p>
    <w:tbl>
      <w:tblPr>
        <w:tblW w:w="3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680"/>
        <w:gridCol w:w="1965"/>
      </w:tblGrid>
      <w:tr w:rsidR="00414E6E" w:rsidTr="00186F99">
        <w:tc>
          <w:tcPr>
            <w:tcW w:w="1680" w:type="dxa"/>
            <w:tcMar>
              <w:top w:w="100" w:type="dxa"/>
              <w:left w:w="100" w:type="dxa"/>
              <w:bottom w:w="100" w:type="dxa"/>
              <w:right w:w="100" w:type="dxa"/>
            </w:tcMar>
          </w:tcPr>
          <w:p w:rsidR="00414E6E" w:rsidRDefault="00414E6E" w:rsidP="00186F99">
            <w:pPr>
              <w:pStyle w:val="normal0"/>
              <w:widowControl w:val="0"/>
            </w:pPr>
            <w:r w:rsidRPr="00186F99">
              <w:rPr>
                <w:sz w:val="24"/>
              </w:rPr>
              <w:t>K (x</w:t>
            </w:r>
            <w:r w:rsidRPr="00186F99">
              <w:rPr>
                <w:rFonts w:ascii="Tahoma" w:hAnsi="Tahoma" w:cs="Tahoma"/>
                <w:sz w:val="24"/>
              </w:rPr>
              <w:t>̄</w:t>
            </w:r>
            <w:r w:rsidRPr="00186F99">
              <w:rPr>
                <w:sz w:val="24"/>
              </w:rPr>
              <w:t>)</w:t>
            </w:r>
          </w:p>
        </w:tc>
        <w:tc>
          <w:tcPr>
            <w:tcW w:w="1965" w:type="dxa"/>
            <w:tcMar>
              <w:top w:w="100" w:type="dxa"/>
              <w:left w:w="100" w:type="dxa"/>
              <w:bottom w:w="100" w:type="dxa"/>
              <w:right w:w="100" w:type="dxa"/>
            </w:tcMar>
          </w:tcPr>
          <w:p w:rsidR="00414E6E" w:rsidRDefault="00414E6E" w:rsidP="00186F99">
            <w:pPr>
              <w:pStyle w:val="normal0"/>
              <w:widowControl w:val="0"/>
            </w:pPr>
            <w:r w:rsidRPr="00186F99">
              <w:rPr>
                <w:sz w:val="24"/>
              </w:rPr>
              <w:t>∆Gº (x</w:t>
            </w:r>
            <w:r w:rsidRPr="00186F99">
              <w:rPr>
                <w:rFonts w:ascii="Tahoma" w:hAnsi="Tahoma" w:cs="Tahoma"/>
                <w:sz w:val="24"/>
              </w:rPr>
              <w:t>̄</w:t>
            </w:r>
            <w:r w:rsidRPr="00186F99">
              <w:rPr>
                <w:sz w:val="24"/>
              </w:rPr>
              <w:t>)</w:t>
            </w:r>
          </w:p>
        </w:tc>
      </w:tr>
      <w:tr w:rsidR="00414E6E" w:rsidTr="00186F99">
        <w:tc>
          <w:tcPr>
            <w:tcW w:w="1680" w:type="dxa"/>
            <w:tcMar>
              <w:top w:w="100" w:type="dxa"/>
              <w:left w:w="100" w:type="dxa"/>
              <w:bottom w:w="100" w:type="dxa"/>
              <w:right w:w="100" w:type="dxa"/>
            </w:tcMar>
          </w:tcPr>
          <w:p w:rsidR="00414E6E" w:rsidRDefault="00414E6E" w:rsidP="00186F99">
            <w:pPr>
              <w:pStyle w:val="normal0"/>
              <w:widowControl w:val="0"/>
            </w:pPr>
            <w:r w:rsidRPr="00186F99">
              <w:rPr>
                <w:sz w:val="24"/>
              </w:rPr>
              <w:t>365361,1317</w:t>
            </w:r>
          </w:p>
        </w:tc>
        <w:tc>
          <w:tcPr>
            <w:tcW w:w="1965" w:type="dxa"/>
            <w:tcMar>
              <w:top w:w="100" w:type="dxa"/>
              <w:left w:w="100" w:type="dxa"/>
              <w:bottom w:w="100" w:type="dxa"/>
              <w:right w:w="100" w:type="dxa"/>
            </w:tcMar>
          </w:tcPr>
          <w:p w:rsidR="00414E6E" w:rsidRDefault="00414E6E" w:rsidP="00186F99">
            <w:pPr>
              <w:pStyle w:val="normal0"/>
              <w:widowControl w:val="0"/>
            </w:pPr>
            <w:r w:rsidRPr="00186F99">
              <w:rPr>
                <w:sz w:val="24"/>
              </w:rPr>
              <w:t>-29,7413 KJ/mol</w:t>
            </w:r>
          </w:p>
        </w:tc>
      </w:tr>
    </w:tbl>
    <w:p w:rsidR="00414E6E" w:rsidRDefault="00414E6E">
      <w:pPr>
        <w:pStyle w:val="normal0"/>
        <w:spacing w:after="120"/>
        <w:jc w:val="both"/>
      </w:pPr>
    </w:p>
    <w:p w:rsidR="00414E6E" w:rsidRDefault="00414E6E">
      <w:pPr>
        <w:pStyle w:val="normal0"/>
        <w:spacing w:after="120"/>
        <w:ind w:firstLine="360"/>
        <w:jc w:val="both"/>
      </w:pPr>
      <w:r>
        <w:rPr>
          <w:sz w:val="24"/>
          <w:u w:val="single"/>
        </w:rPr>
        <w:t>Cálculo de ∆Gº</w:t>
      </w:r>
    </w:p>
    <w:p w:rsidR="00414E6E" w:rsidRDefault="00414E6E">
      <w:pPr>
        <w:pStyle w:val="normal0"/>
        <w:spacing w:after="120"/>
        <w:ind w:firstLine="360"/>
        <w:jc w:val="both"/>
      </w:pPr>
      <w:r>
        <w:rPr>
          <w:sz w:val="24"/>
          <w:u w:val="single"/>
        </w:rPr>
        <w:t xml:space="preserve"> </w:t>
      </w:r>
    </w:p>
    <w:p w:rsidR="00414E6E" w:rsidRDefault="00414E6E">
      <w:pPr>
        <w:pStyle w:val="normal0"/>
        <w:spacing w:after="120"/>
        <w:ind w:firstLine="360"/>
        <w:jc w:val="both"/>
      </w:pPr>
      <w:r>
        <w:rPr>
          <w:sz w:val="24"/>
        </w:rPr>
        <w:t xml:space="preserve">                         </w:t>
      </w:r>
      <w:r>
        <w:rPr>
          <w:sz w:val="24"/>
        </w:rPr>
        <w:tab/>
        <w:t>∆Gº = - RT  ln (K)</w:t>
      </w:r>
    </w:p>
    <w:p w:rsidR="00414E6E" w:rsidRDefault="00414E6E">
      <w:pPr>
        <w:pStyle w:val="normal0"/>
        <w:spacing w:after="120"/>
        <w:ind w:firstLine="360"/>
        <w:jc w:val="both"/>
      </w:pPr>
      <w:r>
        <w:rPr>
          <w:sz w:val="24"/>
        </w:rPr>
        <w:t xml:space="preserve">                         </w:t>
      </w:r>
      <w:r>
        <w:rPr>
          <w:sz w:val="24"/>
        </w:rPr>
        <w:tab/>
      </w:r>
      <w:r>
        <w:rPr>
          <w:b/>
          <w:sz w:val="24"/>
        </w:rPr>
        <w:t>∆</w:t>
      </w:r>
      <w:r>
        <w:rPr>
          <w:sz w:val="24"/>
        </w:rPr>
        <w:t>Gº</w:t>
      </w:r>
      <w:r>
        <w:rPr>
          <w:i/>
          <w:sz w:val="24"/>
          <w:vertAlign w:val="subscript"/>
        </w:rPr>
        <w:t>i</w:t>
      </w:r>
      <w:r>
        <w:rPr>
          <w:sz w:val="24"/>
        </w:rPr>
        <w:t xml:space="preserve"> = - 8.314 J/(mol °K)  299 °K  ln(K</w:t>
      </w:r>
      <w:r>
        <w:rPr>
          <w:i/>
          <w:sz w:val="24"/>
          <w:vertAlign w:val="subscript"/>
        </w:rPr>
        <w:t>i</w:t>
      </w:r>
      <w:r>
        <w:rPr>
          <w:sz w:val="24"/>
        </w:rPr>
        <w:t>)</w:t>
      </w:r>
    </w:p>
    <w:p w:rsidR="00414E6E" w:rsidRDefault="00414E6E">
      <w:pPr>
        <w:pStyle w:val="normal0"/>
        <w:spacing w:after="120"/>
        <w:ind w:firstLine="360"/>
        <w:jc w:val="both"/>
      </w:pPr>
      <w:r>
        <w:rPr>
          <w:sz w:val="24"/>
        </w:rPr>
        <w:t xml:space="preserve">                         </w:t>
      </w:r>
      <w:r>
        <w:rPr>
          <w:sz w:val="24"/>
        </w:rPr>
        <w:tab/>
      </w:r>
      <w:r>
        <w:rPr>
          <w:b/>
          <w:sz w:val="24"/>
        </w:rPr>
        <w:t>∆Gº</w:t>
      </w:r>
      <w:r>
        <w:rPr>
          <w:b/>
          <w:sz w:val="24"/>
          <w:vertAlign w:val="subscript"/>
        </w:rPr>
        <w:t>prom.</w:t>
      </w:r>
      <w:r>
        <w:rPr>
          <w:b/>
          <w:sz w:val="24"/>
        </w:rPr>
        <w:t xml:space="preserve"> =  1/3 (∆Gº</w:t>
      </w:r>
      <w:r>
        <w:rPr>
          <w:b/>
          <w:sz w:val="24"/>
          <w:vertAlign w:val="subscript"/>
        </w:rPr>
        <w:t>4</w:t>
      </w:r>
      <w:r>
        <w:rPr>
          <w:b/>
          <w:sz w:val="24"/>
        </w:rPr>
        <w:t xml:space="preserve">  + ∆Gº</w:t>
      </w:r>
      <w:r>
        <w:rPr>
          <w:b/>
          <w:sz w:val="24"/>
          <w:vertAlign w:val="subscript"/>
        </w:rPr>
        <w:t>5</w:t>
      </w:r>
      <w:r>
        <w:rPr>
          <w:b/>
          <w:sz w:val="24"/>
        </w:rPr>
        <w:t xml:space="preserve">  + ∆Gº</w:t>
      </w:r>
      <w:r>
        <w:rPr>
          <w:b/>
          <w:sz w:val="24"/>
          <w:vertAlign w:val="subscript"/>
        </w:rPr>
        <w:t>6</w:t>
      </w:r>
      <w:r>
        <w:rPr>
          <w:b/>
          <w:sz w:val="24"/>
        </w:rPr>
        <w:t xml:space="preserve"> ) = -29,7413 KJ/mol</w:t>
      </w:r>
    </w:p>
    <w:p w:rsidR="00414E6E" w:rsidRDefault="00414E6E">
      <w:pPr>
        <w:pStyle w:val="normal0"/>
        <w:spacing w:after="120"/>
        <w:ind w:firstLine="360"/>
        <w:jc w:val="both"/>
      </w:pPr>
    </w:p>
    <w:p w:rsidR="00414E6E" w:rsidRDefault="00414E6E">
      <w:pPr>
        <w:pStyle w:val="normal0"/>
        <w:spacing w:after="120"/>
        <w:ind w:firstLine="360"/>
        <w:jc w:val="both"/>
      </w:pPr>
      <w:r>
        <w:rPr>
          <w:sz w:val="24"/>
          <w:u w:val="single"/>
        </w:rPr>
        <w:t xml:space="preserve"> </w:t>
      </w:r>
    </w:p>
    <w:p w:rsidR="00414E6E" w:rsidRDefault="00414E6E">
      <w:pPr>
        <w:pStyle w:val="normal0"/>
      </w:pPr>
      <w:r>
        <w:br w:type="page"/>
      </w:r>
    </w:p>
    <w:p w:rsidR="00414E6E" w:rsidRDefault="00414E6E">
      <w:pPr>
        <w:pStyle w:val="normal0"/>
        <w:spacing w:after="120"/>
        <w:ind w:firstLine="360"/>
        <w:jc w:val="both"/>
      </w:pPr>
    </w:p>
    <w:p w:rsidR="00414E6E" w:rsidRDefault="00414E6E">
      <w:pPr>
        <w:pStyle w:val="normal0"/>
        <w:spacing w:after="120"/>
        <w:ind w:firstLine="360"/>
        <w:jc w:val="both"/>
      </w:pPr>
    </w:p>
    <w:p w:rsidR="00414E6E" w:rsidRPr="00725365" w:rsidRDefault="00414E6E">
      <w:pPr>
        <w:pStyle w:val="normal0"/>
        <w:spacing w:after="120"/>
        <w:ind w:firstLine="360"/>
        <w:jc w:val="both"/>
        <w:rPr>
          <w:lang w:val="es-ES"/>
        </w:rPr>
      </w:pPr>
      <w:r w:rsidRPr="00725365">
        <w:rPr>
          <w:b/>
          <w:sz w:val="24"/>
          <w:lang w:val="es-ES"/>
        </w:rPr>
        <w:t>Conclusiones</w:t>
      </w:r>
    </w:p>
    <w:p w:rsidR="00414E6E" w:rsidRPr="00725365" w:rsidRDefault="00414E6E">
      <w:pPr>
        <w:pStyle w:val="normal0"/>
        <w:spacing w:after="120"/>
        <w:ind w:firstLine="360"/>
        <w:jc w:val="both"/>
        <w:rPr>
          <w:lang w:val="es-ES"/>
        </w:rPr>
      </w:pPr>
    </w:p>
    <w:p w:rsidR="00414E6E" w:rsidRPr="00725365" w:rsidRDefault="00414E6E">
      <w:pPr>
        <w:pStyle w:val="normal0"/>
        <w:spacing w:after="120"/>
        <w:ind w:firstLine="360"/>
        <w:jc w:val="both"/>
        <w:rPr>
          <w:lang w:val="es-ES"/>
        </w:rPr>
      </w:pPr>
      <w:r w:rsidRPr="00725365">
        <w:rPr>
          <w:sz w:val="24"/>
          <w:lang w:val="es-ES"/>
        </w:rPr>
        <w:t xml:space="preserve">  </w:t>
      </w:r>
      <w:r w:rsidRPr="00725365">
        <w:rPr>
          <w:sz w:val="24"/>
          <w:lang w:val="es-ES"/>
        </w:rPr>
        <w:tab/>
        <w:t>Se cumplieron los objetivos del trabajo práctico, pero algunos detalles evidencian errores experimentales. En los tubos 1, 2, 3 y 7 la concentración del complejo era mayor que la original del reactivo limitante, imposibilitando los cálculos de K y energía libre. Esto pudo deberse bien a suciedad no detectada en la cubeta donde se midieron las absorbancias, como a errores de medición en la preparación de las soluciones.</w:t>
      </w:r>
    </w:p>
    <w:p w:rsidR="00414E6E" w:rsidRPr="00725365" w:rsidRDefault="00414E6E">
      <w:pPr>
        <w:pStyle w:val="normal0"/>
        <w:spacing w:after="120"/>
        <w:ind w:firstLine="360"/>
        <w:jc w:val="both"/>
        <w:rPr>
          <w:lang w:val="es-ES"/>
        </w:rPr>
      </w:pPr>
      <w:r w:rsidRPr="00725365">
        <w:rPr>
          <w:sz w:val="24"/>
          <w:lang w:val="es-ES"/>
        </w:rPr>
        <w:t xml:space="preserve">Para realizar los cálculos se supuso que la única especie absorbente fuera el complejo, y que no se formaba ninguna otro compuesto que no fuera el complejo mismo. Esta afirmación no es correcta ya que pueden haber quedado restos de cristales de ácido salicílico sin disolver u alguna suciedad en las muestras que interfiera de manera secundaria con la medida de absorbancia del complejo. </w:t>
      </w:r>
    </w:p>
    <w:p w:rsidR="00414E6E" w:rsidRPr="00725365" w:rsidRDefault="00414E6E">
      <w:pPr>
        <w:pStyle w:val="normal0"/>
        <w:spacing w:after="120"/>
        <w:ind w:firstLine="360"/>
        <w:jc w:val="both"/>
        <w:rPr>
          <w:lang w:val="es-ES"/>
        </w:rPr>
      </w:pPr>
      <w:r w:rsidRPr="00725365">
        <w:rPr>
          <w:sz w:val="24"/>
          <w:lang w:val="es-ES"/>
        </w:rPr>
        <w:t xml:space="preserve">Los valores de K y ∆Gº coincidieron con las previsiones. Como se esperaba se obtuvo un valor grande y negativo de la energía libre estándar de la reacción, lo cual indica que el equilibrio se encontraba desplazado hacia la formación del complejo y concuerda con las bases teóricas puesto que, ante un valor de </w:t>
      </w:r>
      <w:r w:rsidRPr="00725365">
        <w:rPr>
          <w:i/>
          <w:sz w:val="24"/>
          <w:lang w:val="es-ES"/>
        </w:rPr>
        <w:t>K</w:t>
      </w:r>
      <w:r w:rsidRPr="00725365">
        <w:rPr>
          <w:sz w:val="24"/>
          <w:lang w:val="es-ES"/>
        </w:rPr>
        <w:t xml:space="preserve"> mayor a 1 se esperan valores negativos para el ∆G° y que, una vez alcanzado el equilibrio, hay mayor cantidad de productos que de reactivos.</w:t>
      </w:r>
    </w:p>
    <w:p w:rsidR="00414E6E" w:rsidRPr="00725365" w:rsidRDefault="00414E6E">
      <w:pPr>
        <w:pStyle w:val="normal0"/>
        <w:spacing w:after="120"/>
        <w:ind w:firstLine="360"/>
        <w:jc w:val="both"/>
        <w:rPr>
          <w:lang w:val="es-ES"/>
        </w:rPr>
      </w:pPr>
    </w:p>
    <w:p w:rsidR="00414E6E" w:rsidRPr="00725365" w:rsidRDefault="00414E6E">
      <w:pPr>
        <w:pStyle w:val="normal0"/>
        <w:spacing w:after="120"/>
        <w:ind w:firstLine="360"/>
        <w:jc w:val="both"/>
        <w:rPr>
          <w:lang w:val="es-ES"/>
        </w:rPr>
      </w:pPr>
    </w:p>
    <w:p w:rsidR="00414E6E" w:rsidRPr="00725365" w:rsidRDefault="00414E6E">
      <w:pPr>
        <w:pStyle w:val="normal0"/>
        <w:spacing w:after="120"/>
        <w:ind w:firstLine="360"/>
        <w:jc w:val="both"/>
        <w:rPr>
          <w:lang w:val="es-ES"/>
        </w:rPr>
      </w:pPr>
      <w:r w:rsidRPr="00725365">
        <w:rPr>
          <w:sz w:val="24"/>
          <w:u w:val="single"/>
          <w:lang w:val="es-ES"/>
        </w:rPr>
        <w:t xml:space="preserve"> </w:t>
      </w:r>
    </w:p>
    <w:p w:rsidR="00414E6E" w:rsidRPr="00725365" w:rsidRDefault="00414E6E">
      <w:pPr>
        <w:pStyle w:val="normal0"/>
        <w:spacing w:after="120"/>
        <w:jc w:val="both"/>
        <w:rPr>
          <w:lang w:val="es-ES"/>
        </w:rPr>
      </w:pPr>
      <w:r w:rsidRPr="00725365">
        <w:rPr>
          <w:sz w:val="24"/>
          <w:lang w:val="es-ES"/>
        </w:rPr>
        <w:t xml:space="preserve"> </w:t>
      </w:r>
    </w:p>
    <w:p w:rsidR="00414E6E" w:rsidRDefault="00414E6E">
      <w:pPr>
        <w:pStyle w:val="normal0"/>
        <w:spacing w:after="120"/>
        <w:ind w:firstLine="360"/>
        <w:jc w:val="both"/>
      </w:pPr>
      <w:r>
        <w:rPr>
          <w:b/>
          <w:sz w:val="24"/>
        </w:rPr>
        <w:t>Bibliografía</w:t>
      </w:r>
    </w:p>
    <w:p w:rsidR="00414E6E" w:rsidRPr="00C12207" w:rsidRDefault="00414E6E" w:rsidP="00C12207">
      <w:pPr>
        <w:pStyle w:val="normal0"/>
        <w:numPr>
          <w:ilvl w:val="0"/>
          <w:numId w:val="1"/>
        </w:numPr>
        <w:spacing w:after="120"/>
        <w:ind w:hanging="359"/>
        <w:contextualSpacing/>
        <w:jc w:val="both"/>
        <w:rPr>
          <w:sz w:val="24"/>
          <w:lang w:val="es-ES"/>
        </w:rPr>
      </w:pPr>
      <w:r w:rsidRPr="00725365">
        <w:rPr>
          <w:sz w:val="24"/>
          <w:lang w:val="es-ES"/>
        </w:rPr>
        <w:t xml:space="preserve"> Guía de Trabajos Prácticos de Fisicoquímica</w:t>
      </w:r>
    </w:p>
    <w:p w:rsidR="00414E6E" w:rsidRPr="00C12207" w:rsidRDefault="00414E6E">
      <w:pPr>
        <w:pStyle w:val="normal0"/>
        <w:rPr>
          <w:lang w:val="es-ES"/>
        </w:rPr>
      </w:pPr>
    </w:p>
    <w:sectPr w:rsidR="00414E6E" w:rsidRPr="00C12207" w:rsidSect="002C1DC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720D5"/>
    <w:multiLevelType w:val="multilevel"/>
    <w:tmpl w:val="FFFFFFFF"/>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4F694093"/>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1DC5"/>
    <w:rsid w:val="00041160"/>
    <w:rsid w:val="00186F99"/>
    <w:rsid w:val="0022414A"/>
    <w:rsid w:val="002678BC"/>
    <w:rsid w:val="002C1DC5"/>
    <w:rsid w:val="00414E6E"/>
    <w:rsid w:val="005B2CF9"/>
    <w:rsid w:val="00725365"/>
    <w:rsid w:val="00794082"/>
    <w:rsid w:val="008C5686"/>
    <w:rsid w:val="00C12207"/>
    <w:rsid w:val="00D55BB8"/>
    <w:rsid w:val="00FA067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60"/>
    <w:pPr>
      <w:spacing w:line="276" w:lineRule="auto"/>
    </w:pPr>
    <w:rPr>
      <w:color w:val="000000"/>
      <w:szCs w:val="20"/>
    </w:rPr>
  </w:style>
  <w:style w:type="paragraph" w:styleId="Heading1">
    <w:name w:val="heading 1"/>
    <w:basedOn w:val="normal0"/>
    <w:next w:val="normal0"/>
    <w:link w:val="Heading1Char"/>
    <w:uiPriority w:val="99"/>
    <w:qFormat/>
    <w:rsid w:val="002C1DC5"/>
    <w:pPr>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2C1DC5"/>
    <w:pPr>
      <w:spacing w:before="200"/>
      <w:contextualSpacing/>
      <w:outlineLvl w:val="1"/>
    </w:pPr>
    <w:rPr>
      <w:rFonts w:ascii="Trebuchet MS" w:hAnsi="Trebuchet MS" w:cs="Trebuchet MS"/>
      <w:sz w:val="26"/>
    </w:rPr>
  </w:style>
  <w:style w:type="paragraph" w:styleId="Heading3">
    <w:name w:val="heading 3"/>
    <w:basedOn w:val="normal0"/>
    <w:next w:val="normal0"/>
    <w:link w:val="Heading3Char"/>
    <w:uiPriority w:val="99"/>
    <w:qFormat/>
    <w:rsid w:val="002C1DC5"/>
    <w:pPr>
      <w:spacing w:before="160"/>
      <w:contextualSpacing/>
      <w:outlineLvl w:val="2"/>
    </w:pPr>
    <w:rPr>
      <w:rFonts w:ascii="Trebuchet MS" w:hAnsi="Trebuchet MS" w:cs="Trebuchet MS"/>
      <w:color w:val="666666"/>
      <w:sz w:val="24"/>
    </w:rPr>
  </w:style>
  <w:style w:type="paragraph" w:styleId="Heading4">
    <w:name w:val="heading 4"/>
    <w:basedOn w:val="normal0"/>
    <w:next w:val="normal0"/>
    <w:link w:val="Heading4Char"/>
    <w:uiPriority w:val="99"/>
    <w:qFormat/>
    <w:rsid w:val="002C1DC5"/>
    <w:pPr>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2C1DC5"/>
    <w:pPr>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2C1DC5"/>
    <w:pPr>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color w:val="000000"/>
    </w:rPr>
  </w:style>
  <w:style w:type="paragraph" w:customStyle="1" w:styleId="normal0">
    <w:name w:val="normal"/>
    <w:uiPriority w:val="99"/>
    <w:rsid w:val="002C1DC5"/>
    <w:pPr>
      <w:spacing w:line="276" w:lineRule="auto"/>
    </w:pPr>
    <w:rPr>
      <w:color w:val="000000"/>
      <w:szCs w:val="20"/>
    </w:rPr>
  </w:style>
  <w:style w:type="paragraph" w:styleId="Title">
    <w:name w:val="Title"/>
    <w:basedOn w:val="normal0"/>
    <w:next w:val="normal0"/>
    <w:link w:val="TitleChar"/>
    <w:uiPriority w:val="99"/>
    <w:qFormat/>
    <w:rsid w:val="002C1DC5"/>
    <w:pPr>
      <w:contextualSpacing/>
    </w:pPr>
    <w:rPr>
      <w:rFonts w:ascii="Trebuchet MS" w:hAnsi="Trebuchet MS" w:cs="Trebuchet MS"/>
      <w:sz w:val="42"/>
    </w:rPr>
  </w:style>
  <w:style w:type="character" w:customStyle="1" w:styleId="TitleChar">
    <w:name w:val="Title Char"/>
    <w:basedOn w:val="DefaultParagraphFont"/>
    <w:link w:val="Title"/>
    <w:uiPriority w:val="99"/>
    <w:locked/>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2C1DC5"/>
    <w:pPr>
      <w:spacing w:after="200"/>
      <w:contextualSpacing/>
    </w:pPr>
    <w:rPr>
      <w:rFonts w:ascii="Trebuchet MS" w:hAnsi="Trebuchet MS" w:cs="Trebuchet MS"/>
      <w:sz w:val="26"/>
    </w:rPr>
  </w:style>
  <w:style w:type="character" w:customStyle="1" w:styleId="SubtitleChar">
    <w:name w:val="Subtitle Char"/>
    <w:basedOn w:val="DefaultParagraphFont"/>
    <w:link w:val="Subtitle"/>
    <w:uiPriority w:val="99"/>
    <w:locked/>
    <w:rPr>
      <w:rFonts w:ascii="Cambria" w:hAnsi="Cambria" w:cs="Times New Roman"/>
      <w:color w:val="000000"/>
      <w:sz w:val="24"/>
      <w:szCs w:val="24"/>
    </w:rPr>
  </w:style>
  <w:style w:type="table" w:customStyle="1" w:styleId="Estilo">
    <w:name w:val="Estilo"/>
    <w:uiPriority w:val="99"/>
    <w:rsid w:val="002C1DC5"/>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2C1DC5"/>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2C1DC5"/>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2C1DC5"/>
    <w:rPr>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9</Pages>
  <Words>1334</Words>
  <Characters>7338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TP2 Rehacer.docx</dc:title>
  <dc:subject/>
  <dc:creator/>
  <cp:keywords/>
  <dc:description/>
  <cp:lastModifiedBy>Fer</cp:lastModifiedBy>
  <cp:revision>5</cp:revision>
  <dcterms:created xsi:type="dcterms:W3CDTF">2014-12-09T22:02:00Z</dcterms:created>
  <dcterms:modified xsi:type="dcterms:W3CDTF">2014-12-10T16:40:00Z</dcterms:modified>
</cp:coreProperties>
</file>