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 xml:space="preserve">) no se de donde viene. Además, ¿Por qué los diferentes clasificadores bayesianos corresponden con diferentes factorizaciones </w:t>
      </w:r>
      <w:r w:rsidRPr="001E617E">
        <w:rPr>
          <w:rFonts w:ascii="Times New Roman" w:hAnsi="Times New Roman" w:cs="Times New Roman"/>
          <w:sz w:val="24"/>
        </w:rPr>
        <w:lastRenderedPageBreak/>
        <w:t>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248678FF" w:rsid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las reglas son más generales que los árboles de decisión, ¿deberíamos ponerlas en la teoría después de los árboles de decisión?</w:t>
      </w:r>
    </w:p>
    <w:p w14:paraId="55DCA614" w14:textId="1440CC12" w:rsidR="00AD3038" w:rsidRPr="001E617E" w:rsidRDefault="00AD3038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Preguntar si en la teoría de regresión logística es necesario meter lo del logit.</w:t>
      </w:r>
      <w:bookmarkStart w:id="1" w:name="_GoBack"/>
      <w:bookmarkEnd w:id="1"/>
    </w:p>
    <w:sectPr w:rsidR="00AD3038" w:rsidRPr="001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8B7ADA"/>
    <w:rsid w:val="00AD3038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1586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25</cp:revision>
  <cp:lastPrinted>2019-04-30T21:31:00Z</cp:lastPrinted>
  <dcterms:created xsi:type="dcterms:W3CDTF">2019-04-10T21:08:00Z</dcterms:created>
  <dcterms:modified xsi:type="dcterms:W3CDTF">2019-05-03T14:29:00Z</dcterms:modified>
</cp:coreProperties>
</file>