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65B60" w14:textId="58D28BD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7CFD7B64" w:rsidR="00175DA2" w:rsidRPr="00175DA2" w:rsidRDefault="00175DA2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175DA2">
        <w:rPr>
          <w:rFonts w:ascii="Times New Roman" w:hAnsi="Times New Roman" w:cs="Times New Roman"/>
          <w:sz w:val="24"/>
          <w:szCs w:val="24"/>
        </w:rPr>
        <w:instrText>https://en.wikipedia.org/wiki/Incremental_decision_tree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14DAE">
        <w:rPr>
          <w:rStyle w:val="Hipervnculo"/>
          <w:rFonts w:ascii="Times New Roman" w:hAnsi="Times New Roman" w:cs="Times New Roman"/>
          <w:sz w:val="24"/>
          <w:szCs w:val="24"/>
        </w:rPr>
        <w:t>https://en.wikipedia.org/wiki/Incremental_decision_tree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lastRenderedPageBreak/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175DA2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5CBD4A3E" w:rsidR="00BC2AB1" w:rsidRPr="00BC2AB1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2BCC98E6" w:rsidR="007C5764" w:rsidRP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lastRenderedPageBreak/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16DA1058" w14:textId="66741ACD" w:rsidR="007C5764" w:rsidRPr="00BC2AB1" w:rsidRDefault="007C5764" w:rsidP="007C57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1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(1),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r w:rsidRPr="00A61CB4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r w:rsidRPr="00A61CB4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</w:t>
      </w:r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2604D4A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52D01C86" w:rsidR="00301B13" w:rsidRPr="00301B13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lastRenderedPageBreak/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4E66751F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lastRenderedPageBreak/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2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3726B8B5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9A8165" w14:textId="1ACA0834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922894"/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2ED9081E" w14:textId="77777777" w:rsidR="000D6DE4" w:rsidRPr="000D6DE4" w:rsidRDefault="000D6DE4" w:rsidP="000D6DE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CE9E7A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3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lastRenderedPageBreak/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lastRenderedPageBreak/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shows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4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lastRenderedPageBreak/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267D2"/>
    <w:rsid w:val="0003431F"/>
    <w:rsid w:val="00040CEF"/>
    <w:rsid w:val="00041B04"/>
    <w:rsid w:val="0005366F"/>
    <w:rsid w:val="00053A9B"/>
    <w:rsid w:val="00053FF1"/>
    <w:rsid w:val="00054ED7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6FF"/>
    <w:rsid w:val="002729F8"/>
    <w:rsid w:val="00276E5A"/>
    <w:rsid w:val="00287B82"/>
    <w:rsid w:val="002930D2"/>
    <w:rsid w:val="002A0807"/>
    <w:rsid w:val="002B1D58"/>
    <w:rsid w:val="002C6E9A"/>
    <w:rsid w:val="002C7DF9"/>
    <w:rsid w:val="002D54EC"/>
    <w:rsid w:val="002F61B0"/>
    <w:rsid w:val="00301B13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6F0B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27DB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7810"/>
    <w:rsid w:val="005D0791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275B"/>
    <w:rsid w:val="007648AD"/>
    <w:rsid w:val="00766D20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A4119"/>
    <w:rsid w:val="008A596C"/>
    <w:rsid w:val="008B7E6A"/>
    <w:rsid w:val="008D2351"/>
    <w:rsid w:val="008D7A4E"/>
    <w:rsid w:val="008E043D"/>
    <w:rsid w:val="008E2704"/>
    <w:rsid w:val="008E3689"/>
    <w:rsid w:val="008E4E3A"/>
    <w:rsid w:val="008F12C5"/>
    <w:rsid w:val="008F6D92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20</Pages>
  <Words>8046</Words>
  <Characters>44256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199</cp:revision>
  <cp:lastPrinted>2019-04-09T14:12:00Z</cp:lastPrinted>
  <dcterms:created xsi:type="dcterms:W3CDTF">2019-04-02T09:50:00Z</dcterms:created>
  <dcterms:modified xsi:type="dcterms:W3CDTF">2019-04-21T21:12:00Z</dcterms:modified>
</cp:coreProperties>
</file>